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210" w:leftChars="100" w:right="210" w:rightChars="100"/>
        <w:jc w:val="center"/>
        <w:rPr>
          <w:rFonts w:eastAsia="仿宋_GB2312"/>
          <w:b/>
          <w:sz w:val="32"/>
          <w:szCs w:val="32"/>
          <w:highlight w:val="none"/>
        </w:rPr>
      </w:pPr>
      <w:bookmarkStart w:id="7" w:name="_GoBack"/>
      <w:bookmarkStart w:id="0" w:name="_Toc12343"/>
      <w:r>
        <w:rPr>
          <w:rFonts w:eastAsia="仿宋_GB2312"/>
          <w:sz w:val="28"/>
          <w:szCs w:val="28"/>
          <w:highlight w:val="none"/>
        </w:rPr>
        <mc:AlternateContent>
          <mc:Choice Requires="wps">
            <w:drawing>
              <wp:anchor distT="0" distB="0" distL="114300" distR="114300" simplePos="0" relativeHeight="251664384" behindDoc="0" locked="0" layoutInCell="1" allowOverlap="1">
                <wp:simplePos x="0" y="0"/>
                <wp:positionH relativeFrom="column">
                  <wp:posOffset>-8255</wp:posOffset>
                </wp:positionH>
                <wp:positionV relativeFrom="paragraph">
                  <wp:posOffset>4834255</wp:posOffset>
                </wp:positionV>
                <wp:extent cx="6296660" cy="655955"/>
                <wp:effectExtent l="0" t="0" r="8890" b="10795"/>
                <wp:wrapNone/>
                <wp:docPr id="11" name="Text Box 11"/>
                <wp:cNvGraphicFramePr/>
                <a:graphic xmlns:a="http://schemas.openxmlformats.org/drawingml/2006/main">
                  <a:graphicData uri="http://schemas.microsoft.com/office/word/2010/wordprocessingShape">
                    <wps:wsp>
                      <wps:cNvSpPr txBox="1">
                        <a:spLocks noChangeArrowheads="1"/>
                      </wps:cNvSpPr>
                      <wps:spPr bwMode="auto">
                        <a:xfrm>
                          <a:off x="0" y="0"/>
                          <a:ext cx="6296660" cy="655955"/>
                        </a:xfrm>
                        <a:prstGeom prst="rect">
                          <a:avLst/>
                        </a:prstGeom>
                        <a:solidFill>
                          <a:srgbClr val="FFFFFF"/>
                        </a:solidFill>
                        <a:ln>
                          <a:noFill/>
                        </a:ln>
                      </wps:spPr>
                      <wps:txbx>
                        <w:txbxContent>
                          <w:p>
                            <w:pPr>
                              <w:wordWrap w:val="0"/>
                              <w:jc w:val="right"/>
                              <w:rPr>
                                <w:rFonts w:hint="eastAsia" w:ascii="黑体" w:hAnsi="宋体" w:eastAsia="黑体" w:cs="黑体"/>
                                <w:b/>
                                <w:bCs/>
                                <w:color w:val="000000" w:themeColor="text1"/>
                                <w:sz w:val="44"/>
                                <w:szCs w:val="44"/>
                                <w:lang w:eastAsia="zh-CN"/>
                                <w14:textFill>
                                  <w14:solidFill>
                                    <w14:schemeClr w14:val="tx1"/>
                                  </w14:solidFill>
                                </w14:textFill>
                              </w:rPr>
                            </w:pPr>
                            <w:r>
                              <w:rPr>
                                <w:rFonts w:hint="eastAsia" w:ascii="黑体" w:hAnsi="宋体" w:eastAsia="黑体" w:cs="黑体"/>
                                <w:b/>
                                <w:bCs/>
                                <w:color w:val="000000" w:themeColor="text1"/>
                                <w:sz w:val="44"/>
                                <w:szCs w:val="44"/>
                                <w:lang w:val="en-US" w:eastAsia="zh-CN"/>
                                <w14:textFill>
                                  <w14:solidFill>
                                    <w14:schemeClr w14:val="tx1"/>
                                  </w14:solidFill>
                                </w14:textFill>
                              </w:rPr>
                              <w:t>资产评估机构执业质量评价规则</w:t>
                            </w:r>
                          </w:p>
                        </w:txbxContent>
                      </wps:txbx>
                      <wps:bodyPr rot="0" vert="horz" wrap="square" lIns="91440" tIns="45720" rIns="91440" bIns="45720" anchor="t" anchorCtr="0" upright="1">
                        <a:noAutofit/>
                      </wps:bodyPr>
                    </wps:wsp>
                  </a:graphicData>
                </a:graphic>
              </wp:anchor>
            </w:drawing>
          </mc:Choice>
          <mc:Fallback>
            <w:pict>
              <v:shape id="Text Box 11" o:spid="_x0000_s1026" o:spt="202" type="#_x0000_t202" style="position:absolute;left:0pt;margin-left:-0.65pt;margin-top:380.65pt;height:51.65pt;width:495.8pt;z-index:251664384;mso-width-relative:page;mso-height-relative:page;" fillcolor="#FFFFFF" filled="t" stroked="f" coordsize="21600,21600" o:gfxdata="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iBXFU1wAAAAoBAAAP&#10;AAAAAAAAAAEAIAAAACIAAABkcnMvZG93bnJldi54bWxQSwECFAAUAAAACACHTuJAAheNYhkCAAA/&#10;BAAADgAAAAAAAAABACAAAAAmAQAAZHJzL2Uyb0RvYy54bWxQSwUGAAAAAAYABgBZAQAAsQUAAAAA&#10;">
                <v:fill on="t" focussize="0,0"/>
                <v:stroke on="f"/>
                <v:imagedata o:title=""/>
                <o:lock v:ext="edit" aspectratio="f"/>
                <v:textbox>
                  <w:txbxContent>
                    <w:p>
                      <w:pPr>
                        <w:wordWrap w:val="0"/>
                        <w:jc w:val="right"/>
                        <w:rPr>
                          <w:rFonts w:hint="eastAsia" w:ascii="黑体" w:hAnsi="宋体" w:eastAsia="黑体" w:cs="黑体"/>
                          <w:b/>
                          <w:bCs/>
                          <w:color w:val="000000" w:themeColor="text1"/>
                          <w:sz w:val="44"/>
                          <w:szCs w:val="44"/>
                          <w:lang w:eastAsia="zh-CN"/>
                          <w14:textFill>
                            <w14:solidFill>
                              <w14:schemeClr w14:val="tx1"/>
                            </w14:solidFill>
                          </w14:textFill>
                        </w:rPr>
                      </w:pPr>
                      <w:r>
                        <w:rPr>
                          <w:rFonts w:hint="eastAsia" w:ascii="黑体" w:hAnsi="宋体" w:eastAsia="黑体" w:cs="黑体"/>
                          <w:b/>
                          <w:bCs/>
                          <w:color w:val="000000" w:themeColor="text1"/>
                          <w:sz w:val="44"/>
                          <w:szCs w:val="44"/>
                          <w:lang w:val="en-US" w:eastAsia="zh-CN"/>
                          <w14:textFill>
                            <w14:solidFill>
                              <w14:schemeClr w14:val="tx1"/>
                            </w14:solidFill>
                          </w14:textFill>
                        </w:rPr>
                        <w:t>资产评估机构执业质量评价规则</w:t>
                      </w:r>
                    </w:p>
                  </w:txbxContent>
                </v:textbox>
              </v:shape>
            </w:pict>
          </mc:Fallback>
        </mc:AlternateContent>
      </w:r>
      <w:r>
        <w:rPr>
          <w:rFonts w:eastAsia="仿宋_GB2312"/>
          <w:sz w:val="28"/>
          <w:szCs w:val="28"/>
          <w:highlight w:val="none"/>
        </w:rPr>
        <w:drawing>
          <wp:anchor distT="0" distB="0" distL="114300" distR="114300" simplePos="0" relativeHeight="251659264" behindDoc="0" locked="0" layoutInCell="1" allowOverlap="1">
            <wp:simplePos x="0" y="0"/>
            <wp:positionH relativeFrom="page">
              <wp:posOffset>3175</wp:posOffset>
            </wp:positionH>
            <wp:positionV relativeFrom="page">
              <wp:posOffset>2540</wp:posOffset>
            </wp:positionV>
            <wp:extent cx="7548880" cy="7185025"/>
            <wp:effectExtent l="0" t="0" r="13970" b="15875"/>
            <wp:wrapSquare wrapText="bothSides"/>
            <wp:docPr id="9" name="图片 9"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02-L [Converted]"/>
                    <pic:cNvPicPr>
                      <a:picLocks noChangeAspect="1" noChangeArrowheads="1"/>
                    </pic:cNvPicPr>
                  </pic:nvPicPr>
                  <pic:blipFill>
                    <a:blip r:embed="rId9" cstate="print"/>
                    <a:srcRect/>
                    <a:stretch>
                      <a:fillRect/>
                    </a:stretch>
                  </pic:blipFill>
                  <pic:spPr>
                    <a:xfrm>
                      <a:off x="0" y="0"/>
                      <a:ext cx="7548880" cy="7185025"/>
                    </a:xfrm>
                    <a:prstGeom prst="rect">
                      <a:avLst/>
                    </a:prstGeom>
                    <a:noFill/>
                    <a:ln w="9525">
                      <a:noFill/>
                      <a:miter lim="800000"/>
                      <a:headEnd/>
                      <a:tailEnd/>
                    </a:ln>
                  </pic:spPr>
                </pic:pic>
              </a:graphicData>
            </a:graphic>
          </wp:anchor>
        </w:drawing>
      </w:r>
      <w:r>
        <w:rPr>
          <w:rFonts w:eastAsia="仿宋_GB2312"/>
          <w:sz w:val="28"/>
          <w:szCs w:val="28"/>
          <w:highlight w:val="none"/>
        </w:rPr>
        <mc:AlternateContent>
          <mc:Choice Requires="wps">
            <w:drawing>
              <wp:anchor distT="0" distB="0" distL="114300" distR="114300" simplePos="0" relativeHeight="251663360" behindDoc="0" locked="0" layoutInCell="1" allowOverlap="1">
                <wp:simplePos x="0" y="0"/>
                <wp:positionH relativeFrom="column">
                  <wp:posOffset>330835</wp:posOffset>
                </wp:positionH>
                <wp:positionV relativeFrom="paragraph">
                  <wp:posOffset>3940175</wp:posOffset>
                </wp:positionV>
                <wp:extent cx="5810885" cy="617855"/>
                <wp:effectExtent l="0" t="0" r="18415" b="10795"/>
                <wp:wrapNone/>
                <wp:docPr id="8" name="Text Box 10"/>
                <wp:cNvGraphicFramePr/>
                <a:graphic xmlns:a="http://schemas.openxmlformats.org/drawingml/2006/main">
                  <a:graphicData uri="http://schemas.microsoft.com/office/word/2010/wordprocessingShape">
                    <wps:wsp>
                      <wps:cNvSpPr txBox="1">
                        <a:spLocks noChangeArrowheads="1"/>
                      </wps:cNvSpPr>
                      <wps:spPr bwMode="auto">
                        <a:xfrm>
                          <a:off x="0" y="0"/>
                          <a:ext cx="5810885" cy="617855"/>
                        </a:xfrm>
                        <a:prstGeom prst="rect">
                          <a:avLst/>
                        </a:prstGeom>
                        <a:solidFill>
                          <a:srgbClr val="FFFFFF"/>
                        </a:solidFill>
                        <a:ln>
                          <a:noFill/>
                        </a:ln>
                      </wps:spPr>
                      <wps:txbx>
                        <w:txbxContent>
                          <w:p>
                            <w:pPr>
                              <w:jc w:val="right"/>
                              <w:rPr>
                                <w:rFonts w:hint="eastAsia" w:ascii="黑体" w:hAnsi="宋体" w:eastAsia="黑体" w:cs="黑体"/>
                                <w:b/>
                                <w:bCs/>
                                <w:color w:val="000000" w:themeColor="text1"/>
                                <w:sz w:val="48"/>
                                <w:szCs w:val="28"/>
                                <w14:textFill>
                                  <w14:solidFill>
                                    <w14:schemeClr w14:val="tx1"/>
                                  </w14:solidFill>
                                </w14:textFill>
                              </w:rPr>
                            </w:pPr>
                            <w:r>
                              <w:rPr>
                                <w:rFonts w:hint="eastAsia" w:ascii="黑体" w:hAnsi="宋体" w:eastAsia="黑体" w:cs="黑体"/>
                                <w:b/>
                                <w:bCs/>
                                <w:color w:val="000000" w:themeColor="text1"/>
                                <w:sz w:val="48"/>
                                <w:szCs w:val="28"/>
                                <w14:textFill>
                                  <w14:solidFill>
                                    <w14:schemeClr w14:val="tx1"/>
                                  </w14:solidFill>
                                </w14:textFill>
                              </w:rPr>
                              <w:t>中国南方电网有限责任公司</w:t>
                            </w:r>
                          </w:p>
                        </w:txbxContent>
                      </wps:txbx>
                      <wps:bodyPr rot="0" vert="horz" wrap="square" lIns="91440" tIns="45720" rIns="91440" bIns="45720" anchor="t" anchorCtr="0" upright="1">
                        <a:noAutofit/>
                      </wps:bodyPr>
                    </wps:wsp>
                  </a:graphicData>
                </a:graphic>
              </wp:anchor>
            </w:drawing>
          </mc:Choice>
          <mc:Fallback>
            <w:pict>
              <v:shape id="Text Box 10" o:spid="_x0000_s1026" o:spt="202" type="#_x0000_t202" style="position:absolute;left:0pt;margin-left:26.05pt;margin-top:310.25pt;height:48.65pt;width:457.55pt;z-index:251663360;mso-width-relative:page;mso-height-relative:page;" fillcolor="#FFFFFF" filled="t" stroked="f" coordsize="21600,21600" o:gfxdata="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FTEezNgAAAAK&#10;AQAADwAAAAAAAAABACAAAAAiAAAAZHJzL2Rvd25yZXYueG1sUEsBAhQAFAAAAAgAh07iQKlLWjIc&#10;AgAAPgQAAA4AAAAAAAAAAQAgAAAAJwEAAGRycy9lMm9Eb2MueG1sUEsFBgAAAAAGAAYAWQEAALUF&#10;AAAAAA==&#10;">
                <v:fill on="t" focussize="0,0"/>
                <v:stroke on="f"/>
                <v:imagedata o:title=""/>
                <o:lock v:ext="edit" aspectratio="f"/>
                <v:textbox>
                  <w:txbxContent>
                    <w:p>
                      <w:pPr>
                        <w:jc w:val="right"/>
                        <w:rPr>
                          <w:rFonts w:hint="eastAsia" w:ascii="黑体" w:hAnsi="宋体" w:eastAsia="黑体" w:cs="黑体"/>
                          <w:b/>
                          <w:bCs/>
                          <w:color w:val="000000" w:themeColor="text1"/>
                          <w:sz w:val="48"/>
                          <w:szCs w:val="28"/>
                          <w14:textFill>
                            <w14:solidFill>
                              <w14:schemeClr w14:val="tx1"/>
                            </w14:solidFill>
                          </w14:textFill>
                        </w:rPr>
                      </w:pPr>
                      <w:r>
                        <w:rPr>
                          <w:rFonts w:hint="eastAsia" w:ascii="黑体" w:hAnsi="宋体" w:eastAsia="黑体" w:cs="黑体"/>
                          <w:b/>
                          <w:bCs/>
                          <w:color w:val="000000" w:themeColor="text1"/>
                          <w:sz w:val="48"/>
                          <w:szCs w:val="28"/>
                          <w14:textFill>
                            <w14:solidFill>
                              <w14:schemeClr w14:val="tx1"/>
                            </w14:solidFill>
                          </w14:textFill>
                        </w:rPr>
                        <w:t>中国南方电网有限责任公司</w:t>
                      </w:r>
                    </w:p>
                  </w:txbxContent>
                </v:textbox>
              </v:shape>
            </w:pict>
          </mc:Fallback>
        </mc:AlternateContent>
      </w:r>
    </w:p>
    <w:bookmarkEnd w:id="7"/>
    <w:p>
      <w:pPr>
        <w:spacing w:line="360" w:lineRule="auto"/>
        <w:ind w:left="210" w:leftChars="100" w:right="210" w:rightChars="100"/>
        <w:rPr>
          <w:rFonts w:eastAsia="仿宋_GB2312"/>
          <w:sz w:val="28"/>
          <w:szCs w:val="28"/>
          <w:highlight w:val="none"/>
        </w:rPr>
        <w:sectPr>
          <w:footerReference r:id="rId4" w:type="default"/>
          <w:headerReference r:id="rId3" w:type="even"/>
          <w:pgSz w:w="11906" w:h="16838"/>
          <w:pgMar w:top="284" w:right="284" w:bottom="284" w:left="284" w:header="851" w:footer="992" w:gutter="0"/>
          <w:pgNumType w:fmt="decimal" w:start="1"/>
          <w:cols w:space="720" w:num="1"/>
          <w:docGrid w:type="lines" w:linePitch="312" w:charSpace="0"/>
        </w:sectPr>
      </w:pPr>
      <w:r>
        <w:rPr>
          <w:rFonts w:eastAsia="仿宋_GB2312"/>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-180340</wp:posOffset>
                </wp:positionH>
                <wp:positionV relativeFrom="paragraph">
                  <wp:posOffset>1600835</wp:posOffset>
                </wp:positionV>
                <wp:extent cx="7548880" cy="897255"/>
                <wp:effectExtent l="0" t="0" r="13970" b="17145"/>
                <wp:wrapTopAndBottom/>
                <wp:docPr id="7" name="Rectangle 4"/>
                <wp:cNvGraphicFramePr/>
                <a:graphic xmlns:a="http://schemas.openxmlformats.org/drawingml/2006/main">
                  <a:graphicData uri="http://schemas.microsoft.com/office/word/2010/wordprocessingShape">
                    <wps:wsp>
                      <wps:cNvSpPr>
                        <a:spLocks noChangeArrowheads="1"/>
                      </wps:cNvSpPr>
                      <wps:spPr bwMode="auto">
                        <a:xfrm>
                          <a:off x="0" y="0"/>
                          <a:ext cx="7548880" cy="897255"/>
                        </a:xfrm>
                        <a:prstGeom prst="rect">
                          <a:avLst/>
                        </a:prstGeom>
                        <a:solidFill>
                          <a:srgbClr val="FFFFFF"/>
                        </a:solidFill>
                        <a:ln>
                          <a:noFill/>
                        </a:ln>
                      </wps:spPr>
                      <wps:txbx>
                        <w:txbxContent>
                          <w:p>
                            <w:pPr>
                              <w:jc w:val="center"/>
                              <w:rPr>
                                <w:rFonts w:hint="eastAsia"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t>公司</w:t>
                            </w:r>
                            <w:r>
                              <w:rPr>
                                <w:rFonts w:hint="eastAsia" w:ascii="黑体" w:hAnsi="宋体" w:eastAsia="黑体"/>
                                <w:b/>
                                <w:color w:val="000000" w:themeColor="text1"/>
                                <w:sz w:val="30"/>
                                <w:szCs w:val="30"/>
                                <w:lang w:val="en-US" w:eastAsia="zh-CN"/>
                                <w14:textFill>
                                  <w14:solidFill>
                                    <w14:schemeClr w14:val="tx1"/>
                                  </w14:solidFill>
                                </w14:textFill>
                              </w:rPr>
                              <w:t>计划与财务</w:t>
                            </w:r>
                            <w:r>
                              <w:rPr>
                                <w:rFonts w:hint="eastAsia" w:ascii="黑体" w:hAnsi="宋体" w:eastAsia="黑体"/>
                                <w:b/>
                                <w:color w:val="000000" w:themeColor="text1"/>
                                <w:sz w:val="30"/>
                                <w:szCs w:val="30"/>
                                <w14:textFill>
                                  <w14:solidFill>
                                    <w14:schemeClr w14:val="tx1"/>
                                  </w14:solidFill>
                                </w14:textFill>
                              </w:rPr>
                              <w:t>部</w:t>
                            </w:r>
                          </w:p>
                          <w:p>
                            <w:pPr>
                              <w:jc w:val="center"/>
                              <w:rPr>
                                <w:rFonts w:ascii="黑体" w:hAnsi="宋体" w:eastAsia="黑体"/>
                                <w:b/>
                                <w:color w:val="000000" w:themeColor="text1"/>
                                <w:sz w:val="30"/>
                                <w:szCs w:val="30"/>
                                <w:highlight w:val="none"/>
                                <w14:textFill>
                                  <w14:solidFill>
                                    <w14:schemeClr w14:val="tx1"/>
                                  </w14:solidFill>
                                </w14:textFill>
                              </w:rPr>
                            </w:pPr>
                            <w:r>
                              <w:rPr>
                                <w:rFonts w:hint="eastAsia" w:ascii="黑体" w:hAnsi="宋体" w:eastAsia="黑体"/>
                                <w:b/>
                                <w:color w:val="000000" w:themeColor="text1"/>
                                <w:sz w:val="30"/>
                                <w:szCs w:val="30"/>
                                <w:highlight w:val="none"/>
                                <w14:textFill>
                                  <w14:solidFill>
                                    <w14:schemeClr w14:val="tx1"/>
                                  </w14:solidFill>
                                </w14:textFill>
                              </w:rPr>
                              <w:t>二〇二</w:t>
                            </w:r>
                            <w:r>
                              <w:rPr>
                                <w:rFonts w:hint="eastAsia" w:ascii="黑体" w:hAnsi="宋体" w:eastAsia="黑体"/>
                                <w:b/>
                                <w:color w:val="000000" w:themeColor="text1"/>
                                <w:sz w:val="30"/>
                                <w:szCs w:val="30"/>
                                <w:highlight w:val="none"/>
                                <w:lang w:val="en-US" w:eastAsia="zh-CN"/>
                                <w14:textFill>
                                  <w14:solidFill>
                                    <w14:schemeClr w14:val="tx1"/>
                                  </w14:solidFill>
                                </w14:textFill>
                              </w:rPr>
                              <w:t>六</w:t>
                            </w:r>
                            <w:r>
                              <w:rPr>
                                <w:rFonts w:hint="eastAsia" w:ascii="黑体" w:hAnsi="宋体" w:eastAsia="黑体"/>
                                <w:b/>
                                <w:color w:val="000000" w:themeColor="text1"/>
                                <w:sz w:val="30"/>
                                <w:szCs w:val="30"/>
                                <w:highlight w:val="none"/>
                                <w14:textFill>
                                  <w14:solidFill>
                                    <w14:schemeClr w14:val="tx1"/>
                                  </w14:solidFill>
                                </w14:textFill>
                              </w:rPr>
                              <w:t>年</w:t>
                            </w:r>
                            <w:r>
                              <w:rPr>
                                <w:rFonts w:hint="eastAsia" w:ascii="黑体" w:hAnsi="宋体" w:eastAsia="黑体"/>
                                <w:b/>
                                <w:color w:val="000000" w:themeColor="text1"/>
                                <w:sz w:val="30"/>
                                <w:szCs w:val="30"/>
                                <w:highlight w:val="none"/>
                                <w:lang w:val="en-US" w:eastAsia="zh-CN"/>
                                <w14:textFill>
                                  <w14:solidFill>
                                    <w14:schemeClr w14:val="tx1"/>
                                  </w14:solidFill>
                                </w14:textFill>
                              </w:rPr>
                              <w:t>六</w:t>
                            </w:r>
                            <w:r>
                              <w:rPr>
                                <w:rFonts w:hint="eastAsia" w:ascii="黑体" w:hAnsi="宋体" w:eastAsia="黑体"/>
                                <w:b/>
                                <w:color w:val="000000" w:themeColor="text1"/>
                                <w:sz w:val="30"/>
                                <w:szCs w:val="30"/>
                                <w:highlight w:val="none"/>
                                <w14:textFill>
                                  <w14:solidFill>
                                    <w14:schemeClr w14:val="tx1"/>
                                  </w14:solidFill>
                                </w14:textFill>
                              </w:rPr>
                              <w:t>月</w:t>
                            </w:r>
                          </w:p>
                        </w:txbxContent>
                      </wps:txbx>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4.2pt;margin-top:126.05pt;height:70.65pt;width:594.4pt;mso-wrap-distance-bottom:0pt;mso-wrap-distance-top:0pt;z-index:251662336;mso-width-relative:page;mso-height-relative:page;" fillcolor="#FFFFFF" filled="t" stroked="f" coordsize="21600,21600" o:gfxdata="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jKoMHZAAAADAEAAA8A&#10;AAAAAAAAAQAgAAAAIgAAAGRycy9kb3ducmV2LnhtbFBLAQIUABQAAAAIAIdO4kBPbwjfFgIAADQE&#10;AAAOAAAAAAAAAAEAIAAAACgBAABkcnMvZTJvRG9jLnhtbFBLBQYAAAAABgAGAFkBAACwBQAAAAA=&#10;">
                <v:fill on="t" focussize="0,0"/>
                <v:stroke on="f"/>
                <v:imagedata o:title=""/>
                <o:lock v:ext="edit" aspectratio="f"/>
                <v:textbox>
                  <w:txbxContent>
                    <w:p>
                      <w:pPr>
                        <w:jc w:val="center"/>
                        <w:rPr>
                          <w:rFonts w:hint="eastAsia" w:ascii="黑体" w:hAnsi="宋体" w:eastAsia="黑体"/>
                          <w:b/>
                          <w:color w:val="000000" w:themeColor="text1"/>
                          <w:sz w:val="30"/>
                          <w:szCs w:val="30"/>
                          <w14:textFill>
                            <w14:solidFill>
                              <w14:schemeClr w14:val="tx1"/>
                            </w14:solidFill>
                          </w14:textFill>
                        </w:rPr>
                      </w:pPr>
                      <w:r>
                        <w:rPr>
                          <w:rFonts w:hint="eastAsia" w:ascii="黑体" w:hAnsi="宋体" w:eastAsia="黑体"/>
                          <w:b/>
                          <w:color w:val="000000" w:themeColor="text1"/>
                          <w:sz w:val="30"/>
                          <w:szCs w:val="30"/>
                          <w14:textFill>
                            <w14:solidFill>
                              <w14:schemeClr w14:val="tx1"/>
                            </w14:solidFill>
                          </w14:textFill>
                        </w:rPr>
                        <w:t>公司</w:t>
                      </w:r>
                      <w:r>
                        <w:rPr>
                          <w:rFonts w:hint="eastAsia" w:ascii="黑体" w:hAnsi="宋体" w:eastAsia="黑体"/>
                          <w:b/>
                          <w:color w:val="000000" w:themeColor="text1"/>
                          <w:sz w:val="30"/>
                          <w:szCs w:val="30"/>
                          <w:lang w:val="en-US" w:eastAsia="zh-CN"/>
                          <w14:textFill>
                            <w14:solidFill>
                              <w14:schemeClr w14:val="tx1"/>
                            </w14:solidFill>
                          </w14:textFill>
                        </w:rPr>
                        <w:t>计划与财务</w:t>
                      </w:r>
                      <w:r>
                        <w:rPr>
                          <w:rFonts w:hint="eastAsia" w:ascii="黑体" w:hAnsi="宋体" w:eastAsia="黑体"/>
                          <w:b/>
                          <w:color w:val="000000" w:themeColor="text1"/>
                          <w:sz w:val="30"/>
                          <w:szCs w:val="30"/>
                          <w14:textFill>
                            <w14:solidFill>
                              <w14:schemeClr w14:val="tx1"/>
                            </w14:solidFill>
                          </w14:textFill>
                        </w:rPr>
                        <w:t>部</w:t>
                      </w:r>
                    </w:p>
                    <w:p>
                      <w:pPr>
                        <w:jc w:val="center"/>
                        <w:rPr>
                          <w:rFonts w:ascii="黑体" w:hAnsi="宋体" w:eastAsia="黑体"/>
                          <w:b/>
                          <w:color w:val="000000" w:themeColor="text1"/>
                          <w:sz w:val="30"/>
                          <w:szCs w:val="30"/>
                          <w:highlight w:val="none"/>
                          <w14:textFill>
                            <w14:solidFill>
                              <w14:schemeClr w14:val="tx1"/>
                            </w14:solidFill>
                          </w14:textFill>
                        </w:rPr>
                      </w:pPr>
                      <w:r>
                        <w:rPr>
                          <w:rFonts w:hint="eastAsia" w:ascii="黑体" w:hAnsi="宋体" w:eastAsia="黑体"/>
                          <w:b/>
                          <w:color w:val="000000" w:themeColor="text1"/>
                          <w:sz w:val="30"/>
                          <w:szCs w:val="30"/>
                          <w:highlight w:val="none"/>
                          <w14:textFill>
                            <w14:solidFill>
                              <w14:schemeClr w14:val="tx1"/>
                            </w14:solidFill>
                          </w14:textFill>
                        </w:rPr>
                        <w:t>二〇二</w:t>
                      </w:r>
                      <w:r>
                        <w:rPr>
                          <w:rFonts w:hint="eastAsia" w:ascii="黑体" w:hAnsi="宋体" w:eastAsia="黑体"/>
                          <w:b/>
                          <w:color w:val="000000" w:themeColor="text1"/>
                          <w:sz w:val="30"/>
                          <w:szCs w:val="30"/>
                          <w:highlight w:val="none"/>
                          <w:lang w:val="en-US" w:eastAsia="zh-CN"/>
                          <w14:textFill>
                            <w14:solidFill>
                              <w14:schemeClr w14:val="tx1"/>
                            </w14:solidFill>
                          </w14:textFill>
                        </w:rPr>
                        <w:t>六</w:t>
                      </w:r>
                      <w:r>
                        <w:rPr>
                          <w:rFonts w:hint="eastAsia" w:ascii="黑体" w:hAnsi="宋体" w:eastAsia="黑体"/>
                          <w:b/>
                          <w:color w:val="000000" w:themeColor="text1"/>
                          <w:sz w:val="30"/>
                          <w:szCs w:val="30"/>
                          <w:highlight w:val="none"/>
                          <w14:textFill>
                            <w14:solidFill>
                              <w14:schemeClr w14:val="tx1"/>
                            </w14:solidFill>
                          </w14:textFill>
                        </w:rPr>
                        <w:t>年</w:t>
                      </w:r>
                      <w:r>
                        <w:rPr>
                          <w:rFonts w:hint="eastAsia" w:ascii="黑体" w:hAnsi="宋体" w:eastAsia="黑体"/>
                          <w:b/>
                          <w:color w:val="000000" w:themeColor="text1"/>
                          <w:sz w:val="30"/>
                          <w:szCs w:val="30"/>
                          <w:highlight w:val="none"/>
                          <w:lang w:val="en-US" w:eastAsia="zh-CN"/>
                          <w14:textFill>
                            <w14:solidFill>
                              <w14:schemeClr w14:val="tx1"/>
                            </w14:solidFill>
                          </w14:textFill>
                        </w:rPr>
                        <w:t>六</w:t>
                      </w:r>
                      <w:r>
                        <w:rPr>
                          <w:rFonts w:hint="eastAsia" w:ascii="黑体" w:hAnsi="宋体" w:eastAsia="黑体"/>
                          <w:b/>
                          <w:color w:val="000000" w:themeColor="text1"/>
                          <w:sz w:val="30"/>
                          <w:szCs w:val="30"/>
                          <w:highlight w:val="none"/>
                          <w14:textFill>
                            <w14:solidFill>
                              <w14:schemeClr w14:val="tx1"/>
                            </w14:solidFill>
                          </w14:textFill>
                        </w:rPr>
                        <w:t>月</w:t>
                      </w:r>
                    </w:p>
                  </w:txbxContent>
                </v:textbox>
                <w10:wrap type="topAndBottom"/>
              </v:rect>
            </w:pict>
          </mc:Fallback>
        </mc:AlternateContent>
      </w:r>
      <w:r>
        <w:rPr>
          <w:rFonts w:eastAsia="仿宋_GB2312"/>
          <w:sz w:val="28"/>
          <w:szCs w:val="28"/>
          <w:highlight w:val="none"/>
        </w:rPr>
        <mc:AlternateContent>
          <mc:Choice Requires="wps">
            <w:drawing>
              <wp:anchor distT="0" distB="0" distL="114300" distR="114300" simplePos="0" relativeHeight="251660288" behindDoc="0" locked="0" layoutInCell="1" allowOverlap="1">
                <wp:simplePos x="0" y="0"/>
                <wp:positionH relativeFrom="column">
                  <wp:posOffset>1571625</wp:posOffset>
                </wp:positionH>
                <wp:positionV relativeFrom="paragraph">
                  <wp:posOffset>3640455</wp:posOffset>
                </wp:positionV>
                <wp:extent cx="4362450" cy="603885"/>
                <wp:effectExtent l="0" t="0" r="0" b="5715"/>
                <wp:wrapNone/>
                <wp:docPr id="6" name="Rectangle 5"/>
                <wp:cNvGraphicFramePr/>
                <a:graphic xmlns:a="http://schemas.openxmlformats.org/drawingml/2006/main">
                  <a:graphicData uri="http://schemas.microsoft.com/office/word/2010/wordprocessingShape">
                    <wps:wsp>
                      <wps:cNvSpPr>
                        <a:spLocks noChangeArrowheads="1"/>
                      </wps:cNvSpPr>
                      <wps:spPr bwMode="auto">
                        <a:xfrm>
                          <a:off x="0" y="0"/>
                          <a:ext cx="4362450" cy="603885"/>
                        </a:xfrm>
                        <a:prstGeom prst="rect">
                          <a:avLst/>
                        </a:prstGeom>
                        <a:solidFill>
                          <a:srgbClr val="FFFFFF"/>
                        </a:solidFill>
                        <a:ln>
                          <a:noFill/>
                        </a:ln>
                      </wps:spPr>
                      <wps:txbx>
                        <w:txbxContent>
                          <w:p>
                            <w:pPr>
                              <w:wordWrap w:val="0"/>
                              <w:jc w:val="right"/>
                              <w:rPr>
                                <w:rFonts w:eastAsia="黑体"/>
                                <w:b/>
                                <w:bCs/>
                                <w:color w:val="1F497D"/>
                                <w:sz w:val="48"/>
                                <w:szCs w:val="48"/>
                              </w:rPr>
                            </w:pPr>
                            <w:r>
                              <w:rPr>
                                <w:rFonts w:hint="eastAsia" w:eastAsia="黑体"/>
                                <w:b/>
                                <w:bCs/>
                                <w:color w:val="1F497D"/>
                                <w:sz w:val="48"/>
                                <w:szCs w:val="48"/>
                              </w:rPr>
                              <w:t>南方电网</w:t>
                            </w:r>
                          </w:p>
                          <w:p>
                            <w:pPr>
                              <w:rPr>
                                <w:sz w:val="48"/>
                                <w:szCs w:val="48"/>
                              </w:rPr>
                            </w:pPr>
                          </w:p>
                        </w:txbxContent>
                      </wps:txbx>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123.75pt;margin-top:286.65pt;height:47.55pt;width:343.5pt;z-index:251660288;mso-width-relative:page;mso-height-relative:page;" fillcolor="#FFFFFF" filled="t" stroked="f" coordsize="21600,21600" o:gfxdata="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ohtRz2QAAAAsBAAAP&#10;AAAAAAAAAAEAIAAAACIAAABkcnMvZG93bnJldi54bWxQSwECFAAUAAAACACHTuJAmFheaBcCAAA0&#10;BAAADgAAAAAAAAABACAAAAAoAQAAZHJzL2Uyb0RvYy54bWxQSwUGAAAAAAYABgBZAQAAsQUAAAAA&#10;">
                <v:fill on="t" focussize="0,0"/>
                <v:stroke on="f"/>
                <v:imagedata o:title=""/>
                <o:lock v:ext="edit" aspectratio="f"/>
                <v:textbox>
                  <w:txbxContent>
                    <w:p>
                      <w:pPr>
                        <w:wordWrap w:val="0"/>
                        <w:jc w:val="right"/>
                        <w:rPr>
                          <w:rFonts w:eastAsia="黑体"/>
                          <w:b/>
                          <w:bCs/>
                          <w:color w:val="1F497D"/>
                          <w:sz w:val="48"/>
                          <w:szCs w:val="48"/>
                        </w:rPr>
                      </w:pPr>
                      <w:r>
                        <w:rPr>
                          <w:rFonts w:hint="eastAsia" w:eastAsia="黑体"/>
                          <w:b/>
                          <w:bCs/>
                          <w:color w:val="1F497D"/>
                          <w:sz w:val="48"/>
                          <w:szCs w:val="48"/>
                        </w:rPr>
                        <w:t>南方电网</w:t>
                      </w:r>
                    </w:p>
                    <w:p>
                      <w:pPr>
                        <w:rPr>
                          <w:sz w:val="48"/>
                          <w:szCs w:val="48"/>
                        </w:rPr>
                      </w:pPr>
                    </w:p>
                  </w:txbxContent>
                </v:textbox>
              </v:rect>
            </w:pict>
          </mc:Fallback>
        </mc:AlternateContent>
      </w:r>
      <w:r>
        <w:rPr>
          <w:rFonts w:eastAsia="仿宋_GB2312"/>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585470</wp:posOffset>
                </wp:positionH>
                <wp:positionV relativeFrom="paragraph">
                  <wp:posOffset>4287520</wp:posOffset>
                </wp:positionV>
                <wp:extent cx="5486400" cy="792480"/>
                <wp:effectExtent l="0" t="0" r="0" b="7620"/>
                <wp:wrapNone/>
                <wp:docPr id="5" name="Rectangle 7"/>
                <wp:cNvGraphicFramePr/>
                <a:graphic xmlns:a="http://schemas.openxmlformats.org/drawingml/2006/main">
                  <a:graphicData uri="http://schemas.microsoft.com/office/word/2010/wordprocessingShape">
                    <wps:wsp>
                      <wps:cNvSpPr>
                        <a:spLocks noChangeArrowheads="1"/>
                      </wps:cNvSpPr>
                      <wps:spPr bwMode="auto">
                        <a:xfrm>
                          <a:off x="0" y="0"/>
                          <a:ext cx="5486400" cy="792480"/>
                        </a:xfrm>
                        <a:prstGeom prst="rect">
                          <a:avLst/>
                        </a:prstGeom>
                        <a:solidFill>
                          <a:srgbClr val="FFFFFF"/>
                        </a:solidFill>
                        <a:ln>
                          <a:noFill/>
                        </a:ln>
                      </wps:spPr>
                      <wps:txbx>
                        <w:txbxContent>
                          <w:p>
                            <w:pPr>
                              <w:jc w:val="right"/>
                              <w:rPr>
                                <w:rFonts w:eastAsia="黑体"/>
                                <w:b/>
                                <w:bCs/>
                                <w:color w:val="1F497D"/>
                                <w:sz w:val="52"/>
                                <w:szCs w:val="52"/>
                              </w:rPr>
                            </w:pPr>
                            <w:r>
                              <w:rPr>
                                <w:rFonts w:hint="eastAsia" w:eastAsia="黑体"/>
                                <w:b/>
                                <w:bCs/>
                                <w:color w:val="1F497D"/>
                                <w:sz w:val="52"/>
                                <w:szCs w:val="52"/>
                              </w:rPr>
                              <w:t>物资品控体系建设工作汇报</w:t>
                            </w:r>
                          </w:p>
                          <w:p>
                            <w:pPr>
                              <w:rPr>
                                <w:sz w:val="52"/>
                                <w:szCs w:val="52"/>
                              </w:rPr>
                            </w:pP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46.1pt;margin-top:337.6pt;height:62.4pt;width:432pt;z-index:251661312;mso-width-relative:page;mso-height-relative:page;" fillcolor="#FFFFFF" filled="t" stroked="f" coordsize="21600,21600" o:gfxdata="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SirBPXAAAACgEAAA8A&#10;AAAAAAAAAQAgAAAAIgAAAGRycy9kb3ducmV2LnhtbFBLAQIUABQAAAAIAIdO4kCDdlljGAIAADQE&#10;AAAOAAAAAAAAAAEAIAAAACYBAABkcnMvZTJvRG9jLnhtbFBLBQYAAAAABgAGAFkBAACwBQAAAAA=&#10;">
                <v:fill on="t" focussize="0,0"/>
                <v:stroke on="f"/>
                <v:imagedata o:title=""/>
                <o:lock v:ext="edit" aspectratio="f"/>
                <v:textbox>
                  <w:txbxContent>
                    <w:p>
                      <w:pPr>
                        <w:jc w:val="right"/>
                        <w:rPr>
                          <w:rFonts w:eastAsia="黑体"/>
                          <w:b/>
                          <w:bCs/>
                          <w:color w:val="1F497D"/>
                          <w:sz w:val="52"/>
                          <w:szCs w:val="52"/>
                        </w:rPr>
                      </w:pPr>
                      <w:r>
                        <w:rPr>
                          <w:rFonts w:hint="eastAsia" w:eastAsia="黑体"/>
                          <w:b/>
                          <w:bCs/>
                          <w:color w:val="1F497D"/>
                          <w:sz w:val="52"/>
                          <w:szCs w:val="52"/>
                        </w:rPr>
                        <w:t>物资品控体系建设工作汇报</w:t>
                      </w:r>
                    </w:p>
                    <w:p>
                      <w:pPr>
                        <w:rPr>
                          <w:sz w:val="52"/>
                          <w:szCs w:val="52"/>
                        </w:rPr>
                      </w:pPr>
                    </w:p>
                  </w:txbxContent>
                </v:textbox>
              </v:rect>
            </w:pict>
          </mc:Fallback>
        </mc:AlternateContent>
      </w:r>
    </w:p>
    <w:p>
      <w:pPr>
        <w:pStyle w:val="2"/>
        <w:ind w:left="210" w:right="210" w:firstLine="562"/>
        <w:rPr>
          <w:highlight w:val="none"/>
        </w:rPr>
      </w:pPr>
    </w:p>
    <w:bookmarkEnd w:id="0"/>
    <w:p>
      <w:pPr>
        <w:pStyle w:val="2"/>
        <w:spacing w:before="0" w:after="0" w:line="560" w:lineRule="exact"/>
        <w:rPr>
          <w:rFonts w:hint="eastAsia" w:eastAsia="方正小标宋_GBK"/>
          <w:sz w:val="44"/>
          <w:szCs w:val="44"/>
          <w:highlight w:val="none"/>
          <w:lang w:val="en-US" w:eastAsia="zh-CN"/>
        </w:rPr>
      </w:pPr>
      <w:r>
        <w:rPr>
          <w:rFonts w:hint="eastAsia" w:ascii="方正小标宋_GBK" w:hAnsi="方正小标宋_GBK" w:eastAsia="方正小标宋_GBK" w:cs="方正小标宋_GBK"/>
          <w:b/>
          <w:bCs/>
          <w:color w:val="000000" w:themeColor="text1"/>
          <w:sz w:val="44"/>
          <w:szCs w:val="44"/>
          <w:highlight w:val="none"/>
          <w:lang w:eastAsia="zh-CN"/>
          <w14:textFill>
            <w14:solidFill>
              <w14:schemeClr w14:val="tx1"/>
            </w14:solidFill>
          </w14:textFill>
        </w:rPr>
        <w:t>资产评估机构执业质量评价</w:t>
      </w:r>
      <w:r>
        <w:rPr>
          <w:rFonts w:hint="eastAsia" w:ascii="方正小标宋_GBK" w:hAnsi="方正小标宋_GBK" w:eastAsia="方正小标宋_GBK" w:cs="方正小标宋_GBK"/>
          <w:b/>
          <w:bCs/>
          <w:color w:val="000000" w:themeColor="text1"/>
          <w:sz w:val="44"/>
          <w:szCs w:val="44"/>
          <w:highlight w:val="none"/>
          <w:lang w:val="en-US" w:eastAsia="zh-CN"/>
          <w14:textFill>
            <w14:solidFill>
              <w14:schemeClr w14:val="tx1"/>
            </w14:solidFill>
          </w14:textFill>
        </w:rPr>
        <w:t>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pPr>
      <w:r>
        <w:rPr>
          <w:rFonts w:hint="eastAsia" w:ascii="仿宋_GB2312" w:hAnsi="仿宋_GB2312" w:eastAsia="仿宋_GB2312" w:cs="仿宋_GB2312"/>
          <w:sz w:val="32"/>
          <w:szCs w:val="40"/>
          <w:highlight w:val="none"/>
          <w:lang w:val="en-US" w:eastAsia="zh-CN"/>
        </w:rPr>
        <w:t>为规范资产评估中介机构工作，促进资产评估中介机构不断提升资产评估服务质量，防范国有资产流失风险，南方电网公司</w:t>
      </w:r>
      <w:r>
        <w:rPr>
          <w:rFonts w:hint="eastAsia" w:ascii="仿宋_GB2312" w:hAnsi="仿宋_GB2312" w:eastAsia="仿宋_GB2312" w:cs="仿宋_GB2312"/>
          <w:color w:val="auto"/>
          <w:sz w:val="32"/>
          <w:szCs w:val="40"/>
          <w:lang w:val="en-US" w:eastAsia="zh-CN"/>
        </w:rPr>
        <w:t>开展</w:t>
      </w:r>
      <w:r>
        <w:rPr>
          <w:rFonts w:hint="eastAsia" w:ascii="仿宋_GB2312" w:hAnsi="仿宋_GB2312" w:eastAsia="仿宋_GB2312" w:cs="仿宋_GB2312"/>
          <w:sz w:val="32"/>
          <w:szCs w:val="40"/>
          <w:highlight w:val="none"/>
        </w:rPr>
        <w:t>资产评估中介机构执业质量评价</w:t>
      </w:r>
      <w:r>
        <w:rPr>
          <w:rFonts w:hint="eastAsia" w:ascii="楷体_GB2312" w:hAnsi="楷体_GB2312" w:eastAsia="楷体_GB2312" w:cs="楷体_GB2312"/>
          <w:sz w:val="32"/>
          <w:szCs w:val="40"/>
          <w:highlight w:val="none"/>
          <w:lang w:eastAsia="zh-CN"/>
        </w:rPr>
        <w:t>（</w:t>
      </w:r>
      <w:r>
        <w:rPr>
          <w:rFonts w:hint="eastAsia" w:ascii="楷体_GB2312" w:hAnsi="楷体_GB2312" w:eastAsia="楷体_GB2312" w:cs="楷体_GB2312"/>
          <w:sz w:val="32"/>
          <w:szCs w:val="40"/>
          <w:highlight w:val="none"/>
          <w:lang w:val="en-US" w:eastAsia="zh-CN"/>
        </w:rPr>
        <w:t>以下简称“评价”</w:t>
      </w:r>
      <w:r>
        <w:rPr>
          <w:rFonts w:hint="eastAsia" w:ascii="楷体_GB2312" w:hAnsi="楷体_GB2312" w:eastAsia="楷体_GB2312" w:cs="楷体_GB2312"/>
          <w:sz w:val="32"/>
          <w:szCs w:val="40"/>
          <w:highlight w:val="none"/>
          <w:lang w:eastAsia="zh-CN"/>
        </w:rPr>
        <w:t>）</w:t>
      </w:r>
      <w:r>
        <w:rPr>
          <w:rFonts w:hint="eastAsia" w:ascii="仿宋_GB2312" w:hAnsi="仿宋_GB2312" w:eastAsia="仿宋_GB2312" w:cs="仿宋_GB2312"/>
          <w:color w:val="auto"/>
          <w:sz w:val="32"/>
          <w:szCs w:val="40"/>
          <w:lang w:val="en-US" w:eastAsia="zh-CN"/>
        </w:rPr>
        <w:t>，并将评价结果反馈应用于</w:t>
      </w:r>
      <w:r>
        <w:rPr>
          <w:rFonts w:hint="eastAsia" w:ascii="仿宋_GB2312" w:hAnsi="仿宋_GB2312" w:eastAsia="仿宋_GB2312" w:cs="仿宋_GB2312"/>
          <w:sz w:val="32"/>
          <w:szCs w:val="40"/>
          <w:highlight w:val="none"/>
          <w:lang w:val="en-US" w:eastAsia="zh-CN"/>
        </w:rPr>
        <w:t>资产评估项目</w:t>
      </w:r>
      <w:r>
        <w:rPr>
          <w:rFonts w:hint="eastAsia" w:ascii="仿宋_GB2312" w:hAnsi="仿宋_GB2312" w:eastAsia="仿宋_GB2312" w:cs="仿宋_GB2312"/>
          <w:color w:val="auto"/>
          <w:sz w:val="32"/>
          <w:szCs w:val="40"/>
          <w:lang w:val="en-US" w:eastAsia="zh-CN"/>
        </w:rPr>
        <w:t>中介服务采购环节</w:t>
      </w:r>
      <w:r>
        <w:rPr>
          <w:rFonts w:hint="eastAsia" w:ascii="仿宋_GB2312" w:hAnsi="仿宋_GB2312" w:eastAsia="仿宋_GB2312" w:cs="仿宋_GB2312"/>
          <w:sz w:val="32"/>
          <w:szCs w:val="40"/>
          <w:highlight w:val="none"/>
          <w:lang w:val="en-US" w:eastAsia="zh-CN"/>
        </w:rPr>
        <w:t>。</w:t>
      </w:r>
      <w:r>
        <w:rPr>
          <w:rFonts w:hint="eastAsia" w:ascii="仿宋_GB2312" w:hAnsi="仿宋_GB2312" w:eastAsia="仿宋_GB2312" w:cs="仿宋_GB2312"/>
          <w:color w:val="auto"/>
          <w:sz w:val="32"/>
          <w:szCs w:val="40"/>
          <w:lang w:val="en-US" w:eastAsia="zh-CN"/>
        </w:rPr>
        <w:t>具体规则如下：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outlineLvl w:val="0"/>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评价程序和内容</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outlineLvl w:val="9"/>
        <w:rPr>
          <w:rFonts w:hint="eastAsia" w:ascii="仿宋_GB2312" w:hAnsi="仿宋_GB2312" w:eastAsia="仿宋_GB2312" w:cs="仿宋_GB2312"/>
          <w:sz w:val="32"/>
          <w:szCs w:val="40"/>
          <w:highlight w:val="none"/>
          <w:lang w:val="en-US" w:eastAsia="zh-CN"/>
        </w:rPr>
      </w:pPr>
      <w:bookmarkStart w:id="1" w:name="_Toc13727"/>
      <w:r>
        <w:rPr>
          <w:rFonts w:hint="eastAsia" w:ascii="仿宋_GB2312" w:hAnsi="仿宋_GB2312" w:eastAsia="仿宋_GB2312" w:cs="仿宋_GB2312"/>
          <w:sz w:val="32"/>
          <w:szCs w:val="40"/>
          <w:highlight w:val="none"/>
        </w:rPr>
        <w:t>评价工作</w:t>
      </w:r>
      <w:r>
        <w:rPr>
          <w:rFonts w:hint="eastAsia" w:ascii="仿宋_GB2312" w:hAnsi="仿宋_GB2312" w:eastAsia="仿宋_GB2312" w:cs="仿宋_GB2312"/>
          <w:sz w:val="32"/>
          <w:szCs w:val="40"/>
          <w:highlight w:val="none"/>
          <w:lang w:val="en-US" w:eastAsia="zh-CN"/>
        </w:rPr>
        <w:t>结果由各</w:t>
      </w:r>
      <w:r>
        <w:rPr>
          <w:rFonts w:hint="eastAsia" w:ascii="仿宋_GB2312" w:hAnsi="仿宋_GB2312" w:eastAsia="仿宋_GB2312" w:cs="仿宋_GB2312"/>
          <w:sz w:val="32"/>
          <w:szCs w:val="40"/>
          <w:highlight w:val="none"/>
        </w:rPr>
        <w:t>单位初评原始成绩、总部加权复评后得出，</w:t>
      </w:r>
      <w:r>
        <w:rPr>
          <w:rFonts w:hint="eastAsia" w:ascii="仿宋_GB2312" w:hAnsi="仿宋_GB2312" w:eastAsia="仿宋_GB2312" w:cs="仿宋_GB2312"/>
          <w:sz w:val="32"/>
          <w:szCs w:val="40"/>
          <w:highlight w:val="none"/>
          <w:lang w:eastAsia="zh-CN"/>
        </w:rPr>
        <w:t>资产评估</w:t>
      </w:r>
      <w:r>
        <w:rPr>
          <w:rFonts w:hint="eastAsia" w:ascii="仿宋_GB2312" w:hAnsi="仿宋_GB2312" w:eastAsia="仿宋_GB2312" w:cs="仿宋_GB2312"/>
          <w:sz w:val="32"/>
          <w:szCs w:val="40"/>
          <w:highlight w:val="none"/>
        </w:rPr>
        <w:t>覆盖该</w:t>
      </w:r>
      <w:r>
        <w:rPr>
          <w:rFonts w:hint="eastAsia" w:ascii="仿宋_GB2312" w:hAnsi="仿宋_GB2312" w:eastAsia="仿宋_GB2312" w:cs="仿宋_GB2312"/>
          <w:sz w:val="32"/>
          <w:szCs w:val="40"/>
          <w:highlight w:val="none"/>
          <w:lang w:val="en-US" w:eastAsia="zh-CN"/>
        </w:rPr>
        <w:t>资产评估机构</w:t>
      </w:r>
      <w:r>
        <w:rPr>
          <w:rFonts w:hint="eastAsia" w:ascii="仿宋_GB2312" w:hAnsi="仿宋_GB2312" w:eastAsia="仿宋_GB2312" w:cs="仿宋_GB2312"/>
          <w:sz w:val="32"/>
          <w:szCs w:val="40"/>
          <w:highlight w:val="none"/>
        </w:rPr>
        <w:t>在南方电网内承接的所有</w:t>
      </w:r>
      <w:r>
        <w:rPr>
          <w:rFonts w:hint="eastAsia" w:ascii="仿宋_GB2312" w:hAnsi="仿宋_GB2312" w:eastAsia="仿宋_GB2312" w:cs="仿宋_GB2312"/>
          <w:sz w:val="32"/>
          <w:szCs w:val="40"/>
          <w:highlight w:val="none"/>
          <w:lang w:eastAsia="zh-CN"/>
        </w:rPr>
        <w:t>资产评估</w:t>
      </w:r>
      <w:r>
        <w:rPr>
          <w:rFonts w:hint="eastAsia" w:ascii="仿宋_GB2312" w:hAnsi="仿宋_GB2312" w:eastAsia="仿宋_GB2312" w:cs="仿宋_GB2312"/>
          <w:sz w:val="32"/>
          <w:szCs w:val="40"/>
          <w:highlight w:val="none"/>
        </w:rPr>
        <w:t>和估值项目。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40"/>
          <w:highlight w:val="none"/>
          <w:lang w:val="en-US" w:eastAsia="zh-CN"/>
        </w:rPr>
      </w:pPr>
      <w:r>
        <w:rPr>
          <w:rFonts w:hint="eastAsia" w:ascii="仿宋_GB2312" w:hAnsi="仿宋_GB2312" w:eastAsia="仿宋_GB2312" w:cs="仿宋_GB2312"/>
          <w:sz w:val="32"/>
          <w:szCs w:val="40"/>
          <w:highlight w:val="none"/>
          <w:lang w:val="en-US" w:eastAsia="zh-CN"/>
        </w:rPr>
        <w:t>1.评价原则。按照“一项目一评价”的原则，对资产评估机构开展评价。</w:t>
      </w:r>
    </w:p>
    <w:bookmarkEnd w:id="1"/>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40"/>
          <w:highlight w:val="none"/>
          <w:lang w:val="en-US" w:eastAsia="zh-CN"/>
        </w:rPr>
      </w:pPr>
      <w:r>
        <w:rPr>
          <w:rFonts w:hint="eastAsia" w:ascii="仿宋_GB2312" w:hAnsi="仿宋_GB2312" w:eastAsia="仿宋_GB2312" w:cs="仿宋_GB2312"/>
          <w:sz w:val="32"/>
          <w:szCs w:val="40"/>
          <w:highlight w:val="none"/>
          <w:lang w:val="en-US" w:eastAsia="zh-CN"/>
        </w:rPr>
        <w:t>2.评价主体。资产评估机构配合实施的资产评估项目评分开展形式由各分、子公司根据自身情况选择，广东电网按照项目委托单位、省公司共同评分计算评价得分，其他省级电网只按项目委托单位评分计算评价得分，评价结果均经各分、子公司审核并加盖本单位公司公章，公司总部资产评估机构执业质量评价由共享运营公司负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40"/>
          <w:highlight w:val="none"/>
          <w:lang w:val="en-US" w:eastAsia="zh-CN"/>
        </w:rPr>
      </w:pPr>
      <w:bookmarkStart w:id="2" w:name="_Toc13621"/>
      <w:bookmarkStart w:id="3" w:name="_Toc21188"/>
      <w:r>
        <w:rPr>
          <w:rFonts w:hint="eastAsia" w:ascii="仿宋_GB2312" w:hAnsi="仿宋_GB2312" w:eastAsia="仿宋_GB2312" w:cs="仿宋_GB2312"/>
          <w:sz w:val="32"/>
          <w:szCs w:val="40"/>
          <w:highlight w:val="none"/>
          <w:lang w:val="en-US" w:eastAsia="zh-CN"/>
        </w:rPr>
        <w:t>3.所属二级单位组织初评。</w:t>
      </w:r>
      <w:bookmarkEnd w:id="2"/>
      <w:bookmarkEnd w:id="3"/>
      <w:bookmarkStart w:id="4" w:name="_Toc31653"/>
      <w:r>
        <w:rPr>
          <w:rFonts w:hint="eastAsia" w:ascii="仿宋_GB2312" w:hAnsi="仿宋_GB2312" w:eastAsia="仿宋_GB2312" w:cs="仿宋_GB2312"/>
          <w:sz w:val="32"/>
          <w:szCs w:val="40"/>
          <w:highlight w:val="none"/>
          <w:lang w:val="en-US" w:eastAsia="zh-CN"/>
        </w:rPr>
        <w:t>每年年底（或次年年初）</w:t>
      </w:r>
      <w:bookmarkStart w:id="5" w:name="_Toc7165"/>
      <w:r>
        <w:rPr>
          <w:rFonts w:hint="eastAsia" w:ascii="仿宋_GB2312" w:hAnsi="仿宋_GB2312" w:eastAsia="仿宋_GB2312" w:cs="仿宋_GB2312"/>
          <w:sz w:val="32"/>
          <w:szCs w:val="40"/>
          <w:highlight w:val="none"/>
          <w:lang w:val="en-US" w:eastAsia="zh-CN"/>
        </w:rPr>
        <w:t>所属各二级单位汇总前1年度资产评估中介机构执业质量评价情况报送公司总部。对照《关于优化中央企业资产评估管理有关事项的通知》</w:t>
      </w:r>
      <w:r>
        <w:rPr>
          <w:rFonts w:hint="eastAsia" w:ascii="楷体_GB2312" w:hAnsi="楷体_GB2312" w:eastAsia="楷体_GB2312" w:cs="楷体_GB2312"/>
          <w:sz w:val="32"/>
          <w:szCs w:val="40"/>
          <w:highlight w:val="none"/>
          <w:lang w:val="en-US" w:eastAsia="zh-CN"/>
        </w:rPr>
        <w:t>（国资发产权规〔2024〕8号）</w:t>
      </w:r>
      <w:r>
        <w:rPr>
          <w:rFonts w:hint="eastAsia" w:ascii="仿宋_GB2312" w:hAnsi="仿宋_GB2312" w:eastAsia="仿宋_GB2312" w:cs="仿宋_GB2312"/>
          <w:sz w:val="32"/>
          <w:szCs w:val="40"/>
          <w:highlight w:val="none"/>
          <w:lang w:val="en-US" w:eastAsia="zh-CN"/>
        </w:rPr>
        <w:t>的评价标准，对受托资产评估机构开展评价，评价数量与已完成备案的报告出具数量对应。评价实行百分制，基本要素评价满分为100分，按照定性和定量评价相结合的方式，从服务执业质量评价、资产评估报告内容的完整性和合理性、资产评估说明内容的完整性和合理性、资产评估报告修改情况四个维度，构建执业质量评价标准</w:t>
      </w:r>
      <w:r>
        <w:rPr>
          <w:rFonts w:hint="eastAsia" w:ascii="楷体_GB2312" w:hAnsi="楷体_GB2312" w:eastAsia="楷体_GB2312" w:cs="楷体_GB2312"/>
          <w:sz w:val="32"/>
          <w:szCs w:val="40"/>
          <w:highlight w:val="none"/>
          <w:lang w:val="en-US" w:eastAsia="zh-CN"/>
        </w:rPr>
        <w:t>（评价标准详见附录A）</w:t>
      </w:r>
      <w:r>
        <w:rPr>
          <w:rFonts w:hint="eastAsia" w:ascii="仿宋_GB2312" w:hAnsi="仿宋_GB2312" w:eastAsia="仿宋_GB2312" w:cs="仿宋_GB2312"/>
          <w:sz w:val="32"/>
          <w:szCs w:val="40"/>
          <w:highlight w:val="none"/>
          <w:lang w:val="en-US" w:eastAsia="zh-CN"/>
        </w:rPr>
        <w:t>，具体计算公式如下：资产评估项目执业质量评价得分＝服务执业质量评价（20分）+资产评估报告内容的完整性和合理性（22分）+资产评估说明内容的完整性和合理性（45分）+资产评估报告修改情况（13分）。</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sz w:val="32"/>
          <w:szCs w:val="40"/>
          <w:highlight w:val="none"/>
          <w:lang w:val="en-US" w:eastAsia="zh-CN"/>
        </w:rPr>
        <w:t>4.</w:t>
      </w:r>
      <w:r>
        <w:rPr>
          <w:rFonts w:hint="eastAsia" w:ascii="仿宋_GB2312" w:hAnsi="仿宋_GB2312" w:eastAsia="仿宋_GB2312" w:cs="仿宋_GB2312"/>
          <w:sz w:val="32"/>
          <w:szCs w:val="40"/>
          <w:highlight w:val="none"/>
        </w:rPr>
        <w:t>公司总部加权复评</w:t>
      </w:r>
      <w:r>
        <w:rPr>
          <w:rFonts w:hint="eastAsia" w:ascii="仿宋_GB2312" w:hAnsi="仿宋_GB2312" w:eastAsia="仿宋_GB2312" w:cs="仿宋_GB2312"/>
          <w:sz w:val="32"/>
          <w:szCs w:val="40"/>
          <w:highlight w:val="none"/>
          <w:lang w:eastAsia="zh-CN"/>
        </w:rPr>
        <w:t>。</w:t>
      </w: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公司总部根据项目类型、标的种类、标的所在地等因素综合计算资产评估机构上一年度评价平均分</w:t>
      </w:r>
      <w:r>
        <w:rPr>
          <w:rFonts w:hint="eastAsia" w:ascii="楷体_GB2312" w:hAnsi="楷体_GB2312" w:eastAsia="楷体_GB2312" w:cs="楷体_GB2312"/>
          <w:color w:val="000000" w:themeColor="text1"/>
          <w:kern w:val="2"/>
          <w:sz w:val="32"/>
          <w:szCs w:val="32"/>
          <w:lang w:val="en-US" w:eastAsia="zh-CN" w:bidi="ar-SA"/>
          <w14:textFill>
            <w14:solidFill>
              <w14:schemeClr w14:val="tx1"/>
            </w14:solidFill>
          </w14:textFill>
          <w14:ligatures w14:val="standardContextual"/>
        </w:rPr>
        <w:t>（简称“平均得分”）</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，再根据</w:t>
      </w:r>
      <w:r>
        <w:rPr>
          <w:rFonts w:hint="eastAsia" w:ascii="仿宋_GB2312" w:hAnsi="仿宋_GB2312" w:eastAsia="仿宋_GB2312" w:cs="仿宋_GB2312"/>
          <w:color w:val="000000" w:themeColor="text1"/>
          <w:sz w:val="32"/>
          <w:szCs w:val="32"/>
          <w:lang w:eastAsia="zh-CN"/>
          <w14:textFill>
            <w14:solidFill>
              <w14:schemeClr w14:val="tx1"/>
            </w14:solidFill>
          </w14:textFill>
        </w:rPr>
        <w:t>资产评估机构</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14:ligatures w14:val="standardContextual"/>
        </w:rPr>
        <w:t>上一年度服务项目数量调整最终得分</w:t>
      </w:r>
      <w:r>
        <w:rPr>
          <w:rFonts w:hint="eastAsia" w:ascii="楷体_GB2312" w:hAnsi="楷体_GB2312" w:eastAsia="楷体_GB2312" w:cs="楷体_GB2312"/>
          <w:color w:val="000000" w:themeColor="text1"/>
          <w:kern w:val="2"/>
          <w:sz w:val="32"/>
          <w:szCs w:val="32"/>
          <w:lang w:val="en-US" w:eastAsia="zh-CN" w:bidi="ar-SA"/>
          <w14:textFill>
            <w14:solidFill>
              <w14:schemeClr w14:val="tx1"/>
            </w14:solidFill>
          </w14:textFill>
          <w14:ligatures w14:val="standardContextual"/>
        </w:rPr>
        <w:t>（简称“最终得分”）</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14:ligatures w14:val="standardContextual"/>
        </w:rPr>
        <w:t>并</w:t>
      </w: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进行排名。</w:t>
      </w:r>
      <w:r>
        <w:rPr>
          <w:rFonts w:hint="eastAsia" w:ascii="楷体_GB2312" w:hAnsi="楷体_GB2312" w:eastAsia="楷体_GB2312" w:cs="楷体_GB2312"/>
          <w:color w:val="000000" w:themeColor="text1"/>
          <w:spacing w:val="0"/>
          <w:kern w:val="2"/>
          <w:sz w:val="32"/>
          <w:szCs w:val="32"/>
          <w:highlight w:val="none"/>
          <w:lang w:val="en-US" w:eastAsia="zh-CN" w:bidi="ar-SA"/>
          <w14:textFill>
            <w14:solidFill>
              <w14:schemeClr w14:val="tx1"/>
            </w14:solidFill>
          </w14:textFill>
        </w:rPr>
        <w:t>（计算过程详见附录B）</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（1）综合执业质量评价</w:t>
      </w:r>
      <w:r>
        <w:rPr>
          <w:rFonts w:hint="eastAsia" w:ascii="仿宋_GB2312" w:hAnsi="仿宋_GB2312" w:eastAsia="仿宋_GB2312" w:cs="仿宋_GB2312"/>
          <w:color w:val="000000" w:themeColor="text1"/>
          <w:sz w:val="32"/>
          <w:szCs w:val="32"/>
          <w:lang w:val="en-US" w:eastAsia="zh-CN"/>
          <w14:textFill>
            <w14:solidFill>
              <w14:schemeClr w14:val="tx1"/>
            </w14:solidFill>
          </w14:textFill>
          <w14:ligatures w14:val="standardContextual"/>
        </w:rPr>
        <w:t>最终得</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14:ligatures w14:val="standardContextual"/>
        </w:rPr>
        <w:t>分</w:t>
      </w: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计算</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某</w:t>
      </w:r>
      <w:r>
        <w:rPr>
          <w:rFonts w:hint="eastAsia" w:ascii="仿宋_GB2312" w:hAnsi="仿宋_GB2312" w:eastAsia="仿宋_GB2312" w:cs="仿宋_GB2312"/>
          <w:color w:val="000000" w:themeColor="text1"/>
          <w:sz w:val="32"/>
          <w:szCs w:val="32"/>
          <w:lang w:eastAsia="zh-CN"/>
          <w14:textFill>
            <w14:solidFill>
              <w14:schemeClr w14:val="tx1"/>
            </w14:solidFill>
          </w14:textFill>
        </w:rPr>
        <w:t>资产评估机构</w:t>
      </w: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经</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14:ligatures w14:val="standardContextual"/>
        </w:rPr>
        <w:t>服务项目数量调整后</w:t>
      </w:r>
      <w:r>
        <w:rPr>
          <w:rFonts w:hint="eastAsia" w:ascii="仿宋_GB2312" w:hAnsi="仿宋_GB2312" w:eastAsia="仿宋_GB2312" w:cs="仿宋_GB2312"/>
          <w:color w:val="000000" w:themeColor="text1"/>
          <w:sz w:val="32"/>
          <w:szCs w:val="32"/>
          <w:lang w:val="en-US" w:eastAsia="zh-CN"/>
          <w14:textFill>
            <w14:solidFill>
              <w14:schemeClr w14:val="tx1"/>
            </w14:solidFill>
          </w14:textFill>
          <w14:ligatures w14:val="standardContextual"/>
        </w:rPr>
        <w:t>最终得</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14:ligatures w14:val="standardContextual"/>
        </w:rPr>
        <w:t>分</w:t>
      </w:r>
      <w:r>
        <w:rPr>
          <w:rFonts w:hint="eastAsia" w:ascii="楷体_GB2312" w:hAnsi="楷体_GB2312" w:eastAsia="楷体_GB2312" w:cs="楷体_GB2312"/>
          <w:color w:val="000000" w:themeColor="text1"/>
          <w:kern w:val="2"/>
          <w:sz w:val="32"/>
          <w:szCs w:val="32"/>
          <w:lang w:val="en-US" w:eastAsia="zh-CN" w:bidi="ar-SA"/>
          <w14:textFill>
            <w14:solidFill>
              <w14:schemeClr w14:val="tx1"/>
            </w14:solidFill>
          </w14:textFill>
          <w14:ligatures w14:val="standardContextual"/>
        </w:rPr>
        <w:t>（即“最终得分”）</w:t>
      </w: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该</w:t>
      </w: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评估机构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服务项目数量调整系数</w:t>
      </w: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w:t>
      </w:r>
      <w:r>
        <w:rPr>
          <w:rFonts w:hint="eastAsia" w:ascii="仿宋_GB2312" w:hAnsi="仿宋_GB2312" w:eastAsia="仿宋_GB2312" w:cs="仿宋_GB2312"/>
          <w:b w:val="0"/>
          <w:bCs w:val="0"/>
          <w:color w:val="000000" w:themeColor="text1"/>
          <w:spacing w:val="0"/>
          <w:kern w:val="2"/>
          <w:sz w:val="32"/>
          <w:szCs w:val="32"/>
          <w:lang w:val="en-US" w:eastAsia="zh-CN" w:bidi="ar-SA"/>
          <w14:textFill>
            <w14:solidFill>
              <w14:schemeClr w14:val="tx1"/>
            </w14:solidFill>
          </w14:textFill>
        </w:rPr>
        <w:t>该评估机构所有承接</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项目类型维度平均</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得分</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某</w:t>
      </w:r>
      <w:r>
        <w:rPr>
          <w:rFonts w:hint="eastAsia" w:ascii="仿宋_GB2312" w:hAnsi="仿宋_GB2312" w:eastAsia="仿宋_GB2312" w:cs="仿宋_GB2312"/>
          <w:color w:val="000000" w:themeColor="text1"/>
          <w:sz w:val="32"/>
          <w:szCs w:val="32"/>
          <w:lang w:eastAsia="zh-CN"/>
          <w14:textFill>
            <w14:solidFill>
              <w14:schemeClr w14:val="tx1"/>
            </w14:solidFill>
          </w14:textFill>
        </w:rPr>
        <w:t>资产评估机构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服务项目数量调整系数=ln(该</w:t>
      </w: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评估机构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服务项目数量+1)/ln（</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14:ligatures w14:val="standardContextual"/>
        </w:rPr>
        <w:t>单个</w:t>
      </w: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评估机构最大</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服务项目数量+1)</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某资产评估机构单个项目的综合执业质量评价平均分</w:t>
      </w:r>
      <w:r>
        <w:rPr>
          <w:rFonts w:hint="eastAsia" w:ascii="楷体_GB2312" w:hAnsi="楷体_GB2312" w:eastAsia="楷体_GB2312" w:cs="楷体_GB2312"/>
          <w:color w:val="000000" w:themeColor="text1"/>
          <w:kern w:val="2"/>
          <w:sz w:val="32"/>
          <w:szCs w:val="32"/>
          <w:lang w:val="en-US" w:eastAsia="zh-CN" w:bidi="ar-SA"/>
          <w14:textFill>
            <w14:solidFill>
              <w14:schemeClr w14:val="tx1"/>
            </w14:solidFill>
          </w14:textFill>
          <w14:ligatures w14:val="standardContextual"/>
        </w:rPr>
        <w:t>（即“平均得分”）</w:t>
      </w: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=项目类型维度平均得分*0.2+标的种类维度平均得分*0.6+标的所在地维度平均得分*0.2</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某资产评估机构所有承接项目类型维度平均得分=∑各项目得分/项目总数</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（2）项目类型维度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项目类型分为资产评估类和估值类，考虑到资产评估机构开展估值类项目工作难度比资产评估类项目低，因此设定估值类项目得分权重低于资产评估类项目。资产评估类项目的得分直接采用省公司报送的评价得分。估值类项目的得分计算原则，原评价得分≥90分，直接采用原得分；原评价得分≥60分、＜90分，按原得分的95%计算；原评价得分＜60分，按原得分的90%计算。</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（3）标的种类维度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考虑到资产评估机构开展股权及专利商标等无形资产类项目工作难度比土地不动产、设备资产及其他类项目高，因此设定股权及专利商标等无形资产类项目得分权重高于土地不动产、设备资产及其他类项目。标的种类分为土地不动产、设备资产、股权、专利商标等无形资产、其他。土地不动产、设备资产及其他类项目，得分直接采用评价得分。股权及专利商标等无形资产类项目，原评价得分≥60分，按原得分的110%计算</w:t>
      </w:r>
      <w:r>
        <w:rPr>
          <w:rFonts w:hint="eastAsia" w:ascii="楷体_GB2312" w:hAnsi="楷体_GB2312" w:eastAsia="楷体_GB2312" w:cs="楷体_GB2312"/>
          <w:color w:val="000000" w:themeColor="text1"/>
          <w:spacing w:val="0"/>
          <w:kern w:val="2"/>
          <w:sz w:val="32"/>
          <w:szCs w:val="32"/>
          <w:highlight w:val="none"/>
          <w:lang w:val="en-US" w:eastAsia="zh-CN" w:bidi="ar-SA"/>
          <w14:textFill>
            <w14:solidFill>
              <w14:schemeClr w14:val="tx1"/>
            </w14:solidFill>
          </w14:textFill>
        </w:rPr>
        <w:t>（最高不超过100分）</w:t>
      </w: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，原评价得分＜60分，直接采用原得分。</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（4）标的所在地维度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考虑到资产评估机构开展境外项目工作难度比境内项目高，因此设定境外项目得分权重高于境内项目。标的所在地分为境内和境外。境内项目，其得分直接采用评价得分。境外项目，原评价得分≥60分，按原得分的110%计算</w:t>
      </w:r>
      <w:r>
        <w:rPr>
          <w:rFonts w:hint="eastAsia" w:ascii="楷体_GB2312" w:hAnsi="楷体_GB2312" w:eastAsia="楷体_GB2312" w:cs="楷体_GB2312"/>
          <w:color w:val="000000" w:themeColor="text1"/>
          <w:spacing w:val="0"/>
          <w:kern w:val="2"/>
          <w:sz w:val="32"/>
          <w:szCs w:val="32"/>
          <w:highlight w:val="none"/>
          <w:lang w:val="en-US" w:eastAsia="zh-CN" w:bidi="ar-SA"/>
          <w14:textFill>
            <w14:solidFill>
              <w14:schemeClr w14:val="tx1"/>
            </w14:solidFill>
          </w14:textFill>
        </w:rPr>
        <w:t>（最高不超过100分）</w:t>
      </w: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，原评价得分＜60分，直接采用原得分。</w:t>
      </w:r>
    </w:p>
    <w:p>
      <w:pPr>
        <w:numPr>
          <w:ilvl w:val="0"/>
          <w:numId w:val="0"/>
        </w:numPr>
        <w:spacing w:line="560" w:lineRule="exact"/>
        <w:ind w:firstLine="640" w:firstLineChars="200"/>
        <w:rPr>
          <w:rFonts w:hint="default"/>
          <w:highlight w:val="none"/>
          <w:lang w:val="en-US" w:eastAsia="zh-CN"/>
        </w:rPr>
      </w:pPr>
      <w:r>
        <w:rPr>
          <w:rFonts w:hint="eastAsia" w:ascii="仿宋_GB2312" w:hAnsi="仿宋_GB2312" w:eastAsia="仿宋_GB2312" w:cs="仿宋_GB2312"/>
          <w:b w:val="0"/>
          <w:bCs w:val="0"/>
          <w:sz w:val="32"/>
          <w:szCs w:val="40"/>
          <w:highlight w:val="none"/>
          <w:lang w:val="en-US" w:eastAsia="zh-CN"/>
        </w:rPr>
        <w:t>5.</w:t>
      </w:r>
      <w:r>
        <w:rPr>
          <w:rFonts w:hint="eastAsia" w:ascii="仿宋_GB2312" w:hAnsi="仿宋_GB2312" w:eastAsia="仿宋_GB2312" w:cs="仿宋_GB2312"/>
          <w:b w:val="0"/>
          <w:bCs w:val="0"/>
          <w:color w:val="auto"/>
          <w:sz w:val="32"/>
          <w:szCs w:val="40"/>
          <w:highlight w:val="none"/>
        </w:rPr>
        <w:t>监督评价</w:t>
      </w:r>
      <w:r>
        <w:rPr>
          <w:rFonts w:hint="eastAsia" w:ascii="仿宋_GB2312" w:hAnsi="仿宋_GB2312" w:eastAsia="仿宋_GB2312" w:cs="仿宋_GB2312"/>
          <w:b w:val="0"/>
          <w:bCs w:val="0"/>
          <w:sz w:val="32"/>
          <w:szCs w:val="40"/>
          <w:highlight w:val="none"/>
          <w:lang w:eastAsia="zh-CN"/>
        </w:rPr>
        <w:t>。</w:t>
      </w:r>
      <w:r>
        <w:rPr>
          <w:rFonts w:hint="eastAsia" w:ascii="仿宋_GB2312" w:hAnsi="仿宋_GB2312" w:eastAsia="仿宋_GB2312" w:cs="仿宋_GB2312"/>
          <w:b w:val="0"/>
          <w:bCs w:val="0"/>
          <w:sz w:val="32"/>
          <w:szCs w:val="40"/>
          <w:highlight w:val="none"/>
        </w:rPr>
        <w:t>公司总部</w:t>
      </w:r>
      <w:r>
        <w:rPr>
          <w:rFonts w:hint="eastAsia" w:ascii="仿宋_GB2312" w:hAnsi="仿宋_GB2312" w:eastAsia="仿宋_GB2312" w:cs="仿宋_GB2312"/>
          <w:b w:val="0"/>
          <w:bCs w:val="0"/>
          <w:sz w:val="32"/>
          <w:szCs w:val="40"/>
          <w:highlight w:val="none"/>
          <w:lang w:eastAsia="zh-CN"/>
        </w:rPr>
        <w:t>资产评估</w:t>
      </w:r>
      <w:r>
        <w:rPr>
          <w:rFonts w:hint="eastAsia" w:ascii="仿宋_GB2312" w:hAnsi="仿宋_GB2312" w:eastAsia="仿宋_GB2312" w:cs="仿宋_GB2312"/>
          <w:b w:val="0"/>
          <w:bCs w:val="0"/>
          <w:sz w:val="32"/>
          <w:szCs w:val="40"/>
          <w:highlight w:val="none"/>
        </w:rPr>
        <w:t>部不定期抽取年度</w:t>
      </w:r>
      <w:r>
        <w:rPr>
          <w:rFonts w:hint="eastAsia" w:ascii="仿宋_GB2312" w:hAnsi="仿宋_GB2312" w:eastAsia="仿宋_GB2312" w:cs="仿宋_GB2312"/>
          <w:b w:val="0"/>
          <w:bCs w:val="0"/>
          <w:sz w:val="32"/>
          <w:szCs w:val="40"/>
          <w:highlight w:val="none"/>
          <w:lang w:eastAsia="zh-CN"/>
        </w:rPr>
        <w:t>资产评估项目</w:t>
      </w:r>
      <w:r>
        <w:rPr>
          <w:rFonts w:hint="eastAsia" w:ascii="仿宋_GB2312" w:hAnsi="仿宋_GB2312" w:eastAsia="仿宋_GB2312" w:cs="仿宋_GB2312"/>
          <w:b w:val="0"/>
          <w:bCs w:val="0"/>
          <w:sz w:val="32"/>
          <w:szCs w:val="40"/>
          <w:highlight w:val="none"/>
        </w:rPr>
        <w:t>评价情况，</w:t>
      </w:r>
      <w:r>
        <w:rPr>
          <w:rFonts w:hint="eastAsia" w:ascii="仿宋_GB2312" w:hAnsi="仿宋_GB2312" w:eastAsia="仿宋_GB2312" w:cs="仿宋_GB2312"/>
          <w:sz w:val="32"/>
          <w:szCs w:val="40"/>
          <w:highlight w:val="none"/>
        </w:rPr>
        <w:t>对评价的准确性、真实性进行抽查，对扣分、加分不真实、不准确的情况进行通报并纳入年度考核。</w:t>
      </w:r>
    </w:p>
    <w:bookmarkEnd w:id="4"/>
    <w:bookmarkEnd w:id="5"/>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outlineLvl w:val="0"/>
        <w:rPr>
          <w:rFonts w:hint="eastAsia" w:ascii="黑体" w:hAnsi="黑体" w:eastAsia="黑体" w:cs="黑体"/>
          <w:b w:val="0"/>
          <w:bCs w:val="0"/>
          <w:sz w:val="32"/>
          <w:szCs w:val="32"/>
          <w:highlight w:val="none"/>
          <w:lang w:val="en-US" w:eastAsia="zh-CN"/>
        </w:rPr>
      </w:pPr>
      <w:bookmarkStart w:id="6" w:name="_Toc20702"/>
      <w:r>
        <w:rPr>
          <w:rFonts w:hint="eastAsia" w:ascii="黑体" w:hAnsi="黑体" w:eastAsia="黑体" w:cs="黑体"/>
          <w:b w:val="0"/>
          <w:bCs w:val="0"/>
          <w:sz w:val="32"/>
          <w:szCs w:val="32"/>
          <w:highlight w:val="none"/>
          <w:lang w:val="en-US" w:eastAsia="zh-CN"/>
        </w:rPr>
        <w:t>评价结果应用</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40"/>
          <w:highlight w:val="none"/>
          <w:lang w:val="en-US" w:eastAsia="zh-CN"/>
        </w:rPr>
      </w:pPr>
      <w:r>
        <w:rPr>
          <w:rFonts w:hint="eastAsia" w:ascii="楷体_GB2312" w:hAnsi="楷体_GB2312" w:eastAsia="楷体_GB2312" w:cs="楷体_GB2312"/>
          <w:sz w:val="32"/>
          <w:szCs w:val="40"/>
          <w:highlight w:val="none"/>
          <w:lang w:val="en-US" w:eastAsia="zh-CN"/>
        </w:rPr>
        <w:t>（一）合同未完成履约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40"/>
          <w:highlight w:val="none"/>
          <w:lang w:val="en-US" w:eastAsia="zh-CN"/>
        </w:rPr>
      </w:pPr>
      <w:r>
        <w:rPr>
          <w:rFonts w:hint="eastAsia" w:ascii="仿宋_GB2312" w:hAnsi="仿宋_GB2312" w:eastAsia="仿宋_GB2312" w:cs="仿宋_GB2312"/>
          <w:sz w:val="32"/>
          <w:szCs w:val="40"/>
          <w:highlight w:val="none"/>
          <w:lang w:val="en-US" w:eastAsia="zh-CN"/>
        </w:rPr>
        <w:t>合同</w:t>
      </w:r>
      <w:r>
        <w:rPr>
          <w:rFonts w:hint="eastAsia" w:ascii="仿宋_GB2312" w:hAnsi="仿宋_GB2312" w:eastAsia="仿宋_GB2312" w:cs="仿宋_GB2312"/>
          <w:b w:val="0"/>
          <w:bCs w:val="0"/>
          <w:sz w:val="32"/>
          <w:szCs w:val="40"/>
          <w:highlight w:val="none"/>
          <w:lang w:val="en-US" w:eastAsia="zh-CN"/>
        </w:rPr>
        <w:t>服务期内，依据公司总部公布的资产评估机构年度评价最终得分情况，并将履约评价结果在对应标的下一年合同服务期使用，具体使用原则如下：</w:t>
      </w:r>
    </w:p>
    <w:p>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0" w:firstLineChars="200"/>
        <w:jc w:val="left"/>
        <w:textAlignment w:val="auto"/>
        <w:rPr>
          <w:rFonts w:hint="default"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（1）资产评估机构</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14:ligatures w14:val="standardContextual"/>
        </w:rPr>
        <w:t>年度评价平均</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得分低于60分的</w:t>
      </w:r>
      <w:r>
        <w:rPr>
          <w:rFonts w:hint="eastAsia" w:ascii="仿宋_GB2312" w:hAnsi="仿宋_GB2312" w:eastAsia="仿宋_GB2312" w:cs="仿宋_GB2312"/>
          <w:b w:val="0"/>
          <w:bCs w:val="0"/>
          <w:color w:val="000000" w:themeColor="text1"/>
          <w:sz w:val="32"/>
          <w:szCs w:val="32"/>
          <w:highlight w:val="none"/>
          <w:lang w:eastAsia="zh-CN"/>
          <w14:textFill>
            <w14:solidFill>
              <w14:schemeClr w14:val="tx1"/>
            </w14:solidFill>
          </w14:textFill>
        </w:rPr>
        <w:t>资产评估机构</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，在本轮招标有效期内不得再开展公司及所属各单位资产评估服务，公司所属各单位在其完成已开展未完结项目服务后及时与其解除服务合同。</w:t>
      </w:r>
    </w:p>
    <w:p>
      <w:pPr>
        <w:keepNext w:val="0"/>
        <w:keepLines w:val="0"/>
        <w:pageBreakBefore w:val="0"/>
        <w:widowControl w:val="0"/>
        <w:numPr>
          <w:ilvl w:val="-1"/>
          <w:numId w:val="0"/>
        </w:numPr>
        <w:kinsoku/>
        <w:wordWrap w:val="0"/>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（2）</w:t>
      </w:r>
      <w:r>
        <w:rPr>
          <w:rFonts w:hint="eastAsia" w:ascii="仿宋_GB2312" w:hAnsi="仿宋_GB2312" w:eastAsia="仿宋_GB2312" w:cs="仿宋_GB2312"/>
          <w:b w:val="0"/>
          <w:bCs w:val="0"/>
          <w:color w:val="000000"/>
          <w:sz w:val="32"/>
          <w:szCs w:val="32"/>
          <w:highlight w:val="none"/>
          <w:rtl w:val="0"/>
          <w:lang w:val="en-US" w:eastAsia="zh-CN"/>
        </w:rPr>
        <w:t>若委托单位仅框招1家资产评估机构</w:t>
      </w:r>
      <w:r>
        <w:rPr>
          <w:rFonts w:hint="eastAsia" w:ascii="仿宋_GB2312" w:hAnsi="仿宋_GB2312" w:eastAsia="仿宋_GB2312" w:cs="仿宋_GB2312"/>
          <w:b w:val="0"/>
          <w:bCs w:val="0"/>
          <w:color w:val="000000"/>
          <w:sz w:val="32"/>
          <w:szCs w:val="32"/>
          <w:highlight w:val="none"/>
          <w:lang w:val="en-US" w:eastAsia="zh-CN"/>
        </w:rPr>
        <w:t>平均</w:t>
      </w:r>
      <w:r>
        <w:rPr>
          <w:rFonts w:hint="eastAsia" w:ascii="仿宋_GB2312" w:hAnsi="仿宋_GB2312" w:eastAsia="仿宋_GB2312" w:cs="仿宋_GB2312"/>
          <w:b w:val="0"/>
          <w:bCs w:val="0"/>
          <w:color w:val="000000"/>
          <w:sz w:val="32"/>
          <w:szCs w:val="32"/>
          <w:highlight w:val="none"/>
          <w:rtl w:val="0"/>
          <w:lang w:val="en-US" w:eastAsia="zh-CN"/>
        </w:rPr>
        <w:t>得分≥60分，则不调整下一阶段委托份额。</w:t>
      </w:r>
    </w:p>
    <w:p>
      <w:pPr>
        <w:keepNext w:val="0"/>
        <w:keepLines w:val="0"/>
        <w:pageBreakBefore w:val="0"/>
        <w:widowControl w:val="0"/>
        <w:numPr>
          <w:ilvl w:val="-1"/>
          <w:numId w:val="0"/>
        </w:numPr>
        <w:kinsoku/>
        <w:wordWrap w:val="0"/>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（3）</w:t>
      </w:r>
      <w:r>
        <w:rPr>
          <w:rFonts w:hint="eastAsia" w:ascii="仿宋_GB2312" w:hAnsi="仿宋_GB2312" w:eastAsia="仿宋_GB2312" w:cs="仿宋_GB2312"/>
          <w:b w:val="0"/>
          <w:bCs w:val="0"/>
          <w:color w:val="000000"/>
          <w:sz w:val="32"/>
          <w:szCs w:val="32"/>
          <w:highlight w:val="none"/>
          <w:lang w:val="en-US" w:eastAsia="zh-CN"/>
        </w:rPr>
        <w:t>若委托单位框招</w:t>
      </w:r>
      <w:r>
        <w:rPr>
          <w:rFonts w:hint="eastAsia" w:ascii="仿宋_GB2312" w:hAnsi="仿宋_GB2312" w:eastAsia="仿宋_GB2312" w:cs="仿宋_GB2312"/>
          <w:b w:val="0"/>
          <w:bCs w:val="0"/>
          <w:color w:val="000000"/>
          <w:sz w:val="32"/>
          <w:szCs w:val="32"/>
          <w:highlight w:val="none"/>
          <w:rtl w:val="0"/>
          <w:lang w:val="en-US" w:eastAsia="zh-CN"/>
        </w:rPr>
        <w:t>资产评估机构</w:t>
      </w:r>
      <w:r>
        <w:rPr>
          <w:rFonts w:hint="eastAsia" w:ascii="仿宋_GB2312" w:hAnsi="仿宋_GB2312" w:eastAsia="仿宋_GB2312" w:cs="仿宋_GB2312"/>
          <w:b w:val="0"/>
          <w:bCs w:val="0"/>
          <w:color w:val="000000"/>
          <w:sz w:val="32"/>
          <w:szCs w:val="32"/>
          <w:highlight w:val="none"/>
          <w:lang w:val="en-US" w:eastAsia="zh-CN"/>
        </w:rPr>
        <w:t>数量为</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≥2家、≤4家</w:t>
      </w:r>
      <w:r>
        <w:rPr>
          <w:rFonts w:hint="eastAsia" w:ascii="仿宋_GB2312" w:hAnsi="仿宋_GB2312" w:eastAsia="仿宋_GB2312" w:cs="仿宋_GB2312"/>
          <w:b w:val="0"/>
          <w:bCs w:val="0"/>
          <w:color w:val="000000"/>
          <w:sz w:val="32"/>
          <w:szCs w:val="32"/>
          <w:highlight w:val="none"/>
          <w:lang w:val="en-US" w:eastAsia="zh-CN"/>
        </w:rPr>
        <w:t>，则扣减最终得分排名最后一名的资产评估机构该标的合同未履行份额的15%，并将该部分份额奖励给最终得分排名第一的中介机构。</w:t>
      </w:r>
    </w:p>
    <w:p>
      <w:pPr>
        <w:keepNext w:val="0"/>
        <w:keepLines w:val="0"/>
        <w:pageBreakBefore w:val="0"/>
        <w:widowControl w:val="0"/>
        <w:numPr>
          <w:ilvl w:val="-1"/>
          <w:numId w:val="0"/>
        </w:numPr>
        <w:kinsoku/>
        <w:wordWrap w:val="0"/>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sz w:val="32"/>
          <w:szCs w:val="32"/>
          <w:highlight w:val="none"/>
          <w:lang w:val="en-US" w:eastAsia="zh-CN"/>
        </w:rPr>
      </w:pP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（4）</w:t>
      </w:r>
      <w:r>
        <w:rPr>
          <w:rFonts w:hint="eastAsia" w:ascii="仿宋_GB2312" w:hAnsi="仿宋_GB2312" w:eastAsia="仿宋_GB2312" w:cs="仿宋_GB2312"/>
          <w:b w:val="0"/>
          <w:bCs w:val="0"/>
          <w:color w:val="000000"/>
          <w:sz w:val="32"/>
          <w:szCs w:val="32"/>
          <w:highlight w:val="none"/>
          <w:lang w:val="en-US" w:eastAsia="zh-CN"/>
        </w:rPr>
        <w:t>若委托单位共框招5家及以上</w:t>
      </w:r>
      <w:r>
        <w:rPr>
          <w:rFonts w:hint="eastAsia" w:ascii="仿宋_GB2312" w:hAnsi="仿宋_GB2312" w:eastAsia="仿宋_GB2312" w:cs="仿宋_GB2312"/>
          <w:b w:val="0"/>
          <w:bCs w:val="0"/>
          <w:color w:val="000000"/>
          <w:sz w:val="32"/>
          <w:szCs w:val="32"/>
          <w:highlight w:val="none"/>
          <w:rtl w:val="0"/>
          <w:lang w:val="en-US" w:eastAsia="zh-CN"/>
        </w:rPr>
        <w:t>资产评估机构</w:t>
      </w:r>
      <w:r>
        <w:rPr>
          <w:rFonts w:hint="eastAsia" w:ascii="仿宋_GB2312" w:hAnsi="仿宋_GB2312" w:eastAsia="仿宋_GB2312" w:cs="仿宋_GB2312"/>
          <w:b w:val="0"/>
          <w:bCs w:val="0"/>
          <w:color w:val="000000"/>
          <w:sz w:val="32"/>
          <w:szCs w:val="32"/>
          <w:highlight w:val="none"/>
          <w:lang w:val="en-US" w:eastAsia="zh-CN"/>
        </w:rPr>
        <w:t>，则扣减最终得分排名最后两名资产评估机构该标的合同未履行份额的15%、10%，并将该部分份额按实际大小分别奖励给最终得分排名前二的资产评估机构。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40"/>
          <w:highlight w:val="none"/>
          <w:lang w:val="en-US" w:eastAsia="zh-CN"/>
        </w:rPr>
      </w:pPr>
      <w:r>
        <w:rPr>
          <w:rFonts w:hint="eastAsia" w:ascii="楷体_GB2312" w:hAnsi="楷体_GB2312" w:eastAsia="楷体_GB2312" w:cs="楷体_GB2312"/>
          <w:b w:val="0"/>
          <w:bCs w:val="0"/>
          <w:sz w:val="32"/>
          <w:szCs w:val="40"/>
          <w:highlight w:val="none"/>
          <w:lang w:val="en-US" w:eastAsia="zh-CN"/>
        </w:rPr>
        <w:t>（二）资产评估机构备选库选聘</w:t>
      </w:r>
    </w:p>
    <w:p>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640" w:firstLineChars="0"/>
        <w:textAlignment w:val="auto"/>
        <w:rPr>
          <w:rFonts w:hint="default" w:ascii="仿宋_GB2312" w:hAnsi="仿宋_GB2312" w:eastAsia="仿宋_GB2312" w:cs="仿宋_GB2312"/>
          <w:color w:val="auto"/>
          <w:kern w:val="0"/>
          <w:sz w:val="32"/>
          <w:szCs w:val="32"/>
          <w:highlight w:val="none"/>
          <w:lang w:val="en-US" w:eastAsia="zh-CN"/>
        </w:rPr>
        <w:sectPr>
          <w:footerReference r:id="rId5" w:type="default"/>
          <w:pgSz w:w="11906" w:h="16838"/>
          <w:pgMar w:top="1440" w:right="1800" w:bottom="1440" w:left="1800" w:header="851" w:footer="992" w:gutter="0"/>
          <w:pgNumType w:fmt="decimal" w:start="1"/>
          <w:cols w:space="425" w:num="1"/>
          <w:docGrid w:type="lines" w:linePitch="312" w:charSpace="0"/>
        </w:sectPr>
      </w:pP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资产评估机构年度</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14:ligatures w14:val="standardContextual"/>
        </w:rPr>
        <w:t>评价得分</w:t>
      </w: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在下一轮资产评估机构</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备选库选聘</w:t>
      </w: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工作中直接列入服务标准评分指标。</w:t>
      </w:r>
      <w:r>
        <w:rPr>
          <w:rFonts w:hint="eastAsia" w:ascii="仿宋_GB2312" w:hAnsi="仿宋_GB2312" w:eastAsia="仿宋_GB2312" w:cs="仿宋_GB2312"/>
          <w:b w:val="0"/>
          <w:bCs w:val="0"/>
          <w:sz w:val="32"/>
          <w:szCs w:val="40"/>
          <w:highlight w:val="none"/>
          <w:lang w:val="en-US" w:eastAsia="zh-CN"/>
        </w:rPr>
        <w:t>连续四年在</w:t>
      </w:r>
      <w:r>
        <w:rPr>
          <w:rFonts w:hint="eastAsia" w:ascii="仿宋_GB2312" w:hAnsi="仿宋_GB2312" w:eastAsia="仿宋_GB2312" w:cs="仿宋_GB2312"/>
          <w:b w:val="0"/>
          <w:bCs w:val="0"/>
          <w:sz w:val="32"/>
          <w:szCs w:val="40"/>
          <w:highlight w:val="none"/>
          <w:lang w:eastAsia="zh-CN"/>
        </w:rPr>
        <w:t>资产评估</w:t>
      </w:r>
      <w:r>
        <w:rPr>
          <w:rFonts w:hint="eastAsia" w:ascii="仿宋_GB2312" w:hAnsi="仿宋_GB2312" w:eastAsia="仿宋_GB2312" w:cs="仿宋_GB2312"/>
          <w:b w:val="0"/>
          <w:bCs w:val="0"/>
          <w:sz w:val="32"/>
          <w:szCs w:val="40"/>
          <w:highlight w:val="none"/>
        </w:rPr>
        <w:t>机构备选库</w:t>
      </w:r>
      <w:r>
        <w:rPr>
          <w:rFonts w:hint="eastAsia" w:ascii="仿宋_GB2312" w:hAnsi="仿宋_GB2312" w:eastAsia="仿宋_GB2312" w:cs="仿宋_GB2312"/>
          <w:b w:val="0"/>
          <w:bCs w:val="0"/>
          <w:sz w:val="32"/>
          <w:szCs w:val="40"/>
          <w:highlight w:val="none"/>
          <w:lang w:val="en-US" w:eastAsia="zh-CN"/>
        </w:rPr>
        <w:t>但近四年均未提供过资产评估服务的，暂停一次资产评估机构备选库资格预审</w:t>
      </w: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本轮资产评估机构年度评价平均得分</w:t>
      </w:r>
      <w:r>
        <w:rPr>
          <w:rFonts w:hint="eastAsia" w:ascii="仿宋_GB2312" w:hAnsi="仿宋_GB2312" w:eastAsia="仿宋_GB2312" w:cs="仿宋_GB2312"/>
          <w:b w:val="0"/>
          <w:bCs w:val="0"/>
          <w:sz w:val="32"/>
          <w:szCs w:val="40"/>
          <w:highlight w:val="none"/>
          <w:lang w:val="en-US" w:eastAsia="zh-CN"/>
        </w:rPr>
        <w:t>高于60分且</w:t>
      </w: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最终得分排名为前10%，所涉及的服务标准评分指标得满分；平均得分</w:t>
      </w:r>
      <w:r>
        <w:rPr>
          <w:rFonts w:hint="eastAsia" w:ascii="仿宋_GB2312" w:hAnsi="仿宋_GB2312" w:eastAsia="仿宋_GB2312" w:cs="仿宋_GB2312"/>
          <w:b w:val="0"/>
          <w:bCs w:val="0"/>
          <w:sz w:val="32"/>
          <w:szCs w:val="40"/>
          <w:highlight w:val="none"/>
          <w:lang w:val="en-US" w:eastAsia="zh-CN"/>
        </w:rPr>
        <w:t>高于60分且</w:t>
      </w: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最终得分</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排名为前20%，</w:t>
      </w: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所涉及的服务标准评分指标得满分值的60%；平均得分</w:t>
      </w:r>
      <w:r>
        <w:rPr>
          <w:rFonts w:hint="eastAsia" w:ascii="仿宋_GB2312" w:hAnsi="仿宋_GB2312" w:eastAsia="仿宋_GB2312" w:cs="仿宋_GB2312"/>
          <w:b w:val="0"/>
          <w:bCs w:val="0"/>
          <w:sz w:val="32"/>
          <w:szCs w:val="40"/>
          <w:highlight w:val="none"/>
          <w:lang w:val="en-US" w:eastAsia="zh-CN"/>
        </w:rPr>
        <w:t>高于60分且</w:t>
      </w: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最终得分</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排名为前30%，</w:t>
      </w:r>
      <w:r>
        <w:rPr>
          <w:rFonts w:hint="eastAsia" w:ascii="仿宋_GB2312" w:hAnsi="仿宋_GB2312" w:eastAsia="仿宋_GB2312" w:cs="仿宋_GB2312"/>
          <w:b w:val="0"/>
          <w:bCs w:val="0"/>
          <w:color w:val="000000" w:themeColor="text1"/>
          <w:spacing w:val="0"/>
          <w:kern w:val="2"/>
          <w:sz w:val="32"/>
          <w:szCs w:val="32"/>
          <w:highlight w:val="none"/>
          <w:lang w:val="en-US" w:eastAsia="zh-CN" w:bidi="ar-SA"/>
          <w14:textFill>
            <w14:solidFill>
              <w14:schemeClr w14:val="tx1"/>
            </w14:solidFill>
          </w14:textFill>
        </w:rPr>
        <w:t>所涉及的服务标准评分指标得满分值的40%</w:t>
      </w: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；最终得分</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排名为后70%，</w:t>
      </w:r>
      <w:r>
        <w:rPr>
          <w:rFonts w:hint="eastAsia" w:ascii="仿宋_GB2312" w:hAnsi="仿宋_GB2312" w:eastAsia="仿宋_GB2312" w:cs="仿宋_GB2312"/>
          <w:color w:val="000000" w:themeColor="text1"/>
          <w:spacing w:val="0"/>
          <w:kern w:val="2"/>
          <w:sz w:val="32"/>
          <w:szCs w:val="32"/>
          <w:highlight w:val="none"/>
          <w:lang w:val="en-US" w:eastAsia="zh-CN" w:bidi="ar-SA"/>
          <w14:textFill>
            <w14:solidFill>
              <w14:schemeClr w14:val="tx1"/>
            </w14:solidFill>
          </w14:textFill>
        </w:rPr>
        <w:t>所涉及的服务标准评分指标不得分；</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因本轮未入选备选库，</w:t>
      </w:r>
      <w:r>
        <w:rPr>
          <w:rFonts w:hint="eastAsia" w:ascii="仿宋_GB2312" w:hAnsi="仿宋_GB2312" w:eastAsia="仿宋_GB2312" w:cs="仿宋_GB2312"/>
          <w:color w:val="000000" w:themeColor="text1"/>
          <w:spacing w:val="0"/>
          <w:kern w:val="2"/>
          <w:sz w:val="32"/>
          <w:szCs w:val="32"/>
          <w:lang w:val="en-US" w:eastAsia="zh-CN" w:bidi="ar-SA"/>
          <w14:textFill>
            <w14:solidFill>
              <w14:schemeClr w14:val="tx1"/>
            </w14:solidFill>
          </w14:textFill>
        </w:rPr>
        <w:t>服务评价项得满分值的60%分</w:t>
      </w:r>
      <w:r>
        <w:rPr>
          <w:rFonts w:hint="eastAsia" w:ascii="仿宋_GB2312" w:hAnsi="仿宋_GB2312" w:eastAsia="仿宋_GB2312" w:cs="仿宋_GB2312"/>
          <w:b/>
          <w:bCs/>
          <w:sz w:val="32"/>
          <w:szCs w:val="40"/>
          <w:highlight w:val="none"/>
          <w:lang w:eastAsia="zh-CN"/>
        </w:rPr>
        <w:t>。</w:t>
      </w:r>
      <w:r>
        <w:rPr>
          <w:rFonts w:hint="eastAsia" w:ascii="楷体_GB2312" w:hAnsi="楷体_GB2312" w:eastAsia="楷体_GB2312" w:cs="楷体_GB2312"/>
          <w:color w:val="auto"/>
          <w:kern w:val="0"/>
          <w:sz w:val="32"/>
          <w:szCs w:val="32"/>
          <w:highlight w:val="none"/>
          <w:lang w:val="en-US" w:eastAsia="zh-CN"/>
        </w:rPr>
        <w:t>（应用规则详见附录C)</w:t>
      </w:r>
    </w:p>
    <w:p>
      <w:pPr>
        <w:widowControl/>
        <w:numPr>
          <w:ilvl w:val="-1"/>
          <w:numId w:val="0"/>
        </w:numPr>
        <w:spacing w:line="240" w:lineRule="auto"/>
        <w:ind w:firstLine="0" w:firstLineChars="0"/>
        <w:rPr>
          <w:rFonts w:hint="eastAsia" w:ascii="仿宋_GB2312" w:hAnsi="仿宋_GB2312" w:eastAsia="仿宋_GB2312" w:cs="仿宋_GB2312"/>
          <w:highlight w:val="none"/>
          <w:lang w:val="en-US" w:eastAsia="zh-CN"/>
        </w:rPr>
      </w:pPr>
      <w:r>
        <w:rPr>
          <w:rFonts w:hint="eastAsia" w:ascii="仿宋_GB2312" w:hAnsi="仿宋_GB2312" w:eastAsia="仿宋_GB2312" w:cs="仿宋_GB2312"/>
          <w:sz w:val="32"/>
          <w:szCs w:val="32"/>
          <w:highlight w:val="none"/>
          <w:lang w:val="en-US" w:eastAsia="zh-CN"/>
        </w:rPr>
        <w:t>附录A</w:t>
      </w:r>
    </w:p>
    <w:tbl>
      <w:tblPr>
        <w:tblStyle w:val="15"/>
        <w:tblW w:w="83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1022"/>
        <w:gridCol w:w="4319"/>
        <w:gridCol w:w="1459"/>
        <w:gridCol w:w="7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67" w:hRule="atLeast"/>
        </w:trPr>
        <w:tc>
          <w:tcPr>
            <w:tcW w:w="832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color w:val="000000"/>
                <w:sz w:val="32"/>
                <w:szCs w:val="32"/>
                <w:highlight w:val="none"/>
                <w:lang w:val="en-US" w:eastAsia="zh-CN"/>
              </w:rPr>
              <w:t>资产评估机构执业质量评价表（单个项目）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评价主题</w:t>
            </w:r>
          </w:p>
        </w:tc>
        <w:tc>
          <w:tcPr>
            <w:tcW w:w="53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评价内容</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评价标准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得分情况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服务质量评价（20分）</w:t>
            </w:r>
          </w:p>
        </w:tc>
        <w:tc>
          <w:tcPr>
            <w:tcW w:w="53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项目团队配置情况。（2分）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一般:1分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53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项目团队工作态度、项目负责人沟通协调能力。（3分）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优秀:3分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一般:1-2分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5"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53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项目方案设计、计划安排情况。（3分）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优秀:3分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 xml:space="preserve"> 一般:1-2分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53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评估人员对评估对象实施全面的评估核查程序，如各类资产实地调查、函证、查询、访谈等工作的尽责情况。（5分）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优秀:4-5分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 xml:space="preserve"> 一般:2-3分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较差:0-1分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53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出具评估报告的及时性。（2分）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及时:2分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不及时:0分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53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审核意见答复及时性及质量。（5分）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优秀:4-5分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一般:2-3分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较差:0-1分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评估报告质量评价（80分）</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评估报告内容的完整性、合理性（22分）</w:t>
            </w: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评估报告、评估说明、评估明细表、利用专业报告是否齐全,特别是收益法预测表是否完整。（2分）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完整:2分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不完整:0-1分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5"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报告内容是否包含：声明、摘要、正文、附件等内容，签字盖章是否完整，附件是否完整，包括经济行为决策文件、审计报告、企业营业执照、企业产权登记证、委托方及被评估企业承诺函、相关资产权属证明文件、评估师承诺函、评估机构备案公告、营业执照、评估师资质证明、委托合同等内容。（4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完整:4分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一般:2-3分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较差:0-1分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5"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评估方法的选取是否合理，是否采用两种方法进行评估，如果只采用一种评估方法，理由是否充分合理。（4分）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合理:4分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不合理:0分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评估程序是否履行到位，是否存在评估程序受限制情况，如果存在，是否实施了替代程序，对评估结果是否有重大影响。（4分）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优秀:4分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一般:2-3分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较差:0-1分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评估结论的选择是否符合评估对象的特点，是否能公允反映评估对象的价值。（4分）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合理:4分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不合理:0分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特别事项说明是否准确、完整，是否存在对评估结果有重大影响的特别事项仅披露，不做对评估结果影响的判断。（4分）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优秀:4分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一般:2-3分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较差:0-1分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2"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评估说明内容的完整性、合理性（45分）</w:t>
            </w: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资产基础法部分：说明内容是否符合相关评估准则规定，是否根据资产分类介绍评估方法，各类资产选取的评估方法、参数以及评估结果是否合理，重要资产是否有案例，案例作价是否与取价依据匹配、计算无误，账外无形资产是否纳入评估范围，是否存在简单按账面值确认评估值且理由不充分的情况。（20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优秀:17-20分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较好:13-16分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 9-12分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较差:0-8分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0"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收益法部分：对企业资产、财务情况的分析是否充分、合理，是否根据企业所在行业、经营特点、收益情况等选择恰当的收益模型，是否合理确定收益期限，对应的折现率确定过程和依据是否合理，是否对经营性资产的收入、成本及费用、折旧摊销、营运资金、资本性支出、所得税等进行合理预测，并充分说明依据及理由，是否对被评估企业的非经营性资产、负债和溢余资产进行准确界定及评估。（20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优秀:17-20分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较好:13-16分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 9-12分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较差:0-8分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4"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市场法部分：选择的可比案例是否与被评估企业具有可比性，是否对相关数据进行分析调整，并消除偶然因素，选择的价值比率是否合理，是否合理考虑流动性折扣，是否根据企业实际情况选择多种价值比率，并进行合理分析，确定最终评估结果。（20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优秀:17-20分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较好:13-16分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 9-12分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较差:0-8分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评估说明整体是否详略得当，是否存在明显模版化内容，或者说明简略无法判断合理性的情况，是否存在较多低级错误。（5分）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优秀:5分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一般:3-4分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较差: 0-2分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5"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评估报告修改情况（13分）</w:t>
            </w: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评估报告是否因评估机构原因经过三次以上修改才符合备案要求。（5分）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0-1次:5分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2次:4分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3次:2分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3次以上:0分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5"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c>
          <w:tcPr>
            <w:tcW w:w="4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评估结果调整情况。（8分）</w:t>
            </w:r>
          </w:p>
        </w:tc>
        <w:tc>
          <w:tcPr>
            <w:tcW w:w="14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未调整:8分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小于5%:5-7分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5%-10%:1-4分</w:t>
            </w:r>
            <w:r>
              <w:rPr>
                <w:rFonts w:hint="eastAsia" w:ascii="仿宋_GB2312" w:hAnsi="仿宋_GB2312" w:eastAsia="仿宋_GB2312" w:cs="仿宋_GB2312"/>
                <w:i w:val="0"/>
                <w:iCs w:val="0"/>
                <w:color w:val="000000"/>
                <w:kern w:val="0"/>
                <w:sz w:val="21"/>
                <w:szCs w:val="21"/>
                <w:highlight w:val="none"/>
                <w:u w:val="none"/>
                <w:lang w:val="en-US" w:eastAsia="zh-CN" w:bidi="ar"/>
              </w:rPr>
              <w:br w:type="textWrapping"/>
            </w:r>
            <w:r>
              <w:rPr>
                <w:rFonts w:hint="eastAsia" w:ascii="仿宋_GB2312" w:hAnsi="仿宋_GB2312" w:eastAsia="仿宋_GB2312" w:cs="仿宋_GB2312"/>
                <w:i w:val="0"/>
                <w:iCs w:val="0"/>
                <w:color w:val="000000"/>
                <w:kern w:val="0"/>
                <w:sz w:val="21"/>
                <w:szCs w:val="21"/>
                <w:highlight w:val="none"/>
                <w:u w:val="none"/>
                <w:lang w:val="en-US" w:eastAsia="zh-CN" w:bidi="ar"/>
              </w:rPr>
              <w:t>大于10%:0分</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kern w:val="0"/>
                <w:sz w:val="21"/>
                <w:szCs w:val="21"/>
                <w:highlight w:val="none"/>
                <w:u w:val="none"/>
                <w:lang w:val="en-US" w:eastAsia="zh-CN" w:bidi="ar"/>
              </w:rPr>
              <w:t>合计分数</w:t>
            </w:r>
          </w:p>
        </w:tc>
        <w:tc>
          <w:tcPr>
            <w:tcW w:w="431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eastAsia" w:ascii="仿宋_GB2312" w:hAnsi="仿宋_GB2312" w:eastAsia="仿宋_GB2312" w:cs="仿宋_GB2312"/>
                <w:i w:val="0"/>
                <w:iCs w:val="0"/>
                <w:color w:val="000000"/>
                <w:sz w:val="21"/>
                <w:szCs w:val="21"/>
                <w:highlight w:val="none"/>
                <w:u w:val="none"/>
              </w:rPr>
            </w:pPr>
          </w:p>
        </w:tc>
        <w:tc>
          <w:tcPr>
            <w:tcW w:w="145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eastAsia" w:ascii="仿宋_GB2312" w:hAnsi="仿宋_GB2312" w:eastAsia="仿宋_GB2312" w:cs="仿宋_GB2312"/>
                <w:i w:val="0"/>
                <w:iCs w:val="0"/>
                <w:color w:val="000000"/>
                <w:sz w:val="21"/>
                <w:szCs w:val="21"/>
                <w:highlight w:val="none"/>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sz w:val="21"/>
                <w:szCs w:val="21"/>
                <w:highlight w:val="none"/>
                <w:u w:val="none"/>
              </w:rPr>
            </w:pPr>
          </w:p>
        </w:tc>
      </w:tr>
    </w:tbl>
    <w:p>
      <w:pPr>
        <w:rPr>
          <w:rFonts w:hint="eastAsia" w:ascii="仿宋_GB2312" w:hAnsi="仿宋_GB2312" w:eastAsia="仿宋_GB2312" w:cs="仿宋_GB2312"/>
          <w:color w:val="000000"/>
          <w:sz w:val="32"/>
          <w:szCs w:val="32"/>
          <w:highlight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10"/>
        <w:numPr>
          <w:ilvl w:val="0"/>
          <w:numId w:val="0"/>
        </w:numPr>
        <w:spacing w:line="560" w:lineRule="exact"/>
        <w:ind w:firstLine="0" w:firstLineChars="0"/>
        <w:rPr>
          <w:rFonts w:hint="eastAsia" w:ascii="仿宋" w:hAnsi="仿宋" w:eastAsia="仿宋" w:cs="仿宋"/>
          <w:sz w:val="32"/>
          <w:szCs w:val="32"/>
          <w:highlight w:val="none"/>
          <w:lang w:val="en-US" w:eastAsia="zh-CN"/>
        </w:rPr>
      </w:pPr>
      <w:r>
        <w:rPr>
          <w:rFonts w:hint="eastAsia" w:ascii="仿宋_GB2312" w:hAnsi="仿宋_GB2312" w:eastAsia="仿宋_GB2312" w:cs="仿宋_GB2312"/>
          <w:sz w:val="32"/>
          <w:szCs w:val="32"/>
          <w:highlight w:val="none"/>
          <w:lang w:val="en-US" w:eastAsia="zh-CN"/>
        </w:rPr>
        <w:t>附录B</w:t>
      </w:r>
    </w:p>
    <w:p>
      <w:pPr>
        <w:pStyle w:val="10"/>
        <w:numPr>
          <w:ilvl w:val="0"/>
          <w:numId w:val="0"/>
        </w:numPr>
        <w:spacing w:line="560" w:lineRule="exact"/>
        <w:ind w:firstLine="0" w:firstLineChars="0"/>
        <w:jc w:val="center"/>
        <w:rPr>
          <w:rFonts w:hint="eastAsia" w:ascii="仿宋_GB2312" w:hAnsi="仿宋_GB2312" w:eastAsia="仿宋_GB2312" w:cs="仿宋_GB2312"/>
          <w:b/>
          <w:bCs/>
          <w:i w:val="0"/>
          <w:iCs w:val="0"/>
          <w:color w:val="000000"/>
          <w:kern w:val="0"/>
          <w:sz w:val="28"/>
          <w:szCs w:val="28"/>
          <w:highlight w:val="none"/>
          <w:u w:val="none"/>
          <w:lang w:val="en-US" w:eastAsia="zh-CN" w:bidi="ar"/>
        </w:rPr>
      </w:pPr>
      <w:r>
        <w:rPr>
          <w:rFonts w:hint="eastAsia" w:ascii="仿宋_GB2312" w:hAnsi="仿宋_GB2312" w:eastAsia="仿宋_GB2312" w:cs="仿宋_GB2312"/>
          <w:b/>
          <w:bCs/>
          <w:color w:val="000000"/>
          <w:sz w:val="28"/>
          <w:szCs w:val="28"/>
          <w:highlight w:val="none"/>
          <w:lang w:val="en-US" w:eastAsia="zh-CN"/>
        </w:rPr>
        <w:t>公司总部</w:t>
      </w:r>
      <w:r>
        <w:rPr>
          <w:rFonts w:hint="eastAsia" w:ascii="仿宋_GB2312" w:hAnsi="仿宋_GB2312" w:eastAsia="仿宋_GB2312" w:cs="仿宋_GB2312"/>
          <w:b/>
          <w:bCs/>
          <w:i w:val="0"/>
          <w:iCs w:val="0"/>
          <w:color w:val="000000"/>
          <w:kern w:val="0"/>
          <w:sz w:val="28"/>
          <w:szCs w:val="28"/>
          <w:highlight w:val="none"/>
          <w:u w:val="none"/>
          <w:lang w:val="en-US" w:eastAsia="zh-CN" w:bidi="ar"/>
        </w:rPr>
        <w:t>资产评估机构综合执业质量评价得分计算模拟表（示例）</w:t>
      </w:r>
    </w:p>
    <w:tbl>
      <w:tblPr>
        <w:tblStyle w:val="1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23"/>
        <w:gridCol w:w="1864"/>
        <w:gridCol w:w="1572"/>
        <w:gridCol w:w="1805"/>
        <w:gridCol w:w="2726"/>
        <w:gridCol w:w="959"/>
        <w:gridCol w:w="2928"/>
        <w:gridCol w:w="7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评估机构名称</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项目类型调整平均得分</w:t>
            </w:r>
          </w:p>
        </w:tc>
        <w:tc>
          <w:tcPr>
            <w:tcW w:w="5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标的种类调整平均得分</w:t>
            </w:r>
          </w:p>
        </w:tc>
        <w:tc>
          <w:tcPr>
            <w:tcW w:w="63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标的所在地调整平均得分</w:t>
            </w:r>
          </w:p>
        </w:tc>
        <w:tc>
          <w:tcPr>
            <w:tcW w:w="9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平均得分</w:t>
            </w:r>
          </w:p>
        </w:tc>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服务项目数量</w:t>
            </w:r>
          </w:p>
        </w:tc>
        <w:tc>
          <w:tcPr>
            <w:tcW w:w="10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最终得分（按对数权重)</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最终排名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A资产评估机构</w:t>
            </w:r>
          </w:p>
        </w:tc>
        <w:tc>
          <w:tcPr>
            <w:tcW w:w="6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(76+80)/2=78</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(88+80)/2=84</w:t>
            </w:r>
          </w:p>
        </w:tc>
        <w:tc>
          <w:tcPr>
            <w:tcW w:w="6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(88+80)/2=84</w:t>
            </w:r>
          </w:p>
        </w:tc>
        <w:tc>
          <w:tcPr>
            <w:tcW w:w="9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78*0.2+84*0.6+84*0.2=82.8</w:t>
            </w: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lang w:val="en-US"/>
              </w:rPr>
            </w:pPr>
            <w:r>
              <w:rPr>
                <w:rFonts w:hint="eastAsia" w:ascii="仿宋_GB2312" w:hAnsi="仿宋_GB2312" w:eastAsia="仿宋_GB2312" w:cs="仿宋_GB2312"/>
                <w:i w:val="0"/>
                <w:iCs w:val="0"/>
                <w:color w:val="000000"/>
                <w:kern w:val="0"/>
                <w:sz w:val="24"/>
                <w:szCs w:val="24"/>
                <w:u w:val="none"/>
                <w:lang w:val="en-US" w:eastAsia="zh-CN" w:bidi="ar"/>
              </w:rPr>
              <w:t>100</w:t>
            </w:r>
          </w:p>
        </w:tc>
        <w:tc>
          <w:tcPr>
            <w:tcW w:w="1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82.8*(ln(100+1)/ln(100+1))=82.8</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B资产评估机构</w:t>
            </w:r>
          </w:p>
        </w:tc>
        <w:tc>
          <w:tcPr>
            <w:tcW w:w="6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default"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(94.7+90)/2=92.35</w:t>
            </w: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beforeLines="0" w:afterLines="0"/>
              <w:jc w:val="center"/>
              <w:textAlignment w:val="center"/>
              <w:rPr>
                <w:rFonts w:hint="default" w:asciiTheme="minorHAnsi" w:hAnsiTheme="minorHAnsi" w:eastAsiaTheme="minorEastAsia" w:cstheme="minorBidi"/>
                <w:i w:val="0"/>
                <w:iCs w:val="0"/>
                <w:sz w:val="24"/>
                <w:szCs w:val="24"/>
                <w:u w:val="none"/>
              </w:rPr>
            </w:pPr>
            <w:r>
              <w:rPr>
                <w:rFonts w:hint="eastAsia" w:ascii="仿宋_GB2312" w:hAnsi="仿宋_GB2312" w:eastAsia="仿宋_GB2312" w:cs="仿宋_GB2312"/>
                <w:color w:val="000000"/>
                <w:kern w:val="0"/>
                <w:sz w:val="24"/>
                <w:highlight w:val="none"/>
                <w:u w:val="none"/>
                <w:lang w:val="en-US" w:eastAsia="zh-CN" w:bidi="ar"/>
              </w:rPr>
              <w:t>(99+90)/2=94.5</w:t>
            </w:r>
          </w:p>
        </w:tc>
        <w:tc>
          <w:tcPr>
            <w:tcW w:w="6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color w:val="000000"/>
                <w:kern w:val="0"/>
                <w:sz w:val="24"/>
                <w:highlight w:val="none"/>
                <w:u w:val="none"/>
                <w:lang w:val="en-US" w:eastAsia="zh-CN" w:bidi="ar"/>
              </w:rPr>
              <w:t>(99+90)/2=94.5</w:t>
            </w:r>
          </w:p>
        </w:tc>
        <w:tc>
          <w:tcPr>
            <w:tcW w:w="9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Lines="0" w:afterLines="0"/>
              <w:jc w:val="center"/>
              <w:textAlignment w:val="center"/>
              <w:rPr>
                <w:rFonts w:hint="default"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92.35*0.2+94.5*0.6+94.5*0.2=94.07</w:t>
            </w: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仿宋_GB2312" w:hAnsi="仿宋_GB2312" w:eastAsia="仿宋_GB2312" w:cs="仿宋_GB2312"/>
                <w:sz w:val="24"/>
                <w:lang w:val="en-US"/>
              </w:rPr>
            </w:pPr>
            <w:r>
              <w:rPr>
                <w:rFonts w:hint="eastAsia" w:ascii="仿宋_GB2312" w:hAnsi="仿宋_GB2312" w:eastAsia="仿宋_GB2312" w:cs="仿宋_GB2312"/>
                <w:sz w:val="24"/>
                <w:lang w:val="en-US" w:eastAsia="zh-CN"/>
              </w:rPr>
              <w:t>50</w:t>
            </w:r>
          </w:p>
        </w:tc>
        <w:tc>
          <w:tcPr>
            <w:tcW w:w="1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000000"/>
                <w:sz w:val="24"/>
                <w:szCs w:val="24"/>
                <w:u w:val="none"/>
                <w:lang w:val="en-US"/>
              </w:rPr>
            </w:pPr>
            <w:r>
              <w:rPr>
                <w:rFonts w:hint="eastAsia" w:ascii="仿宋_GB2312" w:hAnsi="仿宋_GB2312" w:eastAsia="仿宋_GB2312" w:cs="仿宋_GB2312"/>
                <w:i w:val="0"/>
                <w:iCs w:val="0"/>
                <w:color w:val="000000"/>
                <w:kern w:val="0"/>
                <w:sz w:val="24"/>
                <w:szCs w:val="24"/>
                <w:u w:val="none"/>
                <w:lang w:val="en-US" w:eastAsia="zh-CN" w:bidi="ar"/>
              </w:rPr>
              <w:t>94.07*(ln(50+1)/ln(100+1))=80.14</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w:t>
            </w:r>
          </w:p>
        </w:tc>
        <w:tc>
          <w:tcPr>
            <w:tcW w:w="6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6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9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1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w:t>
            </w:r>
          </w:p>
        </w:tc>
        <w:tc>
          <w:tcPr>
            <w:tcW w:w="6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5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6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9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1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u w:val="none"/>
              </w:rPr>
            </w:pPr>
          </w:p>
        </w:tc>
      </w:tr>
    </w:tbl>
    <w:p>
      <w:pPr>
        <w:pStyle w:val="10"/>
        <w:numPr>
          <w:ilvl w:val="0"/>
          <w:numId w:val="0"/>
        </w:numPr>
        <w:spacing w:line="560" w:lineRule="exact"/>
        <w:ind w:firstLine="0" w:firstLineChars="0"/>
        <w:jc w:val="center"/>
        <w:rPr>
          <w:rFonts w:hint="eastAsia" w:ascii="仿宋_GB2312" w:hAnsi="仿宋_GB2312" w:eastAsia="仿宋_GB2312" w:cs="仿宋_GB2312"/>
          <w:b/>
          <w:bCs/>
          <w:i w:val="0"/>
          <w:iCs w:val="0"/>
          <w:color w:val="000000"/>
          <w:kern w:val="0"/>
          <w:sz w:val="28"/>
          <w:szCs w:val="28"/>
          <w:highlight w:val="none"/>
          <w:u w:val="none"/>
          <w:lang w:val="en-US" w:eastAsia="zh-CN" w:bidi="ar"/>
        </w:rPr>
      </w:pPr>
      <w:r>
        <w:rPr>
          <w:rFonts w:hint="eastAsia" w:ascii="仿宋_GB2312" w:hAnsi="仿宋_GB2312" w:eastAsia="仿宋_GB2312" w:cs="仿宋_GB2312"/>
          <w:b/>
          <w:bCs/>
          <w:i w:val="0"/>
          <w:iCs w:val="0"/>
          <w:color w:val="000000"/>
          <w:kern w:val="0"/>
          <w:sz w:val="28"/>
          <w:szCs w:val="28"/>
          <w:highlight w:val="none"/>
          <w:u w:val="none"/>
          <w:lang w:val="en-US" w:eastAsia="zh-CN" w:bidi="ar"/>
        </w:rPr>
        <w:t>各分、子公司上报执业质量评价得分（示例）</w:t>
      </w:r>
    </w:p>
    <w:tbl>
      <w:tblPr>
        <w:tblStyle w:val="1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25"/>
        <w:gridCol w:w="2122"/>
        <w:gridCol w:w="1169"/>
        <w:gridCol w:w="1408"/>
        <w:gridCol w:w="1408"/>
        <w:gridCol w:w="1490"/>
        <w:gridCol w:w="1646"/>
        <w:gridCol w:w="1553"/>
        <w:gridCol w:w="15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单位</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资产评估经济行为</w:t>
            </w: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项目类型</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标的种类</w:t>
            </w: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标的所在地</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执业质量</w:t>
            </w:r>
          </w:p>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评价得分</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项目类型</w:t>
            </w:r>
          </w:p>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调整得分</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标的种类</w:t>
            </w:r>
          </w:p>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调整得分</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标的所在地</w:t>
            </w:r>
          </w:p>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调整得分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A资产评估机构</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收购境外股权</w:t>
            </w: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估值</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股权</w:t>
            </w: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境外</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80</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80*0.95=76</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80*1.1=88</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80*1.1=88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A资产评估机构</w:t>
            </w:r>
          </w:p>
        </w:tc>
        <w:tc>
          <w:tcPr>
            <w:tcW w:w="5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出租境内房屋</w:t>
            </w: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资产评估</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土地不动产</w:t>
            </w:r>
          </w:p>
        </w:tc>
        <w:tc>
          <w:tcPr>
            <w:tcW w:w="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境内</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80</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80</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highlight w:val="none"/>
                <w:u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80</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1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B资产评估机构</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收购境外股权</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估值</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股权</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境外</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90</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90*0.95=94.7</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90*1.1=99</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90*1.1=99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1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B资产评估机构</w:t>
            </w:r>
          </w:p>
        </w:tc>
        <w:tc>
          <w:tcPr>
            <w:tcW w:w="2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出租境内房屋</w:t>
            </w:r>
          </w:p>
        </w:tc>
        <w:tc>
          <w:tcPr>
            <w:tcW w:w="11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资产评估</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土地不动产</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境内</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90</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90</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90</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4"/>
                <w:szCs w:val="24"/>
                <w:highlight w:val="none"/>
                <w:u w:val="none"/>
              </w:rPr>
            </w:pPr>
            <w:r>
              <w:rPr>
                <w:rFonts w:hint="eastAsia" w:ascii="仿宋_GB2312" w:hAnsi="仿宋_GB2312" w:eastAsia="仿宋_GB2312" w:cs="仿宋_GB2312"/>
                <w:i w:val="0"/>
                <w:iCs w:val="0"/>
                <w:color w:val="000000"/>
                <w:kern w:val="0"/>
                <w:sz w:val="24"/>
                <w:szCs w:val="24"/>
                <w:highlight w:val="none"/>
                <w:u w:val="none"/>
                <w:lang w:val="en-US" w:eastAsia="zh-CN" w:bidi="ar"/>
              </w:rPr>
              <w:t>90</w:t>
            </w:r>
          </w:p>
        </w:tc>
      </w:tr>
    </w:tbl>
    <w:p>
      <w:pPr>
        <w:pStyle w:val="10"/>
        <w:numPr>
          <w:ilvl w:val="0"/>
          <w:numId w:val="0"/>
        </w:numPr>
        <w:spacing w:line="560" w:lineRule="exact"/>
        <w:ind w:firstLine="0" w:firstLineChars="0"/>
        <w:rPr>
          <w:rFonts w:hint="default" w:ascii="宋体" w:hAnsi="宋体" w:eastAsia="宋体" w:cs="宋体"/>
          <w:b/>
          <w:bCs/>
          <w:i w:val="0"/>
          <w:iCs w:val="0"/>
          <w:color w:val="000000"/>
          <w:kern w:val="0"/>
          <w:sz w:val="22"/>
          <w:szCs w:val="22"/>
          <w:highlight w:val="none"/>
          <w:u w:val="none"/>
          <w:lang w:val="en-US" w:eastAsia="zh-CN" w:bidi="ar"/>
        </w:rPr>
        <w:sectPr>
          <w:pgSz w:w="16838" w:h="11906" w:orient="landscape"/>
          <w:pgMar w:top="1800" w:right="1440" w:bottom="1800" w:left="1440" w:header="851" w:footer="992" w:gutter="0"/>
          <w:pgNumType w:fmt="decimal"/>
          <w:cols w:space="425" w:num="1"/>
          <w:docGrid w:type="lines" w:linePitch="312" w:charSpace="0"/>
        </w:sectPr>
      </w:pPr>
    </w:p>
    <w:p>
      <w:pPr>
        <w:pStyle w:val="10"/>
        <w:numPr>
          <w:ilvl w:val="0"/>
          <w:numId w:val="0"/>
        </w:numPr>
        <w:spacing w:line="560" w:lineRule="exact"/>
        <w:ind w:firstLine="0" w:firstLineChars="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附录C</w:t>
      </w:r>
    </w:p>
    <w:p>
      <w:pPr>
        <w:pStyle w:val="10"/>
        <w:numPr>
          <w:ilvl w:val="0"/>
          <w:numId w:val="0"/>
        </w:numPr>
        <w:spacing w:line="560" w:lineRule="exact"/>
        <w:ind w:firstLine="0" w:firstLineChars="0"/>
        <w:jc w:val="center"/>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28"/>
          <w:szCs w:val="28"/>
          <w:highlight w:val="none"/>
          <w:lang w:val="en-US" w:eastAsia="zh-CN"/>
        </w:rPr>
        <w:t>资产评估机构执业质量评价得分应用规则表（示例）</w:t>
      </w:r>
    </w:p>
    <w:tbl>
      <w:tblPr>
        <w:tblStyle w:val="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2713"/>
        <w:gridCol w:w="1275"/>
        <w:gridCol w:w="3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560" w:lineRule="exact"/>
              <w:jc w:val="center"/>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i w:val="0"/>
                <w:iCs w:val="0"/>
                <w:color w:val="000000"/>
                <w:kern w:val="0"/>
                <w:sz w:val="24"/>
                <w:szCs w:val="24"/>
                <w:highlight w:val="none"/>
                <w:u w:val="none"/>
                <w:lang w:val="en-US" w:eastAsia="zh-CN" w:bidi="ar"/>
              </w:rPr>
              <w:t>单位</w:t>
            </w:r>
          </w:p>
        </w:tc>
        <w:tc>
          <w:tcPr>
            <w:tcW w:w="1592" w:type="pct"/>
            <w:vAlign w:val="center"/>
          </w:tcPr>
          <w:p>
            <w:pPr>
              <w:pStyle w:val="10"/>
              <w:numPr>
                <w:ilvl w:val="0"/>
                <w:numId w:val="0"/>
              </w:numPr>
              <w:spacing w:line="560" w:lineRule="exact"/>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执业质量评价得分</w:t>
            </w:r>
          </w:p>
        </w:tc>
        <w:tc>
          <w:tcPr>
            <w:tcW w:w="748" w:type="pct"/>
            <w:vAlign w:val="center"/>
          </w:tcPr>
          <w:p>
            <w:pPr>
              <w:pStyle w:val="10"/>
              <w:numPr>
                <w:ilvl w:val="0"/>
                <w:numId w:val="0"/>
              </w:numPr>
              <w:spacing w:line="560" w:lineRule="exact"/>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排名</w:t>
            </w:r>
          </w:p>
        </w:tc>
        <w:tc>
          <w:tcPr>
            <w:tcW w:w="1980" w:type="pct"/>
            <w:vAlign w:val="center"/>
          </w:tcPr>
          <w:p>
            <w:pPr>
              <w:pStyle w:val="10"/>
              <w:numPr>
                <w:ilvl w:val="0"/>
                <w:numId w:val="0"/>
              </w:numPr>
              <w:spacing w:line="560" w:lineRule="exact"/>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240" w:lineRule="auto"/>
              <w:jc w:val="center"/>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i w:val="0"/>
                <w:iCs w:val="0"/>
                <w:color w:val="000000"/>
                <w:kern w:val="0"/>
                <w:sz w:val="24"/>
                <w:szCs w:val="24"/>
                <w:highlight w:val="none"/>
                <w:u w:val="none"/>
                <w:lang w:val="en-US" w:eastAsia="zh-CN" w:bidi="ar"/>
              </w:rPr>
              <w:t>A资产评估机构</w:t>
            </w:r>
          </w:p>
        </w:tc>
        <w:tc>
          <w:tcPr>
            <w:tcW w:w="1592" w:type="pct"/>
            <w:vAlign w:val="center"/>
          </w:tcPr>
          <w:p>
            <w:pPr>
              <w:pStyle w:val="10"/>
              <w:numPr>
                <w:ilvl w:val="0"/>
                <w:numId w:val="0"/>
              </w:numPr>
              <w:spacing w:line="240" w:lineRule="auto"/>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82.8</w:t>
            </w:r>
          </w:p>
        </w:tc>
        <w:tc>
          <w:tcPr>
            <w:tcW w:w="748" w:type="pct"/>
            <w:vAlign w:val="center"/>
          </w:tcPr>
          <w:p>
            <w:pPr>
              <w:pStyle w:val="10"/>
              <w:numPr>
                <w:ilvl w:val="0"/>
                <w:numId w:val="0"/>
              </w:numPr>
              <w:spacing w:line="240" w:lineRule="auto"/>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1</w:t>
            </w:r>
          </w:p>
        </w:tc>
        <w:tc>
          <w:tcPr>
            <w:tcW w:w="1980" w:type="pct"/>
            <w:vAlign w:val="center"/>
          </w:tcPr>
          <w:p>
            <w:pPr>
              <w:pStyle w:val="10"/>
              <w:numPr>
                <w:ilvl w:val="0"/>
                <w:numId w:val="0"/>
              </w:numPr>
              <w:spacing w:line="240" w:lineRule="auto"/>
              <w:jc w:val="left"/>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若排名为前10%，</w:t>
            </w:r>
            <w:r>
              <w:rPr>
                <w:rFonts w:hint="eastAsia" w:ascii="仿宋_GB2312" w:hAnsi="仿宋_GB2312" w:eastAsia="仿宋_GB2312" w:cs="仿宋_GB2312"/>
                <w:color w:val="000000"/>
                <w:kern w:val="0"/>
                <w:sz w:val="24"/>
                <w:szCs w:val="24"/>
                <w:highlight w:val="none"/>
                <w:u w:val="none"/>
                <w:lang w:bidi="ar"/>
              </w:rPr>
              <w:t>下一轮</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机构备选库选聘</w:t>
            </w:r>
            <w:r>
              <w:rPr>
                <w:rFonts w:hint="eastAsia" w:ascii="仿宋_GB2312" w:hAnsi="仿宋_GB2312" w:eastAsia="仿宋_GB2312" w:cs="仿宋_GB2312"/>
                <w:color w:val="000000"/>
                <w:kern w:val="0"/>
                <w:sz w:val="24"/>
                <w:szCs w:val="24"/>
                <w:highlight w:val="none"/>
                <w:u w:val="none"/>
                <w:lang w:val="en-US" w:eastAsia="zh-CN" w:bidi="ar"/>
              </w:rPr>
              <w:t>中</w:t>
            </w:r>
            <w:r>
              <w:rPr>
                <w:rFonts w:hint="eastAsia" w:ascii="仿宋_GB2312" w:hAnsi="仿宋_GB2312" w:eastAsia="仿宋_GB2312" w:cs="仿宋_GB2312"/>
                <w:color w:val="000000" w:themeColor="text1"/>
                <w:spacing w:val="0"/>
                <w:kern w:val="2"/>
                <w:sz w:val="24"/>
                <w:szCs w:val="24"/>
                <w:highlight w:val="none"/>
                <w:lang w:val="en-US" w:eastAsia="zh-CN" w:bidi="ar-SA"/>
                <w14:textFill>
                  <w14:solidFill>
                    <w14:schemeClr w14:val="tx1"/>
                  </w14:solidFill>
                </w14:textFill>
              </w:rPr>
              <w:t>所涉及的服务标准评分指标</w:t>
            </w:r>
            <w:r>
              <w:rPr>
                <w:rFonts w:hint="eastAsia" w:ascii="仿宋_GB2312" w:hAnsi="仿宋_GB2312" w:eastAsia="仿宋_GB2312" w:cs="仿宋_GB2312"/>
                <w:color w:val="000000"/>
                <w:kern w:val="0"/>
                <w:sz w:val="24"/>
                <w:szCs w:val="24"/>
                <w:highlight w:val="none"/>
                <w:u w:val="none"/>
                <w:lang w:bidi="ar"/>
              </w:rPr>
              <w:t>得满分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240" w:lineRule="auto"/>
              <w:jc w:val="center"/>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i w:val="0"/>
                <w:iCs w:val="0"/>
                <w:color w:val="000000"/>
                <w:kern w:val="0"/>
                <w:sz w:val="24"/>
                <w:szCs w:val="24"/>
                <w:highlight w:val="none"/>
                <w:u w:val="none"/>
                <w:lang w:val="en-US" w:eastAsia="zh-CN" w:bidi="ar"/>
              </w:rPr>
              <w:t>B资产评估机构</w:t>
            </w:r>
          </w:p>
        </w:tc>
        <w:tc>
          <w:tcPr>
            <w:tcW w:w="1592" w:type="pct"/>
            <w:vAlign w:val="center"/>
          </w:tcPr>
          <w:p>
            <w:pPr>
              <w:pStyle w:val="10"/>
              <w:numPr>
                <w:ilvl w:val="0"/>
                <w:numId w:val="0"/>
              </w:numPr>
              <w:spacing w:line="240" w:lineRule="auto"/>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94.07</w:t>
            </w:r>
          </w:p>
        </w:tc>
        <w:tc>
          <w:tcPr>
            <w:tcW w:w="748" w:type="pct"/>
            <w:vAlign w:val="center"/>
          </w:tcPr>
          <w:p>
            <w:pPr>
              <w:pStyle w:val="10"/>
              <w:numPr>
                <w:ilvl w:val="0"/>
                <w:numId w:val="0"/>
              </w:numPr>
              <w:spacing w:line="240" w:lineRule="auto"/>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2</w:t>
            </w:r>
          </w:p>
        </w:tc>
        <w:tc>
          <w:tcPr>
            <w:tcW w:w="1980" w:type="pct"/>
            <w:vAlign w:val="center"/>
          </w:tcPr>
          <w:p>
            <w:pPr>
              <w:pStyle w:val="10"/>
              <w:numPr>
                <w:ilvl w:val="0"/>
                <w:numId w:val="0"/>
              </w:numPr>
              <w:spacing w:line="240" w:lineRule="auto"/>
              <w:jc w:val="left"/>
              <w:rPr>
                <w:rFonts w:hint="default"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若排名为前20%，</w:t>
            </w:r>
            <w:r>
              <w:rPr>
                <w:rFonts w:hint="eastAsia" w:ascii="仿宋_GB2312" w:hAnsi="仿宋_GB2312" w:eastAsia="仿宋_GB2312" w:cs="仿宋_GB2312"/>
                <w:color w:val="000000"/>
                <w:kern w:val="0"/>
                <w:sz w:val="24"/>
                <w:szCs w:val="24"/>
                <w:highlight w:val="none"/>
                <w:u w:val="none"/>
                <w:lang w:bidi="ar"/>
              </w:rPr>
              <w:t>下一轮</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机构备选库选聘</w:t>
            </w:r>
            <w:r>
              <w:rPr>
                <w:rFonts w:hint="eastAsia" w:ascii="仿宋_GB2312" w:hAnsi="仿宋_GB2312" w:eastAsia="仿宋_GB2312" w:cs="仿宋_GB2312"/>
                <w:color w:val="000000"/>
                <w:kern w:val="0"/>
                <w:sz w:val="24"/>
                <w:szCs w:val="24"/>
                <w:highlight w:val="none"/>
                <w:u w:val="none"/>
                <w:lang w:val="en-US" w:eastAsia="zh-CN" w:bidi="ar"/>
              </w:rPr>
              <w:t>中</w:t>
            </w:r>
            <w:r>
              <w:rPr>
                <w:rFonts w:hint="eastAsia" w:ascii="仿宋_GB2312" w:hAnsi="仿宋_GB2312" w:eastAsia="仿宋_GB2312" w:cs="仿宋_GB2312"/>
                <w:color w:val="000000" w:themeColor="text1"/>
                <w:spacing w:val="0"/>
                <w:kern w:val="2"/>
                <w:sz w:val="24"/>
                <w:szCs w:val="24"/>
                <w:highlight w:val="none"/>
                <w:lang w:val="en-US" w:eastAsia="zh-CN" w:bidi="ar-SA"/>
                <w14:textFill>
                  <w14:solidFill>
                    <w14:schemeClr w14:val="tx1"/>
                  </w14:solidFill>
                </w14:textFill>
              </w:rPr>
              <w:t>所涉及的服务标准评分指标</w:t>
            </w:r>
            <w:r>
              <w:rPr>
                <w:rFonts w:hint="eastAsia" w:ascii="仿宋_GB2312" w:hAnsi="仿宋_GB2312" w:eastAsia="仿宋_GB2312" w:cs="仿宋_GB2312"/>
                <w:color w:val="000000"/>
                <w:kern w:val="0"/>
                <w:sz w:val="24"/>
                <w:szCs w:val="24"/>
                <w:highlight w:val="none"/>
                <w:u w:val="none"/>
                <w:lang w:bidi="ar"/>
              </w:rPr>
              <w:t>得满分</w:t>
            </w:r>
            <w:r>
              <w:rPr>
                <w:rFonts w:hint="eastAsia" w:ascii="仿宋_GB2312" w:hAnsi="仿宋_GB2312" w:eastAsia="仿宋_GB2312" w:cs="仿宋_GB2312"/>
                <w:color w:val="000000"/>
                <w:kern w:val="0"/>
                <w:sz w:val="24"/>
                <w:szCs w:val="24"/>
                <w:highlight w:val="none"/>
                <w:u w:val="none"/>
                <w:vertAlign w:val="baseline"/>
                <w:lang w:val="en-US" w:eastAsia="zh-CN" w:bidi="ar"/>
              </w:rPr>
              <w:t>的60%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240" w:lineRule="auto"/>
              <w:jc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C资产评估机构</w:t>
            </w:r>
          </w:p>
        </w:tc>
        <w:tc>
          <w:tcPr>
            <w:tcW w:w="1592" w:type="pct"/>
            <w:vAlign w:val="center"/>
          </w:tcPr>
          <w:p>
            <w:pPr>
              <w:pStyle w:val="10"/>
              <w:numPr>
                <w:ilvl w:val="0"/>
                <w:numId w:val="0"/>
              </w:numPr>
              <w:spacing w:line="240" w:lineRule="auto"/>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80</w:t>
            </w:r>
          </w:p>
        </w:tc>
        <w:tc>
          <w:tcPr>
            <w:tcW w:w="748" w:type="pct"/>
            <w:vAlign w:val="center"/>
          </w:tcPr>
          <w:p>
            <w:pPr>
              <w:pStyle w:val="10"/>
              <w:numPr>
                <w:ilvl w:val="0"/>
                <w:numId w:val="0"/>
              </w:numPr>
              <w:spacing w:line="240" w:lineRule="auto"/>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9</w:t>
            </w:r>
          </w:p>
        </w:tc>
        <w:tc>
          <w:tcPr>
            <w:tcW w:w="1980" w:type="pct"/>
            <w:vAlign w:val="center"/>
          </w:tcPr>
          <w:p>
            <w:pPr>
              <w:pStyle w:val="10"/>
              <w:numPr>
                <w:ilvl w:val="0"/>
                <w:numId w:val="0"/>
              </w:numPr>
              <w:spacing w:line="240" w:lineRule="auto"/>
              <w:jc w:val="left"/>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若排名为前30%，</w:t>
            </w:r>
            <w:r>
              <w:rPr>
                <w:rFonts w:hint="eastAsia" w:ascii="仿宋_GB2312" w:hAnsi="仿宋_GB2312" w:eastAsia="仿宋_GB2312" w:cs="仿宋_GB2312"/>
                <w:color w:val="000000"/>
                <w:kern w:val="0"/>
                <w:sz w:val="24"/>
                <w:szCs w:val="24"/>
                <w:highlight w:val="none"/>
                <w:u w:val="none"/>
                <w:lang w:bidi="ar"/>
              </w:rPr>
              <w:t>下一轮</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机构备选库选聘</w:t>
            </w:r>
            <w:r>
              <w:rPr>
                <w:rFonts w:hint="eastAsia" w:ascii="仿宋_GB2312" w:hAnsi="仿宋_GB2312" w:eastAsia="仿宋_GB2312" w:cs="仿宋_GB2312"/>
                <w:color w:val="000000"/>
                <w:kern w:val="0"/>
                <w:sz w:val="24"/>
                <w:szCs w:val="24"/>
                <w:highlight w:val="none"/>
                <w:u w:val="none"/>
                <w:lang w:val="en-US" w:eastAsia="zh-CN" w:bidi="ar"/>
              </w:rPr>
              <w:t>中</w:t>
            </w:r>
            <w:r>
              <w:rPr>
                <w:rFonts w:hint="eastAsia" w:ascii="仿宋_GB2312" w:hAnsi="仿宋_GB2312" w:eastAsia="仿宋_GB2312" w:cs="仿宋_GB2312"/>
                <w:color w:val="000000" w:themeColor="text1"/>
                <w:spacing w:val="0"/>
                <w:kern w:val="2"/>
                <w:sz w:val="24"/>
                <w:szCs w:val="24"/>
                <w:highlight w:val="none"/>
                <w:lang w:val="en-US" w:eastAsia="zh-CN" w:bidi="ar-SA"/>
                <w14:textFill>
                  <w14:solidFill>
                    <w14:schemeClr w14:val="tx1"/>
                  </w14:solidFill>
                </w14:textFill>
              </w:rPr>
              <w:t>所涉及的服务标准评分指标</w:t>
            </w:r>
            <w:r>
              <w:rPr>
                <w:rFonts w:hint="eastAsia" w:ascii="仿宋_GB2312" w:hAnsi="仿宋_GB2312" w:eastAsia="仿宋_GB2312" w:cs="仿宋_GB2312"/>
                <w:color w:val="000000"/>
                <w:kern w:val="0"/>
                <w:sz w:val="24"/>
                <w:szCs w:val="24"/>
                <w:highlight w:val="none"/>
                <w:u w:val="none"/>
                <w:lang w:bidi="ar"/>
              </w:rPr>
              <w:t>得满分</w:t>
            </w:r>
            <w:r>
              <w:rPr>
                <w:rFonts w:hint="eastAsia" w:ascii="仿宋_GB2312" w:hAnsi="仿宋_GB2312" w:eastAsia="仿宋_GB2312" w:cs="仿宋_GB2312"/>
                <w:color w:val="000000"/>
                <w:kern w:val="0"/>
                <w:sz w:val="24"/>
                <w:szCs w:val="24"/>
                <w:highlight w:val="none"/>
                <w:u w:val="none"/>
                <w:vertAlign w:val="baseline"/>
                <w:lang w:val="en-US" w:eastAsia="zh-CN" w:bidi="ar"/>
              </w:rPr>
              <w:t>的40%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240" w:lineRule="auto"/>
              <w:jc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color w:val="000000"/>
                <w:kern w:val="0"/>
                <w:sz w:val="24"/>
                <w:szCs w:val="24"/>
                <w:highlight w:val="none"/>
                <w:u w:val="none"/>
                <w:lang w:bidi="ar"/>
              </w:rPr>
              <w:t>D</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w:t>
            </w:r>
          </w:p>
        </w:tc>
        <w:tc>
          <w:tcPr>
            <w:tcW w:w="1592" w:type="pct"/>
            <w:vAlign w:val="center"/>
          </w:tcPr>
          <w:p>
            <w:pPr>
              <w:pStyle w:val="10"/>
              <w:numPr>
                <w:ilvl w:val="0"/>
                <w:numId w:val="0"/>
              </w:numPr>
              <w:spacing w:line="240" w:lineRule="auto"/>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70</w:t>
            </w:r>
          </w:p>
        </w:tc>
        <w:tc>
          <w:tcPr>
            <w:tcW w:w="748" w:type="pct"/>
            <w:vAlign w:val="center"/>
          </w:tcPr>
          <w:p>
            <w:pPr>
              <w:pStyle w:val="10"/>
              <w:numPr>
                <w:ilvl w:val="0"/>
                <w:numId w:val="0"/>
              </w:numPr>
              <w:spacing w:line="240" w:lineRule="auto"/>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15</w:t>
            </w:r>
          </w:p>
        </w:tc>
        <w:tc>
          <w:tcPr>
            <w:tcW w:w="1980" w:type="pct"/>
            <w:vAlign w:val="center"/>
          </w:tcPr>
          <w:p>
            <w:pPr>
              <w:pStyle w:val="10"/>
              <w:numPr>
                <w:ilvl w:val="0"/>
                <w:numId w:val="0"/>
              </w:numPr>
              <w:spacing w:line="240" w:lineRule="auto"/>
              <w:jc w:val="left"/>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若得分排名为后70%，</w:t>
            </w:r>
            <w:r>
              <w:rPr>
                <w:rFonts w:hint="eastAsia" w:ascii="仿宋_GB2312" w:hAnsi="仿宋_GB2312" w:eastAsia="仿宋_GB2312" w:cs="仿宋_GB2312"/>
                <w:color w:val="000000"/>
                <w:kern w:val="0"/>
                <w:sz w:val="24"/>
                <w:szCs w:val="24"/>
                <w:highlight w:val="none"/>
                <w:u w:val="none"/>
                <w:lang w:bidi="ar"/>
              </w:rPr>
              <w:t>下一轮</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机构备选库选聘</w:t>
            </w:r>
            <w:r>
              <w:rPr>
                <w:rFonts w:hint="eastAsia" w:ascii="仿宋_GB2312" w:hAnsi="仿宋_GB2312" w:eastAsia="仿宋_GB2312" w:cs="仿宋_GB2312"/>
                <w:color w:val="000000"/>
                <w:kern w:val="0"/>
                <w:sz w:val="24"/>
                <w:szCs w:val="24"/>
                <w:highlight w:val="none"/>
                <w:u w:val="none"/>
                <w:lang w:val="en-US" w:eastAsia="zh-CN" w:bidi="ar"/>
              </w:rPr>
              <w:t>中</w:t>
            </w:r>
            <w:r>
              <w:rPr>
                <w:rFonts w:hint="eastAsia" w:ascii="仿宋_GB2312" w:hAnsi="仿宋_GB2312" w:eastAsia="仿宋_GB2312" w:cs="仿宋_GB2312"/>
                <w:color w:val="000000" w:themeColor="text1"/>
                <w:spacing w:val="0"/>
                <w:kern w:val="2"/>
                <w:sz w:val="24"/>
                <w:szCs w:val="24"/>
                <w:highlight w:val="none"/>
                <w:lang w:val="en-US" w:eastAsia="zh-CN" w:bidi="ar-SA"/>
                <w14:textFill>
                  <w14:solidFill>
                    <w14:schemeClr w14:val="tx1"/>
                  </w14:solidFill>
                </w14:textFill>
              </w:rPr>
              <w:t>所涉及的服务标准评分指标</w:t>
            </w:r>
            <w:r>
              <w:rPr>
                <w:rFonts w:hint="eastAsia" w:ascii="仿宋_GB2312" w:hAnsi="仿宋_GB2312" w:eastAsia="仿宋_GB2312" w:cs="仿宋_GB2312"/>
                <w:color w:val="000000"/>
                <w:kern w:val="0"/>
                <w:sz w:val="24"/>
                <w:szCs w:val="24"/>
                <w:highlight w:val="none"/>
                <w:u w:val="none"/>
                <w:lang w:val="en-US" w:eastAsia="zh-CN" w:bidi="ar"/>
              </w:rPr>
              <w:t>不</w:t>
            </w:r>
            <w:r>
              <w:rPr>
                <w:rFonts w:hint="eastAsia" w:ascii="仿宋_GB2312" w:hAnsi="仿宋_GB2312" w:eastAsia="仿宋_GB2312" w:cs="仿宋_GB2312"/>
                <w:color w:val="000000"/>
                <w:kern w:val="0"/>
                <w:sz w:val="24"/>
                <w:szCs w:val="24"/>
                <w:highlight w:val="none"/>
                <w:u w:val="none"/>
                <w:lang w:bidi="ar"/>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240" w:lineRule="auto"/>
              <w:ind w:left="0" w:leftChars="0" w:firstLine="0" w:firstLineChars="0"/>
              <w:jc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color w:val="000000"/>
                <w:kern w:val="0"/>
                <w:sz w:val="24"/>
                <w:szCs w:val="24"/>
                <w:highlight w:val="none"/>
                <w:u w:val="none"/>
                <w:lang w:val="en-US" w:eastAsia="zh-CN" w:bidi="ar"/>
              </w:rPr>
              <w:t>E</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w:t>
            </w:r>
          </w:p>
        </w:tc>
        <w:tc>
          <w:tcPr>
            <w:tcW w:w="1592" w:type="pct"/>
            <w:vAlign w:val="center"/>
          </w:tcPr>
          <w:p>
            <w:pPr>
              <w:pStyle w:val="10"/>
              <w:numPr>
                <w:ilvl w:val="0"/>
                <w:numId w:val="0"/>
              </w:numPr>
              <w:spacing w:line="240" w:lineRule="auto"/>
              <w:ind w:left="0" w:leftChars="0" w:firstLine="0" w:firstLineChars="0"/>
              <w:jc w:val="left"/>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本轮未提供资产评估服务</w:t>
            </w:r>
          </w:p>
        </w:tc>
        <w:tc>
          <w:tcPr>
            <w:tcW w:w="748" w:type="pct"/>
            <w:vAlign w:val="center"/>
          </w:tcPr>
          <w:p>
            <w:pPr>
              <w:pStyle w:val="10"/>
              <w:numPr>
                <w:ilvl w:val="0"/>
                <w:numId w:val="0"/>
              </w:numPr>
              <w:spacing w:line="240" w:lineRule="auto"/>
              <w:ind w:left="0" w:leftChars="0" w:firstLine="0" w:firstLineChars="0"/>
              <w:jc w:val="center"/>
              <w:rPr>
                <w:rFonts w:hint="default"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w:t>
            </w:r>
          </w:p>
        </w:tc>
        <w:tc>
          <w:tcPr>
            <w:tcW w:w="1980" w:type="pct"/>
            <w:vAlign w:val="center"/>
          </w:tcPr>
          <w:p>
            <w:pPr>
              <w:pStyle w:val="10"/>
              <w:numPr>
                <w:ilvl w:val="0"/>
                <w:numId w:val="0"/>
              </w:numPr>
              <w:spacing w:line="240" w:lineRule="auto"/>
              <w:ind w:left="0" w:leftChars="0" w:firstLine="0" w:firstLineChars="0"/>
              <w:jc w:val="left"/>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lang w:bidi="ar"/>
              </w:rPr>
              <w:t>下一轮</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机构备选库选聘</w:t>
            </w:r>
            <w:r>
              <w:rPr>
                <w:rFonts w:hint="eastAsia" w:ascii="仿宋_GB2312" w:hAnsi="仿宋_GB2312" w:eastAsia="仿宋_GB2312" w:cs="仿宋_GB2312"/>
                <w:color w:val="000000"/>
                <w:kern w:val="0"/>
                <w:sz w:val="24"/>
                <w:szCs w:val="24"/>
                <w:highlight w:val="none"/>
                <w:u w:val="none"/>
                <w:lang w:val="en-US" w:eastAsia="zh-CN" w:bidi="ar"/>
              </w:rPr>
              <w:t>中</w:t>
            </w:r>
            <w:r>
              <w:rPr>
                <w:rFonts w:hint="eastAsia" w:ascii="仿宋_GB2312" w:hAnsi="仿宋_GB2312" w:eastAsia="仿宋_GB2312" w:cs="仿宋_GB2312"/>
                <w:color w:val="000000" w:themeColor="text1"/>
                <w:spacing w:val="0"/>
                <w:kern w:val="2"/>
                <w:sz w:val="24"/>
                <w:szCs w:val="24"/>
                <w:highlight w:val="none"/>
                <w:lang w:val="en-US" w:eastAsia="zh-CN" w:bidi="ar-SA"/>
                <w14:textFill>
                  <w14:solidFill>
                    <w14:schemeClr w14:val="tx1"/>
                  </w14:solidFill>
                </w14:textFill>
              </w:rPr>
              <w:t>所涉及的服务标准评分指标</w:t>
            </w:r>
            <w:r>
              <w:rPr>
                <w:rFonts w:hint="eastAsia" w:ascii="仿宋_GB2312" w:hAnsi="仿宋_GB2312" w:eastAsia="仿宋_GB2312" w:cs="仿宋_GB2312"/>
                <w:color w:val="000000"/>
                <w:kern w:val="0"/>
                <w:sz w:val="24"/>
                <w:szCs w:val="24"/>
                <w:highlight w:val="none"/>
                <w:u w:val="none"/>
                <w:lang w:bidi="ar"/>
              </w:rPr>
              <w:t>得满分</w:t>
            </w:r>
            <w:r>
              <w:rPr>
                <w:rFonts w:hint="eastAsia" w:ascii="仿宋_GB2312" w:hAnsi="仿宋_GB2312" w:eastAsia="仿宋_GB2312" w:cs="仿宋_GB2312"/>
                <w:color w:val="000000"/>
                <w:kern w:val="0"/>
                <w:sz w:val="24"/>
                <w:szCs w:val="24"/>
                <w:highlight w:val="none"/>
                <w:u w:val="none"/>
                <w:vertAlign w:val="baseline"/>
                <w:lang w:val="en-US" w:eastAsia="zh-CN" w:bidi="ar"/>
              </w:rPr>
              <w:t>的60%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240" w:lineRule="auto"/>
              <w:ind w:left="0" w:leftChars="0" w:firstLine="0" w:firstLineChars="0"/>
              <w:jc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color w:val="000000"/>
                <w:kern w:val="0"/>
                <w:sz w:val="24"/>
                <w:szCs w:val="24"/>
                <w:highlight w:val="none"/>
                <w:u w:val="none"/>
                <w:lang w:val="en-US" w:eastAsia="zh-CN" w:bidi="ar"/>
              </w:rPr>
              <w:t>F</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w:t>
            </w:r>
          </w:p>
        </w:tc>
        <w:tc>
          <w:tcPr>
            <w:tcW w:w="1592" w:type="pct"/>
            <w:vAlign w:val="center"/>
          </w:tcPr>
          <w:p>
            <w:pPr>
              <w:pStyle w:val="10"/>
              <w:numPr>
                <w:ilvl w:val="0"/>
                <w:numId w:val="0"/>
              </w:numPr>
              <w:spacing w:line="240" w:lineRule="auto"/>
              <w:ind w:left="0" w:leftChars="0" w:firstLine="0" w:firstLineChars="0"/>
              <w:jc w:val="left"/>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近四年连续在库，但四年均</w:t>
            </w:r>
            <w:r>
              <w:rPr>
                <w:rFonts w:hint="eastAsia" w:ascii="仿宋_GB2312" w:hAnsi="仿宋_GB2312" w:eastAsia="仿宋_GB2312" w:cs="仿宋_GB2312"/>
                <w:color w:val="000000"/>
                <w:kern w:val="0"/>
                <w:sz w:val="24"/>
                <w:szCs w:val="24"/>
                <w:highlight w:val="none"/>
                <w:u w:val="none"/>
                <w:lang w:bidi="ar"/>
              </w:rPr>
              <w:t>未提供过</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服务</w:t>
            </w:r>
          </w:p>
        </w:tc>
        <w:tc>
          <w:tcPr>
            <w:tcW w:w="748" w:type="pct"/>
            <w:vAlign w:val="center"/>
          </w:tcPr>
          <w:p>
            <w:pPr>
              <w:pStyle w:val="10"/>
              <w:numPr>
                <w:ilvl w:val="0"/>
                <w:numId w:val="0"/>
              </w:numPr>
              <w:spacing w:line="240" w:lineRule="auto"/>
              <w:ind w:left="0" w:leftChars="0" w:firstLine="0" w:firstLineChars="0"/>
              <w:jc w:val="center"/>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w:t>
            </w:r>
          </w:p>
        </w:tc>
        <w:tc>
          <w:tcPr>
            <w:tcW w:w="1980" w:type="pct"/>
            <w:vAlign w:val="center"/>
          </w:tcPr>
          <w:p>
            <w:pPr>
              <w:pStyle w:val="10"/>
              <w:numPr>
                <w:ilvl w:val="0"/>
                <w:numId w:val="0"/>
              </w:numPr>
              <w:spacing w:line="240" w:lineRule="auto"/>
              <w:ind w:left="0" w:leftChars="0" w:firstLine="0" w:firstLineChars="0"/>
              <w:jc w:val="left"/>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lang w:val="en-US" w:eastAsia="zh-CN" w:bidi="ar"/>
              </w:rPr>
              <w:t>不参与</w:t>
            </w:r>
            <w:r>
              <w:rPr>
                <w:rFonts w:hint="eastAsia" w:ascii="仿宋_GB2312" w:hAnsi="仿宋_GB2312" w:eastAsia="仿宋_GB2312" w:cs="仿宋_GB2312"/>
                <w:color w:val="000000"/>
                <w:kern w:val="0"/>
                <w:sz w:val="24"/>
                <w:szCs w:val="24"/>
                <w:highlight w:val="none"/>
                <w:u w:val="none"/>
                <w:lang w:bidi="ar"/>
              </w:rPr>
              <w:t>下一轮</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机构备选库选聘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240" w:lineRule="auto"/>
              <w:ind w:left="0" w:leftChars="0" w:firstLine="0" w:firstLineChars="0"/>
              <w:jc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G资产评估机构</w:t>
            </w:r>
          </w:p>
        </w:tc>
        <w:tc>
          <w:tcPr>
            <w:tcW w:w="1592" w:type="pct"/>
            <w:vAlign w:val="center"/>
          </w:tcPr>
          <w:p>
            <w:pPr>
              <w:pStyle w:val="10"/>
              <w:numPr>
                <w:ilvl w:val="0"/>
                <w:numId w:val="0"/>
              </w:numPr>
              <w:spacing w:line="240" w:lineRule="auto"/>
              <w:ind w:left="0" w:leftChars="0" w:firstLine="0" w:firstLineChars="0"/>
              <w:jc w:val="left"/>
              <w:rPr>
                <w:rFonts w:hint="eastAsia"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近四年任意年度在库，但近四年均</w:t>
            </w:r>
            <w:r>
              <w:rPr>
                <w:rFonts w:hint="eastAsia" w:ascii="仿宋_GB2312" w:hAnsi="仿宋_GB2312" w:eastAsia="仿宋_GB2312" w:cs="仿宋_GB2312"/>
                <w:color w:val="000000"/>
                <w:kern w:val="0"/>
                <w:sz w:val="24"/>
                <w:szCs w:val="24"/>
                <w:highlight w:val="none"/>
                <w:u w:val="none"/>
                <w:lang w:bidi="ar"/>
              </w:rPr>
              <w:t>未提供过</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服务</w:t>
            </w:r>
          </w:p>
        </w:tc>
        <w:tc>
          <w:tcPr>
            <w:tcW w:w="748" w:type="pct"/>
            <w:vAlign w:val="center"/>
          </w:tcPr>
          <w:p>
            <w:pPr>
              <w:pStyle w:val="10"/>
              <w:numPr>
                <w:ilvl w:val="0"/>
                <w:numId w:val="0"/>
              </w:numPr>
              <w:spacing w:line="240" w:lineRule="auto"/>
              <w:ind w:left="0" w:leftChars="0" w:firstLine="0" w:firstLineChars="0"/>
              <w:jc w:val="center"/>
              <w:rPr>
                <w:rFonts w:hint="default"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w:t>
            </w:r>
          </w:p>
        </w:tc>
        <w:tc>
          <w:tcPr>
            <w:tcW w:w="1980" w:type="pct"/>
            <w:vAlign w:val="center"/>
          </w:tcPr>
          <w:p>
            <w:pPr>
              <w:pStyle w:val="10"/>
              <w:numPr>
                <w:ilvl w:val="0"/>
                <w:numId w:val="0"/>
              </w:numPr>
              <w:spacing w:line="240" w:lineRule="auto"/>
              <w:ind w:left="0" w:leftChars="0" w:firstLine="0" w:firstLineChars="0"/>
              <w:jc w:val="left"/>
              <w:rPr>
                <w:rFonts w:hint="eastAsia" w:ascii="仿宋_GB2312" w:hAnsi="仿宋_GB2312" w:eastAsia="仿宋_GB2312" w:cs="仿宋_GB2312"/>
                <w:color w:val="000000"/>
                <w:kern w:val="0"/>
                <w:sz w:val="24"/>
                <w:szCs w:val="24"/>
                <w:highlight w:val="none"/>
                <w:u w:val="none"/>
                <w:lang w:val="en-US" w:eastAsia="zh-CN" w:bidi="ar"/>
              </w:rPr>
            </w:pPr>
            <w:r>
              <w:rPr>
                <w:rFonts w:hint="eastAsia" w:ascii="仿宋_GB2312" w:hAnsi="仿宋_GB2312" w:eastAsia="仿宋_GB2312" w:cs="仿宋_GB2312"/>
                <w:color w:val="000000"/>
                <w:kern w:val="0"/>
                <w:sz w:val="24"/>
                <w:szCs w:val="24"/>
                <w:highlight w:val="none"/>
                <w:u w:val="none"/>
                <w:lang w:bidi="ar"/>
              </w:rPr>
              <w:t>下一轮</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机构备选库选聘</w:t>
            </w:r>
            <w:r>
              <w:rPr>
                <w:rFonts w:hint="eastAsia" w:ascii="仿宋_GB2312" w:hAnsi="仿宋_GB2312" w:eastAsia="仿宋_GB2312" w:cs="仿宋_GB2312"/>
                <w:color w:val="000000"/>
                <w:kern w:val="0"/>
                <w:sz w:val="24"/>
                <w:szCs w:val="24"/>
                <w:highlight w:val="none"/>
                <w:u w:val="none"/>
                <w:lang w:val="en-US" w:eastAsia="zh-CN" w:bidi="ar"/>
              </w:rPr>
              <w:t>中</w:t>
            </w:r>
            <w:r>
              <w:rPr>
                <w:rFonts w:hint="eastAsia" w:ascii="仿宋_GB2312" w:hAnsi="仿宋_GB2312" w:eastAsia="仿宋_GB2312" w:cs="仿宋_GB2312"/>
                <w:color w:val="000000" w:themeColor="text1"/>
                <w:spacing w:val="0"/>
                <w:kern w:val="2"/>
                <w:sz w:val="24"/>
                <w:szCs w:val="24"/>
                <w:highlight w:val="none"/>
                <w:lang w:val="en-US" w:eastAsia="zh-CN" w:bidi="ar-SA"/>
                <w14:textFill>
                  <w14:solidFill>
                    <w14:schemeClr w14:val="tx1"/>
                  </w14:solidFill>
                </w14:textFill>
              </w:rPr>
              <w:t>所涉及的服务标准评分指标</w:t>
            </w:r>
            <w:r>
              <w:rPr>
                <w:rFonts w:hint="eastAsia" w:ascii="仿宋_GB2312" w:hAnsi="仿宋_GB2312" w:eastAsia="仿宋_GB2312" w:cs="仿宋_GB2312"/>
                <w:color w:val="000000"/>
                <w:kern w:val="0"/>
                <w:sz w:val="24"/>
                <w:szCs w:val="24"/>
                <w:highlight w:val="none"/>
                <w:u w:val="none"/>
                <w:lang w:val="en-US" w:eastAsia="zh-CN" w:bidi="ar"/>
              </w:rPr>
              <w:t>不</w:t>
            </w:r>
            <w:r>
              <w:rPr>
                <w:rFonts w:hint="eastAsia" w:ascii="仿宋_GB2312" w:hAnsi="仿宋_GB2312" w:eastAsia="仿宋_GB2312" w:cs="仿宋_GB2312"/>
                <w:color w:val="000000"/>
                <w:kern w:val="0"/>
                <w:sz w:val="24"/>
                <w:szCs w:val="24"/>
                <w:highlight w:val="none"/>
                <w:u w:val="none"/>
                <w:lang w:bidi="ar"/>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pct"/>
            <w:vAlign w:val="center"/>
          </w:tcPr>
          <w:p>
            <w:pPr>
              <w:pStyle w:val="10"/>
              <w:numPr>
                <w:ilvl w:val="0"/>
                <w:numId w:val="0"/>
              </w:numPr>
              <w:spacing w:line="240" w:lineRule="auto"/>
              <w:ind w:left="0" w:leftChars="0" w:firstLine="0" w:firstLineChars="0"/>
              <w:jc w:val="center"/>
              <w:rPr>
                <w:rFonts w:hint="default"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H资产评估机构</w:t>
            </w:r>
          </w:p>
        </w:tc>
        <w:tc>
          <w:tcPr>
            <w:tcW w:w="1592" w:type="pct"/>
            <w:vAlign w:val="center"/>
          </w:tcPr>
          <w:p>
            <w:pPr>
              <w:pStyle w:val="10"/>
              <w:numPr>
                <w:ilvl w:val="0"/>
                <w:numId w:val="0"/>
              </w:numPr>
              <w:spacing w:line="240" w:lineRule="auto"/>
              <w:ind w:left="0" w:leftChars="0" w:firstLine="0" w:firstLineChars="0"/>
              <w:jc w:val="left"/>
              <w:rPr>
                <w:rFonts w:hint="default"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近四年均不在库</w:t>
            </w:r>
          </w:p>
        </w:tc>
        <w:tc>
          <w:tcPr>
            <w:tcW w:w="748" w:type="pct"/>
            <w:vAlign w:val="center"/>
          </w:tcPr>
          <w:p>
            <w:pPr>
              <w:pStyle w:val="10"/>
              <w:numPr>
                <w:ilvl w:val="0"/>
                <w:numId w:val="0"/>
              </w:numPr>
              <w:spacing w:line="240" w:lineRule="auto"/>
              <w:ind w:left="0" w:leftChars="0" w:firstLine="0" w:firstLineChars="0"/>
              <w:jc w:val="center"/>
              <w:rPr>
                <w:rFonts w:hint="default" w:ascii="仿宋_GB2312" w:hAnsi="仿宋_GB2312" w:eastAsia="仿宋_GB2312" w:cs="仿宋_GB2312"/>
                <w:color w:val="000000"/>
                <w:kern w:val="0"/>
                <w:sz w:val="24"/>
                <w:szCs w:val="24"/>
                <w:highlight w:val="none"/>
                <w:u w:val="none"/>
                <w:vertAlign w:val="baseline"/>
                <w:lang w:val="en-US" w:eastAsia="zh-CN" w:bidi="ar"/>
              </w:rPr>
            </w:pPr>
            <w:r>
              <w:rPr>
                <w:rFonts w:hint="eastAsia" w:ascii="仿宋_GB2312" w:hAnsi="仿宋_GB2312" w:eastAsia="仿宋_GB2312" w:cs="仿宋_GB2312"/>
                <w:color w:val="000000"/>
                <w:kern w:val="0"/>
                <w:sz w:val="24"/>
                <w:szCs w:val="24"/>
                <w:highlight w:val="none"/>
                <w:u w:val="none"/>
                <w:vertAlign w:val="baseline"/>
                <w:lang w:val="en-US" w:eastAsia="zh-CN" w:bidi="ar"/>
              </w:rPr>
              <w:t>...</w:t>
            </w:r>
          </w:p>
        </w:tc>
        <w:tc>
          <w:tcPr>
            <w:tcW w:w="1980" w:type="pct"/>
            <w:vAlign w:val="center"/>
          </w:tcPr>
          <w:p>
            <w:pPr>
              <w:pStyle w:val="10"/>
              <w:numPr>
                <w:ilvl w:val="0"/>
                <w:numId w:val="0"/>
              </w:numPr>
              <w:spacing w:line="240" w:lineRule="auto"/>
              <w:ind w:left="0" w:leftChars="0" w:firstLine="0" w:firstLineChars="0"/>
              <w:jc w:val="left"/>
              <w:rPr>
                <w:rFonts w:hint="default" w:ascii="仿宋_GB2312" w:hAnsi="仿宋_GB2312" w:eastAsia="仿宋_GB2312" w:cs="仿宋_GB2312"/>
                <w:color w:val="000000"/>
                <w:kern w:val="0"/>
                <w:sz w:val="24"/>
                <w:szCs w:val="24"/>
                <w:highlight w:val="none"/>
                <w:u w:val="none"/>
                <w:lang w:val="en-US" w:eastAsia="zh-CN" w:bidi="ar"/>
              </w:rPr>
            </w:pPr>
            <w:r>
              <w:rPr>
                <w:rFonts w:hint="eastAsia" w:ascii="仿宋_GB2312" w:hAnsi="仿宋_GB2312" w:eastAsia="仿宋_GB2312" w:cs="仿宋_GB2312"/>
                <w:color w:val="000000"/>
                <w:kern w:val="0"/>
                <w:sz w:val="24"/>
                <w:szCs w:val="24"/>
                <w:highlight w:val="none"/>
                <w:u w:val="none"/>
                <w:lang w:bidi="ar"/>
              </w:rPr>
              <w:t>下一轮</w:t>
            </w:r>
            <w:r>
              <w:rPr>
                <w:rFonts w:hint="eastAsia" w:ascii="仿宋_GB2312" w:hAnsi="仿宋_GB2312" w:eastAsia="仿宋_GB2312" w:cs="仿宋_GB2312"/>
                <w:color w:val="000000"/>
                <w:kern w:val="0"/>
                <w:sz w:val="24"/>
                <w:szCs w:val="24"/>
                <w:highlight w:val="none"/>
                <w:u w:val="none"/>
                <w:lang w:eastAsia="zh-CN" w:bidi="ar"/>
              </w:rPr>
              <w:t>资产评估</w:t>
            </w:r>
            <w:r>
              <w:rPr>
                <w:rFonts w:hint="eastAsia" w:ascii="仿宋_GB2312" w:hAnsi="仿宋_GB2312" w:eastAsia="仿宋_GB2312" w:cs="仿宋_GB2312"/>
                <w:color w:val="000000"/>
                <w:kern w:val="0"/>
                <w:sz w:val="24"/>
                <w:szCs w:val="24"/>
                <w:highlight w:val="none"/>
                <w:u w:val="none"/>
                <w:lang w:bidi="ar"/>
              </w:rPr>
              <w:t>机构备选库选聘</w:t>
            </w:r>
            <w:r>
              <w:rPr>
                <w:rFonts w:hint="eastAsia" w:ascii="仿宋_GB2312" w:hAnsi="仿宋_GB2312" w:eastAsia="仿宋_GB2312" w:cs="仿宋_GB2312"/>
                <w:color w:val="000000"/>
                <w:kern w:val="0"/>
                <w:sz w:val="24"/>
                <w:szCs w:val="24"/>
                <w:highlight w:val="none"/>
                <w:u w:val="none"/>
                <w:lang w:val="en-US" w:eastAsia="zh-CN" w:bidi="ar"/>
              </w:rPr>
              <w:t>中</w:t>
            </w:r>
            <w:r>
              <w:rPr>
                <w:rFonts w:hint="eastAsia" w:ascii="仿宋_GB2312" w:hAnsi="仿宋_GB2312" w:eastAsia="仿宋_GB2312" w:cs="仿宋_GB2312"/>
                <w:color w:val="000000" w:themeColor="text1"/>
                <w:spacing w:val="0"/>
                <w:kern w:val="2"/>
                <w:sz w:val="24"/>
                <w:szCs w:val="24"/>
                <w:highlight w:val="none"/>
                <w:lang w:val="en-US" w:eastAsia="zh-CN" w:bidi="ar-SA"/>
                <w14:textFill>
                  <w14:solidFill>
                    <w14:schemeClr w14:val="tx1"/>
                  </w14:solidFill>
                </w14:textFill>
              </w:rPr>
              <w:t>所涉及的服务标准评分指标</w:t>
            </w:r>
            <w:r>
              <w:rPr>
                <w:rFonts w:hint="eastAsia" w:ascii="仿宋_GB2312" w:hAnsi="仿宋_GB2312" w:eastAsia="仿宋_GB2312" w:cs="仿宋_GB2312"/>
                <w:color w:val="000000"/>
                <w:kern w:val="0"/>
                <w:sz w:val="24"/>
                <w:szCs w:val="24"/>
                <w:highlight w:val="none"/>
                <w:u w:val="none"/>
                <w:lang w:val="en-US" w:eastAsia="zh-CN" w:bidi="ar"/>
              </w:rPr>
              <w:t>不</w:t>
            </w:r>
            <w:r>
              <w:rPr>
                <w:rFonts w:hint="eastAsia" w:ascii="仿宋_GB2312" w:hAnsi="仿宋_GB2312" w:eastAsia="仿宋_GB2312" w:cs="仿宋_GB2312"/>
                <w:color w:val="000000"/>
                <w:kern w:val="0"/>
                <w:sz w:val="24"/>
                <w:szCs w:val="24"/>
                <w:highlight w:val="none"/>
                <w:u w:val="none"/>
                <w:lang w:bidi="ar"/>
              </w:rPr>
              <w:t>得分</w:t>
            </w:r>
          </w:p>
        </w:tc>
      </w:tr>
    </w:tbl>
    <w:p>
      <w:pPr>
        <w:rPr>
          <w:highlight w:val="none"/>
        </w:rPr>
      </w:pPr>
    </w:p>
    <w:p/>
    <w:p>
      <w:pPr>
        <w:rPr>
          <w:highlight w:val="none"/>
        </w:rPr>
      </w:pPr>
    </w:p>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B1AC21B-ED0F-45EF-BDA1-2C2F09F013D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9C063A1-5E2A-4463-A8A0-5583482A8514}"/>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embedRegular r:id="rId3" w:fontKey="{24281CCD-7F8C-40A5-AEEA-021C85A17140}"/>
  </w:font>
  <w:font w:name="宋体+Times New Roman Baltic">
    <w:altName w:val="宋体"/>
    <w:panose1 w:val="00000000000000000000"/>
    <w:charset w:val="86"/>
    <w:family w:val="auto"/>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embedRegular r:id="rId4" w:fontKey="{60B0ACBB-B005-4359-B768-051913223D94}"/>
  </w:font>
  <w:font w:name="楷体_GB2312">
    <w:panose1 w:val="02010609030101010101"/>
    <w:charset w:val="86"/>
    <w:family w:val="auto"/>
    <w:pitch w:val="default"/>
    <w:sig w:usb0="00000001" w:usb1="080E0000" w:usb2="00000000" w:usb3="00000000" w:csb0="00040000" w:csb1="00000000"/>
    <w:embedRegular r:id="rId5" w:fontKey="{02C48CC5-3DFD-40A9-A00B-632AC75C8876}"/>
  </w:font>
  <w:font w:name="仿宋">
    <w:panose1 w:val="02010609060101010101"/>
    <w:charset w:val="86"/>
    <w:family w:val="auto"/>
    <w:pitch w:val="default"/>
    <w:sig w:usb0="800002BF" w:usb1="38CF7CFA" w:usb2="00000016" w:usb3="00000000" w:csb0="00040001" w:csb1="00000000"/>
    <w:embedRegular r:id="rId6" w:fontKey="{CBB3C18D-7DC3-40E9-9B4D-9ABBA6DFC2B6}"/>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7456" behindDoc="0" locked="0" layoutInCell="1" allowOverlap="1">
              <wp:simplePos x="0" y="0"/>
              <wp:positionH relativeFrom="margin">
                <wp:posOffset>2564130</wp:posOffset>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1.9pt;margin-top:0pt;height:144pt;width:144pt;mso-position-horizontal-relative:margin;mso-wrap-style:none;z-index:251667456;mso-width-relative:page;mso-height-relative:page;" filled="f" stroked="f" coordsize="21600,21600" o:gfxdata="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b+R+KNUAAAAIAQAADwAAAAAAAAABACAAAAAiAAAAZHJzL2Rvd25yZXYueG1sUEsB&#10;AhQAFAAAAAgAh07iQCSCRrQxAgAAYQQAAA4AAAAAAAAAAQAgAAAAJAEAAGRycy9lMm9Eb2MueG1s&#10;UEsFBgAAAAAGAAYAWQEAAMcFAAAAAA==&#10;">
              <v:fill on="f" focussize="0,0"/>
              <v:stroke on="f" weight="0.5pt"/>
              <v:imagedata o:title=""/>
              <o:lock v:ext="edit" aspectratio="f"/>
              <v:textbox inset="0mm,0mm,0mm,0mm" style="mso-fit-shape-to-text:t;">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6432" behindDoc="0" locked="0" layoutInCell="1" allowOverlap="1">
              <wp:simplePos x="0" y="0"/>
              <wp:positionH relativeFrom="margin">
                <wp:posOffset>2564130</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1.9pt;margin-top:0pt;height:144pt;width:144pt;mso-position-horizontal-relative:margin;mso-wrap-style:none;z-index:251666432;mso-width-relative:page;mso-height-relative:page;" filled="f" stroked="f" coordsize="21600,21600" o:gfxdata="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G/kfijVAAAACAEAAA8AAAAAAAAAAQAgAAAAIgAAAGRycy9kb3ducmV2LnhtbFBL&#10;AQIUABQAAAAIAIdO4kC6jDgrMgIAAGEEAAAOAAAAAAAAAAEAIAAAACQBAABkcnMvZTJvRG9jLnht&#10;bFBLBQYAAAAABgAGAFkBAADIBQAAAAA=&#10;">
              <v:fill on="f" focussize="0,0"/>
              <v:stroke on="f" weight="0.5pt"/>
              <v:imagedata o:title=""/>
              <o:lock v:ext="edit" aspectratio="f"/>
              <v:textbox inset="0mm,0mm,0mm,0mm" style="mso-fit-shape-to-text:t;">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黑体" w:hAnsi="黑体" w:eastAsia="黑体" w:cs="黑体"/>
        <w:bCs/>
      </w:rPr>
    </w:pPr>
    <w:r>
      <w:drawing>
        <wp:anchor distT="0" distB="0" distL="114300" distR="114300" simplePos="0" relativeHeight="251662336" behindDoc="0" locked="0" layoutInCell="1" allowOverlap="1">
          <wp:simplePos x="0" y="0"/>
          <wp:positionH relativeFrom="column">
            <wp:posOffset>6927850</wp:posOffset>
          </wp:positionH>
          <wp:positionV relativeFrom="paragraph">
            <wp:posOffset>-250825</wp:posOffset>
          </wp:positionV>
          <wp:extent cx="1640205" cy="334010"/>
          <wp:effectExtent l="0" t="0" r="17145" b="8890"/>
          <wp:wrapNone/>
          <wp:docPr id="14" name="图片 14" descr="公司简报样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公司简报样板"/>
                  <pic:cNvPicPr>
                    <a:picLocks noChangeAspect="1" noChangeArrowheads="1"/>
                  </pic:cNvPicPr>
                </pic:nvPicPr>
                <pic:blipFill>
                  <a:blip r:embed="rId1">
                    <a:extLst>
                      <a:ext uri="{28A0092B-C50C-407E-A947-70E740481C1C}">
                        <a14:useLocalDpi xmlns:a14="http://schemas.microsoft.com/office/drawing/2010/main" val="0"/>
                      </a:ext>
                    </a:extLst>
                  </a:blip>
                  <a:srcRect l="19426" t="44986" r="13589" b="28510"/>
                  <a:stretch>
                    <a:fillRect/>
                  </a:stretch>
                </pic:blipFill>
                <pic:spPr>
                  <a:xfrm>
                    <a:off x="0" y="0"/>
                    <a:ext cx="1640205" cy="33401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7E95E3"/>
    <w:multiLevelType w:val="singleLevel"/>
    <w:tmpl w:val="0C7E95E3"/>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mMDQ1YTg0YTE5OWM4N2I0YzI5MzQ2ODExNGNmYTIifQ=="/>
  </w:docVars>
  <w:rsids>
    <w:rsidRoot w:val="5F1B6236"/>
    <w:rsid w:val="00124DF0"/>
    <w:rsid w:val="00457007"/>
    <w:rsid w:val="0204742C"/>
    <w:rsid w:val="020819C7"/>
    <w:rsid w:val="025901E7"/>
    <w:rsid w:val="032D3D2F"/>
    <w:rsid w:val="035D445C"/>
    <w:rsid w:val="03704231"/>
    <w:rsid w:val="038E7FC6"/>
    <w:rsid w:val="03AA4343"/>
    <w:rsid w:val="03BB190A"/>
    <w:rsid w:val="03F04EDD"/>
    <w:rsid w:val="04182185"/>
    <w:rsid w:val="043121E5"/>
    <w:rsid w:val="04844446"/>
    <w:rsid w:val="04AC0DBF"/>
    <w:rsid w:val="04C21B55"/>
    <w:rsid w:val="05CE6104"/>
    <w:rsid w:val="05EE6947"/>
    <w:rsid w:val="06525FBE"/>
    <w:rsid w:val="0654426F"/>
    <w:rsid w:val="072843E4"/>
    <w:rsid w:val="07B90654"/>
    <w:rsid w:val="07DB3ED9"/>
    <w:rsid w:val="07F36074"/>
    <w:rsid w:val="07F4372A"/>
    <w:rsid w:val="085A58FE"/>
    <w:rsid w:val="08BD035C"/>
    <w:rsid w:val="08CD6EE3"/>
    <w:rsid w:val="08FA50E4"/>
    <w:rsid w:val="098E06CB"/>
    <w:rsid w:val="0A2763AD"/>
    <w:rsid w:val="0A5F7488"/>
    <w:rsid w:val="0AB822A5"/>
    <w:rsid w:val="0AFE3D2C"/>
    <w:rsid w:val="0BAB4BBC"/>
    <w:rsid w:val="0CF571FE"/>
    <w:rsid w:val="0CFB224A"/>
    <w:rsid w:val="0D095010"/>
    <w:rsid w:val="0D9A50E8"/>
    <w:rsid w:val="0E4B26DB"/>
    <w:rsid w:val="0E907072"/>
    <w:rsid w:val="0F6679F1"/>
    <w:rsid w:val="0F7D0036"/>
    <w:rsid w:val="0F9B7B52"/>
    <w:rsid w:val="0FA078AA"/>
    <w:rsid w:val="0FC95811"/>
    <w:rsid w:val="0FEF4AEC"/>
    <w:rsid w:val="10B74439"/>
    <w:rsid w:val="11390C0C"/>
    <w:rsid w:val="118D5E3F"/>
    <w:rsid w:val="11916802"/>
    <w:rsid w:val="11934554"/>
    <w:rsid w:val="11B23646"/>
    <w:rsid w:val="11D1587E"/>
    <w:rsid w:val="12577104"/>
    <w:rsid w:val="13D03611"/>
    <w:rsid w:val="13DF52F2"/>
    <w:rsid w:val="140E5EE8"/>
    <w:rsid w:val="1451163F"/>
    <w:rsid w:val="14A800EA"/>
    <w:rsid w:val="154D0E1C"/>
    <w:rsid w:val="15594EAA"/>
    <w:rsid w:val="158A3197"/>
    <w:rsid w:val="15C36792"/>
    <w:rsid w:val="15D45EDC"/>
    <w:rsid w:val="15E16C1D"/>
    <w:rsid w:val="16001A77"/>
    <w:rsid w:val="16C350F8"/>
    <w:rsid w:val="16EA740B"/>
    <w:rsid w:val="181E778C"/>
    <w:rsid w:val="183D7242"/>
    <w:rsid w:val="189F7A56"/>
    <w:rsid w:val="19EF78D0"/>
    <w:rsid w:val="1A8045DC"/>
    <w:rsid w:val="1A961EAB"/>
    <w:rsid w:val="1BB67591"/>
    <w:rsid w:val="1BD9110D"/>
    <w:rsid w:val="1DC0365D"/>
    <w:rsid w:val="1DF740E1"/>
    <w:rsid w:val="20C52024"/>
    <w:rsid w:val="219258B0"/>
    <w:rsid w:val="21A71C91"/>
    <w:rsid w:val="21AC0B87"/>
    <w:rsid w:val="21F32BF9"/>
    <w:rsid w:val="235E4972"/>
    <w:rsid w:val="23E57AF8"/>
    <w:rsid w:val="24114F65"/>
    <w:rsid w:val="249237E4"/>
    <w:rsid w:val="24B54D78"/>
    <w:rsid w:val="24D31CEF"/>
    <w:rsid w:val="25CC4995"/>
    <w:rsid w:val="26540731"/>
    <w:rsid w:val="26F43175"/>
    <w:rsid w:val="27EE295B"/>
    <w:rsid w:val="27F5477F"/>
    <w:rsid w:val="28C15202"/>
    <w:rsid w:val="28E207C3"/>
    <w:rsid w:val="28F31E46"/>
    <w:rsid w:val="290E652C"/>
    <w:rsid w:val="293004FF"/>
    <w:rsid w:val="29405EED"/>
    <w:rsid w:val="294C1384"/>
    <w:rsid w:val="29B3429E"/>
    <w:rsid w:val="29EB611F"/>
    <w:rsid w:val="29FD463E"/>
    <w:rsid w:val="2A141AB6"/>
    <w:rsid w:val="2B1B3F75"/>
    <w:rsid w:val="2C1E6F2F"/>
    <w:rsid w:val="2CEF2903"/>
    <w:rsid w:val="2D054405"/>
    <w:rsid w:val="2D586859"/>
    <w:rsid w:val="2E7F7F0B"/>
    <w:rsid w:val="2E99497B"/>
    <w:rsid w:val="2EBE26BA"/>
    <w:rsid w:val="2ED53F6E"/>
    <w:rsid w:val="2F1653CE"/>
    <w:rsid w:val="2F8A5D40"/>
    <w:rsid w:val="2FCA6E3F"/>
    <w:rsid w:val="2FEA7D25"/>
    <w:rsid w:val="30002DCD"/>
    <w:rsid w:val="30543A74"/>
    <w:rsid w:val="305F475F"/>
    <w:rsid w:val="30C3032E"/>
    <w:rsid w:val="30C631A6"/>
    <w:rsid w:val="30FF25FE"/>
    <w:rsid w:val="33864519"/>
    <w:rsid w:val="34DC7A6A"/>
    <w:rsid w:val="351C625F"/>
    <w:rsid w:val="35323AC6"/>
    <w:rsid w:val="354062A5"/>
    <w:rsid w:val="35B2318A"/>
    <w:rsid w:val="35E01551"/>
    <w:rsid w:val="364C4624"/>
    <w:rsid w:val="36B25B82"/>
    <w:rsid w:val="37A137D4"/>
    <w:rsid w:val="37B46BF1"/>
    <w:rsid w:val="39577EA3"/>
    <w:rsid w:val="395D0BF4"/>
    <w:rsid w:val="3A0456A0"/>
    <w:rsid w:val="3A2A4F7A"/>
    <w:rsid w:val="3AE35129"/>
    <w:rsid w:val="3BB818E6"/>
    <w:rsid w:val="3C5C30C7"/>
    <w:rsid w:val="3CE21B3C"/>
    <w:rsid w:val="3CEB51C9"/>
    <w:rsid w:val="3EBF7C5B"/>
    <w:rsid w:val="3ED90148"/>
    <w:rsid w:val="3F84512C"/>
    <w:rsid w:val="41526F90"/>
    <w:rsid w:val="423D5A66"/>
    <w:rsid w:val="424F7693"/>
    <w:rsid w:val="42791374"/>
    <w:rsid w:val="42845E98"/>
    <w:rsid w:val="42DA1D0B"/>
    <w:rsid w:val="43166D1E"/>
    <w:rsid w:val="43830BE3"/>
    <w:rsid w:val="43CF6CFD"/>
    <w:rsid w:val="44893BAC"/>
    <w:rsid w:val="448A590A"/>
    <w:rsid w:val="44A43C25"/>
    <w:rsid w:val="45131921"/>
    <w:rsid w:val="459526D7"/>
    <w:rsid w:val="46220AA4"/>
    <w:rsid w:val="464503B6"/>
    <w:rsid w:val="46454571"/>
    <w:rsid w:val="466D7F4D"/>
    <w:rsid w:val="46872E42"/>
    <w:rsid w:val="46DE4988"/>
    <w:rsid w:val="46ED626F"/>
    <w:rsid w:val="471825FE"/>
    <w:rsid w:val="473C009B"/>
    <w:rsid w:val="480F6118"/>
    <w:rsid w:val="48570D3F"/>
    <w:rsid w:val="4876502F"/>
    <w:rsid w:val="48AB372A"/>
    <w:rsid w:val="48CB0DAB"/>
    <w:rsid w:val="48E716A7"/>
    <w:rsid w:val="4935121A"/>
    <w:rsid w:val="4A933D32"/>
    <w:rsid w:val="4AD056CA"/>
    <w:rsid w:val="4C3F1C36"/>
    <w:rsid w:val="4C433C79"/>
    <w:rsid w:val="4C45021F"/>
    <w:rsid w:val="4D294BEC"/>
    <w:rsid w:val="4D4203D5"/>
    <w:rsid w:val="4ED67027"/>
    <w:rsid w:val="4F3E6870"/>
    <w:rsid w:val="4F717DC0"/>
    <w:rsid w:val="502D461E"/>
    <w:rsid w:val="50852AB2"/>
    <w:rsid w:val="50A72D06"/>
    <w:rsid w:val="50D11B20"/>
    <w:rsid w:val="514E19D2"/>
    <w:rsid w:val="51533F29"/>
    <w:rsid w:val="515E0ACE"/>
    <w:rsid w:val="51846B3A"/>
    <w:rsid w:val="52137EEC"/>
    <w:rsid w:val="52BC1AB1"/>
    <w:rsid w:val="53055E40"/>
    <w:rsid w:val="53F74397"/>
    <w:rsid w:val="55132319"/>
    <w:rsid w:val="55F73E71"/>
    <w:rsid w:val="55F85ED9"/>
    <w:rsid w:val="560E354A"/>
    <w:rsid w:val="56666EE2"/>
    <w:rsid w:val="56E122AB"/>
    <w:rsid w:val="570916BE"/>
    <w:rsid w:val="57D4431F"/>
    <w:rsid w:val="57F57B30"/>
    <w:rsid w:val="582953A1"/>
    <w:rsid w:val="582D4EE0"/>
    <w:rsid w:val="58EE2308"/>
    <w:rsid w:val="591C1910"/>
    <w:rsid w:val="59917875"/>
    <w:rsid w:val="59F76A12"/>
    <w:rsid w:val="5A1868A6"/>
    <w:rsid w:val="5B5E10BB"/>
    <w:rsid w:val="5C0A20DD"/>
    <w:rsid w:val="5C3D5BF9"/>
    <w:rsid w:val="5C4131B7"/>
    <w:rsid w:val="5C4B1BA6"/>
    <w:rsid w:val="5C884067"/>
    <w:rsid w:val="5EAA1880"/>
    <w:rsid w:val="5EBD1226"/>
    <w:rsid w:val="5F1B6236"/>
    <w:rsid w:val="5F261328"/>
    <w:rsid w:val="5F3D09FC"/>
    <w:rsid w:val="5F921505"/>
    <w:rsid w:val="60063143"/>
    <w:rsid w:val="602C6657"/>
    <w:rsid w:val="60B35636"/>
    <w:rsid w:val="611C17E3"/>
    <w:rsid w:val="6157155D"/>
    <w:rsid w:val="615A3AE7"/>
    <w:rsid w:val="619D383A"/>
    <w:rsid w:val="61C1213A"/>
    <w:rsid w:val="62E63DCB"/>
    <w:rsid w:val="63DF7068"/>
    <w:rsid w:val="63F20007"/>
    <w:rsid w:val="6472500B"/>
    <w:rsid w:val="648132E9"/>
    <w:rsid w:val="64C00437"/>
    <w:rsid w:val="64CE046B"/>
    <w:rsid w:val="64E35AA7"/>
    <w:rsid w:val="65401246"/>
    <w:rsid w:val="65F32C4F"/>
    <w:rsid w:val="667B76B0"/>
    <w:rsid w:val="668D2E4E"/>
    <w:rsid w:val="669F5F80"/>
    <w:rsid w:val="66BF7D5E"/>
    <w:rsid w:val="66F150F1"/>
    <w:rsid w:val="6770306A"/>
    <w:rsid w:val="683D1AC6"/>
    <w:rsid w:val="686A2060"/>
    <w:rsid w:val="68910E9A"/>
    <w:rsid w:val="69676677"/>
    <w:rsid w:val="6997791C"/>
    <w:rsid w:val="6AE46D58"/>
    <w:rsid w:val="6AE74201"/>
    <w:rsid w:val="6C0A61C1"/>
    <w:rsid w:val="6C5850C7"/>
    <w:rsid w:val="6CDE0992"/>
    <w:rsid w:val="6D4B5B2F"/>
    <w:rsid w:val="6DAC5479"/>
    <w:rsid w:val="6E2A298A"/>
    <w:rsid w:val="6F1D64EF"/>
    <w:rsid w:val="6FA65AF5"/>
    <w:rsid w:val="700730DA"/>
    <w:rsid w:val="70277E2F"/>
    <w:rsid w:val="706E28CF"/>
    <w:rsid w:val="708478B3"/>
    <w:rsid w:val="70FD5397"/>
    <w:rsid w:val="71087328"/>
    <w:rsid w:val="7109629B"/>
    <w:rsid w:val="71132313"/>
    <w:rsid w:val="71763BDE"/>
    <w:rsid w:val="71AF1681"/>
    <w:rsid w:val="722E01C7"/>
    <w:rsid w:val="722F6411"/>
    <w:rsid w:val="73835A38"/>
    <w:rsid w:val="73D94D40"/>
    <w:rsid w:val="73EA439B"/>
    <w:rsid w:val="742B4E84"/>
    <w:rsid w:val="74384C9C"/>
    <w:rsid w:val="74845476"/>
    <w:rsid w:val="75107110"/>
    <w:rsid w:val="75397D24"/>
    <w:rsid w:val="75D525F7"/>
    <w:rsid w:val="762C6036"/>
    <w:rsid w:val="764E38F0"/>
    <w:rsid w:val="7786126C"/>
    <w:rsid w:val="78805622"/>
    <w:rsid w:val="78B55A7A"/>
    <w:rsid w:val="78C0202A"/>
    <w:rsid w:val="79310F7C"/>
    <w:rsid w:val="79A2593A"/>
    <w:rsid w:val="79D40D9E"/>
    <w:rsid w:val="7A335771"/>
    <w:rsid w:val="7A6B246A"/>
    <w:rsid w:val="7B121E97"/>
    <w:rsid w:val="7B2C6D6D"/>
    <w:rsid w:val="7BDC780D"/>
    <w:rsid w:val="7C627F25"/>
    <w:rsid w:val="7C781CD9"/>
    <w:rsid w:val="7C802E1A"/>
    <w:rsid w:val="7D64344D"/>
    <w:rsid w:val="7E0224E7"/>
    <w:rsid w:val="7E1B5545"/>
    <w:rsid w:val="7E3138BF"/>
    <w:rsid w:val="7E7062A0"/>
    <w:rsid w:val="7EAD7761"/>
    <w:rsid w:val="7EB40ECD"/>
    <w:rsid w:val="7F44667A"/>
    <w:rsid w:val="7FB32F67"/>
    <w:rsid w:val="7FB47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link w:val="25"/>
    <w:unhideWhenUsed/>
    <w:qFormat/>
    <w:uiPriority w:val="0"/>
    <w:pPr>
      <w:keepNext/>
      <w:keepLines/>
      <w:spacing w:before="260" w:after="260" w:line="413" w:lineRule="auto"/>
      <w:outlineLvl w:val="1"/>
    </w:pPr>
    <w:rPr>
      <w:rFonts w:ascii="Arial" w:hAnsi="Arial" w:eastAsia="黑体"/>
      <w:b/>
      <w:sz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line="240" w:lineRule="auto"/>
    </w:pPr>
    <w:rPr>
      <w:sz w:val="21"/>
      <w:szCs w:val="24"/>
    </w:rPr>
  </w:style>
  <w:style w:type="paragraph" w:styleId="3">
    <w:name w:val="Title"/>
    <w:basedOn w:val="1"/>
    <w:next w:val="1"/>
    <w:qFormat/>
    <w:uiPriority w:val="0"/>
    <w:pPr>
      <w:widowControl w:val="0"/>
      <w:spacing w:before="240" w:after="60" w:line="240" w:lineRule="auto"/>
      <w:jc w:val="center"/>
      <w:outlineLvl w:val="0"/>
    </w:pPr>
    <w:rPr>
      <w:rFonts w:ascii="Arial" w:hAnsi="Arial" w:eastAsia="华文中宋" w:cs="Arial"/>
      <w:b/>
      <w:bCs/>
      <w:color w:val="FF0000"/>
      <w:sz w:val="116"/>
      <w:szCs w:val="32"/>
    </w:rPr>
  </w:style>
  <w:style w:type="paragraph" w:styleId="6">
    <w:name w:val="caption"/>
    <w:basedOn w:val="1"/>
    <w:next w:val="1"/>
    <w:semiHidden/>
    <w:unhideWhenUsed/>
    <w:qFormat/>
    <w:uiPriority w:val="0"/>
    <w:rPr>
      <w:rFonts w:ascii="Arial" w:hAnsi="Arial" w:eastAsia="黑体"/>
      <w:sz w:val="20"/>
    </w:rPr>
  </w:style>
  <w:style w:type="paragraph" w:styleId="7">
    <w:name w:val="annotation text"/>
    <w:basedOn w:val="1"/>
    <w:qFormat/>
    <w:uiPriority w:val="0"/>
    <w:pPr>
      <w:jc w:val="left"/>
    </w:pPr>
  </w:style>
  <w:style w:type="paragraph" w:styleId="8">
    <w:name w:val="Body Text Indent"/>
    <w:basedOn w:val="1"/>
    <w:next w:val="9"/>
    <w:qFormat/>
    <w:uiPriority w:val="0"/>
    <w:pPr>
      <w:spacing w:line="620" w:lineRule="exact"/>
      <w:ind w:firstLine="640" w:firstLineChars="200"/>
    </w:pPr>
    <w:rPr>
      <w:rFonts w:ascii="Times New Roman" w:hAnsi="Times New Roman" w:eastAsia="仿宋_GB2312" w:cs="Times New Roman"/>
      <w:sz w:val="32"/>
    </w:rPr>
  </w:style>
  <w:style w:type="paragraph" w:styleId="9">
    <w:name w:val="Body Text First Indent 2"/>
    <w:basedOn w:val="8"/>
    <w:qFormat/>
    <w:uiPriority w:val="0"/>
    <w:pPr>
      <w:ind w:firstLine="420"/>
    </w:pPr>
    <w:rPr>
      <w:rFonts w:cs="宋体"/>
      <w:szCs w:val="20"/>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footnote text"/>
    <w:basedOn w:val="1"/>
    <w:qFormat/>
    <w:uiPriority w:val="0"/>
    <w:pPr>
      <w:snapToGrid w:val="0"/>
      <w:jc w:val="left"/>
    </w:pPr>
    <w:rPr>
      <w:sz w:val="18"/>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otnote reference"/>
    <w:basedOn w:val="17"/>
    <w:unhideWhenUsed/>
    <w:qFormat/>
    <w:uiPriority w:val="99"/>
    <w:rPr>
      <w:vertAlign w:val="superscript"/>
    </w:rPr>
  </w:style>
  <w:style w:type="paragraph" w:customStyle="1" w:styleId="19">
    <w:name w:val="正文_0"/>
    <w:next w:val="2"/>
    <w:qFormat/>
    <w:uiPriority w:val="0"/>
    <w:pPr>
      <w:spacing w:line="560" w:lineRule="exact"/>
      <w:jc w:val="both"/>
    </w:pPr>
    <w:rPr>
      <w:rFonts w:ascii="Times New Roman" w:hAnsi="Times New Roman" w:eastAsia="仿宋_GB2312" w:cs="仿宋_GB2312"/>
      <w:kern w:val="2"/>
      <w:sz w:val="32"/>
      <w:szCs w:val="32"/>
      <w:lang w:val="en-US" w:eastAsia="zh-CN" w:bidi="ar-SA"/>
    </w:rPr>
  </w:style>
  <w:style w:type="character" w:customStyle="1" w:styleId="20">
    <w:name w:val="font11"/>
    <w:basedOn w:val="17"/>
    <w:qFormat/>
    <w:uiPriority w:val="0"/>
    <w:rPr>
      <w:rFonts w:hint="eastAsia" w:ascii="宋体" w:hAnsi="宋体" w:eastAsia="宋体" w:cs="宋体"/>
      <w:b/>
      <w:bCs/>
      <w:color w:val="000000"/>
      <w:sz w:val="18"/>
      <w:szCs w:val="18"/>
      <w:u w:val="none"/>
    </w:rPr>
  </w:style>
  <w:style w:type="character" w:customStyle="1" w:styleId="21">
    <w:name w:val="font21"/>
    <w:basedOn w:val="17"/>
    <w:qFormat/>
    <w:uiPriority w:val="0"/>
    <w:rPr>
      <w:rFonts w:hint="eastAsia" w:ascii="宋体" w:hAnsi="宋体" w:eastAsia="宋体" w:cs="宋体"/>
      <w:color w:val="000000"/>
      <w:sz w:val="18"/>
      <w:szCs w:val="18"/>
      <w:u w:val="none"/>
    </w:rPr>
  </w:style>
  <w:style w:type="character" w:customStyle="1" w:styleId="22">
    <w:name w:val="font31"/>
    <w:basedOn w:val="17"/>
    <w:qFormat/>
    <w:uiPriority w:val="0"/>
    <w:rPr>
      <w:rFonts w:hint="eastAsia" w:ascii="宋体" w:hAnsi="宋体" w:eastAsia="宋体" w:cs="宋体"/>
      <w:color w:val="000000"/>
      <w:sz w:val="18"/>
      <w:szCs w:val="18"/>
      <w:u w:val="none"/>
    </w:rPr>
  </w:style>
  <w:style w:type="paragraph" w:customStyle="1" w:styleId="23">
    <w:name w:val="p0"/>
    <w:basedOn w:val="1"/>
    <w:qFormat/>
    <w:uiPriority w:val="0"/>
    <w:pPr>
      <w:widowControl/>
    </w:pPr>
    <w:rPr>
      <w:kern w:val="0"/>
    </w:rPr>
  </w:style>
  <w:style w:type="paragraph" w:customStyle="1" w:styleId="24">
    <w:name w:val="悬空缩进"/>
    <w:qFormat/>
    <w:uiPriority w:val="0"/>
    <w:pPr>
      <w:widowControl w:val="0"/>
      <w:tabs>
        <w:tab w:val="left" w:pos="240"/>
      </w:tabs>
      <w:autoSpaceDE w:val="0"/>
      <w:autoSpaceDN w:val="0"/>
      <w:adjustRightInd w:val="0"/>
      <w:ind w:firstLine="471"/>
      <w:jc w:val="both"/>
    </w:pPr>
    <w:rPr>
      <w:rFonts w:ascii="宋体+Times New Roman Baltic" w:hAnsi="Times New Roman" w:eastAsia="宋体+Times New Roman Baltic" w:cs="宋体+Times New Roman Baltic"/>
      <w:sz w:val="24"/>
      <w:szCs w:val="24"/>
      <w:lang w:val="en-US" w:eastAsia="zh-CN" w:bidi="ar-SA"/>
    </w:rPr>
  </w:style>
  <w:style w:type="character" w:customStyle="1" w:styleId="25">
    <w:name w:val="标题 2 字符"/>
    <w:link w:val="5"/>
    <w:qFormat/>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4671</Words>
  <Characters>6488</Characters>
  <Lines>0</Lines>
  <Paragraphs>0</Paragraphs>
  <TotalTime>8</TotalTime>
  <ScaleCrop>false</ScaleCrop>
  <LinksUpToDate>false</LinksUpToDate>
  <CharactersWithSpaces>6526</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2023-12-08T07:30:00Z</dcterms:created>
  <dc:creator>李佑明</dc:creator>
  <cp:lastModifiedBy>cyt</cp:lastModifiedBy>
  <cp:lastPrinted>2026-06-15T06:28:00Z</cp:lastPrinted>
  <dcterms:modified xsi:type="dcterms:W3CDTF">2026-06-22T06:20:17Z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8142C4760726429692C6CC7B442A7FE8</vt:lpwstr>
  </property>
  <property fmtid="{D5CDD505-2E9C-101B-9397-08002B2CF9AE}" pid="4" name="WondersoftTag">
    <vt:lpwstr>056866C7-7E92-41BB-930A-CA6652451B06#2#B51052C4-23ED4C04-93A3F659-F383412A##0</vt:lpwstr>
  </property>
</Properties>
</file>