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80A3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bookmarkStart w:id="0" w:name="_Toc296719071"/>
      <w:bookmarkStart w:id="1" w:name="_Toc20644920"/>
      <w:r>
        <w:rPr>
          <w:rFonts w:hint="eastAsia" w:ascii="宋体" w:hAnsi="宋体" w:eastAsia="宋体" w:cs="宋体"/>
          <w:sz w:val="28"/>
          <w:szCs w:val="28"/>
        </w:rPr>
        <w:t>发包人（甲方）：</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62759f59-d9c4-4759-9b64-fd03b48ef15a}"/>
          </w:placeholder>
          <w:text/>
        </w:sdtPr>
        <w:sdtEndPr>
          <w:rPr>
            <w:rFonts w:hint="eastAsia" w:ascii="宋体" w:hAnsi="宋体" w:eastAsia="宋体" w:cs="宋体"/>
            <w:kern w:val="2"/>
            <w:sz w:val="28"/>
            <w:szCs w:val="28"/>
            <w:u w:val="single"/>
            <w:lang w:val="en-US" w:eastAsia="zh-CN" w:bidi="ar-SA"/>
          </w:rPr>
        </w:sdtEndPr>
        <w:sdtContent>
          <w:permStart w:id="0" w:edGrp="everyone"/>
          <w:r>
            <w:rPr>
              <w:rFonts w:hint="eastAsia" w:ascii="宋体" w:hAnsi="宋体" w:eastAsia="宋体" w:cs="宋体"/>
              <w:sz w:val="28"/>
              <w:szCs w:val="28"/>
              <w:u w:val="single"/>
              <w:lang w:val="en-US" w:eastAsia="zh-CN"/>
            </w:rPr>
            <w:t xml:space="preserve">                          </w:t>
          </w:r>
          <w:permEnd w:id="0"/>
        </w:sdtContent>
      </w:sdt>
    </w:p>
    <w:p w14:paraId="6ED6716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甲方注册地址"/>
          <w:tag w:val="甲方注册地址"/>
          <w:id w:val="147474805"/>
          <w:placeholder>
            <w:docPart w:val="{f0f095f9-5e29-4387-b06b-f7de569d5c5b}"/>
          </w:placeholder>
          <w:text/>
        </w:sdtPr>
        <w:sdtEndPr>
          <w:rPr>
            <w:rFonts w:hint="eastAsia" w:ascii="宋体" w:hAnsi="宋体" w:eastAsia="宋体" w:cs="宋体"/>
            <w:kern w:val="2"/>
            <w:sz w:val="28"/>
            <w:szCs w:val="28"/>
            <w:u w:val="single"/>
            <w:lang w:val="en-US" w:eastAsia="zh-CN" w:bidi="ar-SA"/>
          </w:rPr>
        </w:sdtEndPr>
        <w:sdtContent>
          <w:permStart w:id="1" w:edGrp="everyone"/>
          <w:r>
            <w:rPr>
              <w:rFonts w:hint="eastAsia" w:ascii="宋体" w:hAnsi="宋体" w:eastAsia="宋体" w:cs="宋体"/>
              <w:sz w:val="28"/>
              <w:szCs w:val="28"/>
              <w:u w:val="single"/>
              <w:lang w:val="en-US" w:eastAsia="zh-CN"/>
            </w:rPr>
            <w:t xml:space="preserve">                                </w:t>
          </w:r>
          <w:permEnd w:id="1"/>
        </w:sdtContent>
      </w:sdt>
    </w:p>
    <w:p w14:paraId="2B72AD2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甲方法定代表人或负责人"/>
          <w:tag w:val="甲方法定代表人或负责人"/>
          <w:id w:val="147474704"/>
          <w:placeholder>
            <w:docPart w:val="{49f2dec1-f09e-4eda-86d1-6c4fdf9a4705}"/>
          </w:placeholder>
          <w:text/>
        </w:sdtPr>
        <w:sdtEndPr>
          <w:rPr>
            <w:rFonts w:hint="eastAsia" w:ascii="宋体" w:hAnsi="宋体" w:eastAsia="宋体" w:cs="宋体"/>
            <w:kern w:val="2"/>
            <w:sz w:val="28"/>
            <w:szCs w:val="28"/>
            <w:u w:val="single"/>
            <w:lang w:val="en-US" w:eastAsia="zh-CN" w:bidi="ar-SA"/>
          </w:rPr>
        </w:sdtEndPr>
        <w:sdtContent>
          <w:permStart w:id="2" w:edGrp="everyone"/>
          <w:r>
            <w:rPr>
              <w:rFonts w:hint="eastAsia" w:ascii="宋体" w:hAnsi="宋体" w:eastAsia="宋体" w:cs="宋体"/>
              <w:sz w:val="28"/>
              <w:szCs w:val="28"/>
              <w:u w:val="single"/>
              <w:lang w:val="en-US" w:eastAsia="zh-CN"/>
            </w:rPr>
            <w:t xml:space="preserve">                    </w:t>
          </w:r>
          <w:permEnd w:id="2"/>
        </w:sdtContent>
      </w:sdt>
    </w:p>
    <w:p w14:paraId="073E00E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b35765ef-3e80-42db-9c49-428a10d245a9}"/>
          </w:placeholder>
          <w:text/>
        </w:sdtPr>
        <w:sdtEndPr>
          <w:rPr>
            <w:rFonts w:hint="eastAsia" w:ascii="宋体" w:hAnsi="宋体" w:eastAsia="宋体" w:cs="宋体"/>
            <w:kern w:val="2"/>
            <w:sz w:val="28"/>
            <w:szCs w:val="28"/>
            <w:u w:val="single"/>
            <w:lang w:val="en-US" w:eastAsia="zh-CN" w:bidi="ar-SA"/>
          </w:rPr>
        </w:sdtEndPr>
        <w:sdtContent>
          <w:permStart w:id="3" w:edGrp="everyone"/>
          <w:r>
            <w:rPr>
              <w:rFonts w:hint="eastAsia" w:ascii="宋体" w:hAnsi="宋体" w:eastAsia="宋体" w:cs="宋体"/>
              <w:sz w:val="28"/>
              <w:szCs w:val="28"/>
              <w:u w:val="single"/>
              <w:lang w:val="en-US" w:eastAsia="zh-CN"/>
            </w:rPr>
            <w:t xml:space="preserve">                              </w:t>
          </w:r>
          <w:permEnd w:id="3"/>
        </w:sdtContent>
      </w:sdt>
    </w:p>
    <w:p w14:paraId="4F66B47C">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通讯地址：</w:t>
      </w:r>
      <w:sdt>
        <w:sdtPr>
          <w:rPr>
            <w:rFonts w:hint="eastAsia" w:ascii="宋体" w:hAnsi="宋体" w:eastAsia="宋体" w:cs="宋体"/>
            <w:color w:val="auto"/>
            <w:sz w:val="28"/>
            <w:szCs w:val="28"/>
          </w:rPr>
          <w:alias w:val="甲方办公通讯地址"/>
          <w:tag w:val="甲方办公通讯地址"/>
          <w:id w:val="147472745"/>
          <w:placeholder>
            <w:docPart w:val="{3ee564c4-6f52-47bb-b5c1-0bc872a719b0}"/>
          </w:placeholder>
          <w:text/>
        </w:sdtPr>
        <w:sdtEndPr>
          <w:rPr>
            <w:rFonts w:hint="eastAsia" w:ascii="宋体" w:hAnsi="宋体" w:eastAsia="宋体" w:cs="宋体"/>
            <w:color w:val="auto"/>
            <w:sz w:val="28"/>
            <w:szCs w:val="28"/>
            <w:u w:val="single"/>
          </w:rPr>
        </w:sdtEndPr>
        <w:sdtContent>
          <w:permStart w:id="4" w:edGrp="everyone"/>
          <w:r>
            <w:rPr>
              <w:rFonts w:hint="eastAsia" w:ascii="宋体" w:hAnsi="宋体" w:eastAsia="宋体" w:cs="宋体"/>
              <w:color w:val="auto"/>
              <w:sz w:val="28"/>
              <w:szCs w:val="28"/>
              <w:u w:val="single"/>
            </w:rPr>
            <w:t xml:space="preserve">                                </w:t>
          </w:r>
          <w:permEnd w:id="4"/>
        </w:sdtContent>
      </w:sdt>
    </w:p>
    <w:p w14:paraId="545C65DF">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732a2662-9bbe-4147-8ae5-1b2a9b34ae9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5" w:edGrp="everyone"/>
          <w:r>
            <w:rPr>
              <w:rFonts w:hint="eastAsia" w:ascii="宋体" w:hAnsi="宋体" w:eastAsia="宋体" w:cs="宋体"/>
              <w:sz w:val="28"/>
              <w:szCs w:val="28"/>
              <w:u w:val="single"/>
              <w:shd w:val="clear" w:color="auto" w:fill="auto"/>
              <w:lang w:val="en-US" w:eastAsia="zh-CN"/>
            </w:rPr>
            <w:t xml:space="preserve">                                </w:t>
          </w:r>
          <w:permEnd w:id="5"/>
        </w:sdtContent>
      </w:sdt>
    </w:p>
    <w:p w14:paraId="18A7C986">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甲方联系人固定电话"/>
          <w:tag w:val="甲方联系人固定电话"/>
          <w:id w:val="147473290"/>
          <w:placeholder>
            <w:docPart w:val="{718aa4a6-4418-4e1a-8d6d-ed480785fb6d}"/>
          </w:placeholder>
          <w:text/>
        </w:sdtPr>
        <w:sdtEndPr>
          <w:rPr>
            <w:rFonts w:hint="eastAsia" w:ascii="宋体" w:hAnsi="宋体" w:eastAsia="宋体" w:cs="宋体"/>
            <w:kern w:val="2"/>
            <w:sz w:val="28"/>
            <w:szCs w:val="28"/>
            <w:u w:val="single"/>
            <w:lang w:val="en-US" w:eastAsia="zh-CN" w:bidi="ar-SA"/>
          </w:rPr>
        </w:sdtEndPr>
        <w:sdtContent>
          <w:permStart w:id="6" w:edGrp="everyone"/>
          <w:r>
            <w:rPr>
              <w:rFonts w:hint="eastAsia" w:ascii="宋体" w:hAnsi="宋体" w:eastAsia="宋体" w:cs="宋体"/>
              <w:sz w:val="28"/>
              <w:szCs w:val="28"/>
              <w:u w:val="single"/>
              <w:lang w:val="en-US" w:eastAsia="zh-CN"/>
            </w:rPr>
            <w:t xml:space="preserve">                                </w:t>
          </w:r>
          <w:permEnd w:id="6"/>
        </w:sdtContent>
      </w:sdt>
    </w:p>
    <w:p w14:paraId="52610E3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甲方联系人电子邮箱"/>
          <w:tag w:val="甲方联系人电子邮箱"/>
          <w:id w:val="147473169"/>
          <w:placeholder>
            <w:docPart w:val="{cd26310c-fbf4-4e06-94d6-cc1d447b05c9}"/>
          </w:placeholder>
          <w:text/>
        </w:sdtPr>
        <w:sdtEndPr>
          <w:rPr>
            <w:rFonts w:hint="eastAsia" w:ascii="宋体" w:hAnsi="宋体" w:eastAsia="宋体" w:cs="宋体"/>
            <w:kern w:val="2"/>
            <w:sz w:val="28"/>
            <w:szCs w:val="28"/>
            <w:lang w:val="en-US" w:eastAsia="zh-CN" w:bidi="ar-SA"/>
          </w:rPr>
        </w:sdtEndPr>
        <w:sdtContent>
          <w:permStart w:id="7" w:edGrp="everyone"/>
          <w:r>
            <w:rPr>
              <w:rFonts w:hint="eastAsia" w:ascii="宋体" w:hAnsi="宋体" w:eastAsia="宋体" w:cs="宋体"/>
              <w:sz w:val="28"/>
              <w:szCs w:val="28"/>
              <w:u w:val="single"/>
              <w:lang w:val="en-US" w:eastAsia="zh-CN"/>
            </w:rPr>
            <w:t xml:space="preserve">                                </w:t>
          </w:r>
          <w:permEnd w:id="7"/>
        </w:sdtContent>
      </w:sdt>
    </w:p>
    <w:p w14:paraId="5B2A667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eastAsia="zh-CN"/>
        </w:rPr>
      </w:pPr>
    </w:p>
    <w:p w14:paraId="4F0B2A68">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承包人（乙方）</w:t>
      </w:r>
      <w:r>
        <w:rPr>
          <w:rFonts w:hint="eastAsia" w:ascii="宋体" w:hAnsi="宋体" w:eastAsia="宋体" w:cs="宋体"/>
          <w:sz w:val="28"/>
          <w:szCs w:val="28"/>
        </w:rPr>
        <w:t>：</w:t>
      </w:r>
      <w:sdt>
        <w:sdtPr>
          <w:rPr>
            <w:rFonts w:hint="eastAsia" w:ascii="宋体" w:hAnsi="宋体" w:eastAsia="宋体" w:cs="宋体"/>
            <w:kern w:val="2"/>
            <w:sz w:val="28"/>
            <w:szCs w:val="28"/>
            <w:lang w:val="en-US" w:eastAsia="zh-CN" w:bidi="ar-SA"/>
          </w:rPr>
          <w:alias w:val="乙方当事人全称"/>
          <w:tag w:val="乙方当事人全称"/>
          <w:id w:val="147472829"/>
          <w:placeholder>
            <w:docPart w:val="{8bac2369-ec32-43f1-8f61-051285ac2d42}"/>
          </w:placeholder>
          <w:text/>
        </w:sdtPr>
        <w:sdtEndPr>
          <w:rPr>
            <w:rFonts w:hint="eastAsia" w:ascii="宋体" w:hAnsi="宋体" w:eastAsia="宋体" w:cs="宋体"/>
            <w:kern w:val="2"/>
            <w:sz w:val="28"/>
            <w:szCs w:val="28"/>
            <w:u w:val="single"/>
            <w:lang w:val="en-US" w:eastAsia="zh-CN" w:bidi="ar-SA"/>
          </w:rPr>
        </w:sdtEndPr>
        <w:sdtContent>
          <w:permStart w:id="8" w:edGrp="everyone"/>
          <w:r>
            <w:rPr>
              <w:rFonts w:hint="eastAsia" w:ascii="宋体" w:hAnsi="宋体" w:eastAsia="宋体" w:cs="宋体"/>
              <w:sz w:val="28"/>
              <w:szCs w:val="28"/>
              <w:u w:val="single"/>
              <w:lang w:val="en-US" w:eastAsia="zh-CN"/>
            </w:rPr>
            <w:t xml:space="preserve">                          </w:t>
          </w:r>
          <w:permEnd w:id="8"/>
        </w:sdtContent>
      </w:sdt>
    </w:p>
    <w:p w14:paraId="22551620">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乙方注册地址"/>
          <w:tag w:val="乙方注册地址"/>
          <w:id w:val="147472663"/>
          <w:placeholder>
            <w:docPart w:val="{7d9adc19-0d9f-401f-8daf-769da2ed54c9}"/>
          </w:placeholder>
          <w:text/>
        </w:sdtPr>
        <w:sdtEndPr>
          <w:rPr>
            <w:rFonts w:hint="eastAsia" w:ascii="宋体" w:hAnsi="宋体" w:eastAsia="宋体" w:cs="宋体"/>
            <w:kern w:val="2"/>
            <w:sz w:val="28"/>
            <w:szCs w:val="28"/>
            <w:u w:val="single"/>
            <w:lang w:val="en-US" w:eastAsia="zh-CN" w:bidi="ar-SA"/>
          </w:rPr>
        </w:sdtEndPr>
        <w:sdtContent>
          <w:permStart w:id="9" w:edGrp="everyone"/>
          <w:r>
            <w:rPr>
              <w:rFonts w:hint="eastAsia" w:ascii="宋体" w:hAnsi="宋体" w:eastAsia="宋体" w:cs="宋体"/>
              <w:sz w:val="28"/>
              <w:szCs w:val="28"/>
              <w:u w:val="single"/>
              <w:lang w:val="en-US" w:eastAsia="zh-CN"/>
            </w:rPr>
            <w:t xml:space="preserve">                                </w:t>
          </w:r>
          <w:permEnd w:id="9"/>
        </w:sdtContent>
      </w:sdt>
    </w:p>
    <w:p w14:paraId="40B35986">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乙方法定代表人或负责人"/>
          <w:tag w:val="乙方法定代表人或负责人"/>
          <w:id w:val="147472581"/>
          <w:placeholder>
            <w:docPart w:val="{6f4c801d-f721-4c01-8e7b-32630c111422}"/>
          </w:placeholder>
          <w:text/>
        </w:sdtPr>
        <w:sdtEndPr>
          <w:rPr>
            <w:rFonts w:hint="eastAsia" w:ascii="宋体" w:hAnsi="宋体" w:eastAsia="宋体" w:cs="宋体"/>
            <w:kern w:val="2"/>
            <w:sz w:val="28"/>
            <w:szCs w:val="28"/>
            <w:u w:val="single"/>
            <w:lang w:val="en-US" w:eastAsia="zh-CN" w:bidi="ar-SA"/>
          </w:rPr>
        </w:sdtEndPr>
        <w:sdtContent>
          <w:permStart w:id="10" w:edGrp="everyone"/>
          <w:r>
            <w:rPr>
              <w:rFonts w:hint="eastAsia" w:ascii="宋体" w:hAnsi="宋体" w:eastAsia="宋体" w:cs="宋体"/>
              <w:sz w:val="28"/>
              <w:szCs w:val="28"/>
              <w:u w:val="single"/>
              <w:lang w:val="en-US" w:eastAsia="zh-CN"/>
            </w:rPr>
            <w:t xml:space="preserve">                    </w:t>
          </w:r>
          <w:permEnd w:id="10"/>
        </w:sdtContent>
      </w:sdt>
    </w:p>
    <w:p w14:paraId="7D1C38B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b39e8399-7b89-4bdd-9306-155b96b4bad4}"/>
          </w:placeholder>
          <w:text/>
        </w:sdtPr>
        <w:sdtEndPr>
          <w:rPr>
            <w:rFonts w:hint="eastAsia" w:ascii="宋体" w:hAnsi="宋体" w:eastAsia="宋体" w:cs="宋体"/>
            <w:kern w:val="2"/>
            <w:sz w:val="28"/>
            <w:szCs w:val="28"/>
            <w:u w:val="single"/>
            <w:lang w:val="en-US" w:eastAsia="zh-CN" w:bidi="ar-SA"/>
          </w:rPr>
        </w:sdtEndPr>
        <w:sdtContent>
          <w:permStart w:id="11" w:edGrp="everyone"/>
          <w:r>
            <w:rPr>
              <w:rFonts w:hint="eastAsia" w:ascii="宋体" w:hAnsi="宋体" w:eastAsia="宋体" w:cs="宋体"/>
              <w:sz w:val="28"/>
              <w:szCs w:val="28"/>
              <w:u w:val="single"/>
              <w:lang w:val="en-US" w:eastAsia="zh-CN"/>
            </w:rPr>
            <w:t xml:space="preserve">                              </w:t>
          </w:r>
          <w:permEnd w:id="11"/>
        </w:sdtContent>
      </w:sdt>
    </w:p>
    <w:p w14:paraId="03FC64DC">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lang w:val="en-US"/>
        </w:rPr>
      </w:pPr>
      <w:r>
        <w:rPr>
          <w:rFonts w:hint="eastAsia" w:ascii="宋体" w:hAnsi="宋体" w:eastAsia="宋体" w:cs="宋体"/>
          <w:sz w:val="28"/>
          <w:szCs w:val="28"/>
        </w:rPr>
        <w:t>通讯地址：</w:t>
      </w:r>
      <w:sdt>
        <w:sdtPr>
          <w:rPr>
            <w:rFonts w:hint="eastAsia" w:ascii="宋体" w:hAnsi="宋体" w:eastAsia="宋体" w:cs="宋体"/>
            <w:color w:val="auto"/>
            <w:sz w:val="28"/>
            <w:szCs w:val="28"/>
          </w:rPr>
          <w:alias w:val="乙方办公通讯地址"/>
          <w:tag w:val="乙方办公通讯地址"/>
          <w:id w:val="147471941"/>
          <w:placeholder>
            <w:docPart w:val="{f2a6c763-bd45-4a8c-9ff5-c933834def56}"/>
          </w:placeholder>
          <w:text/>
        </w:sdtPr>
        <w:sdtEndPr>
          <w:rPr>
            <w:rFonts w:hint="eastAsia" w:ascii="宋体" w:hAnsi="宋体" w:eastAsia="宋体" w:cs="宋体"/>
            <w:color w:val="auto"/>
            <w:sz w:val="28"/>
            <w:szCs w:val="28"/>
            <w:u w:val="single"/>
          </w:rPr>
        </w:sdtEndPr>
        <w:sdtContent>
          <w:permStart w:id="12" w:edGrp="everyone"/>
          <w:r>
            <w:rPr>
              <w:rFonts w:hint="eastAsia" w:ascii="宋体" w:hAnsi="宋体" w:eastAsia="宋体" w:cs="宋体"/>
              <w:color w:val="auto"/>
              <w:sz w:val="28"/>
              <w:szCs w:val="28"/>
              <w:u w:val="single"/>
            </w:rPr>
            <w:t xml:space="preserve">                                </w:t>
          </w:r>
          <w:permEnd w:id="12"/>
        </w:sdtContent>
      </w:sdt>
    </w:p>
    <w:p w14:paraId="73493C0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08c693c0-389e-4309-9cd7-047b12dbe6f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 w:edGrp="everyone"/>
          <w:r>
            <w:rPr>
              <w:rFonts w:hint="eastAsia" w:ascii="宋体" w:hAnsi="宋体" w:eastAsia="宋体" w:cs="宋体"/>
              <w:sz w:val="28"/>
              <w:szCs w:val="28"/>
              <w:u w:val="single"/>
              <w:shd w:val="clear" w:color="auto" w:fill="auto"/>
              <w:lang w:val="en-US" w:eastAsia="zh-CN"/>
            </w:rPr>
            <w:t xml:space="preserve">                                </w:t>
          </w:r>
          <w:permEnd w:id="13"/>
        </w:sdtContent>
      </w:sdt>
    </w:p>
    <w:p w14:paraId="5382A49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乙方联系人固定电话"/>
          <w:tag w:val="乙方联系人固定电话"/>
          <w:id w:val="147471722"/>
          <w:placeholder>
            <w:docPart w:val="{b50ec190-e121-4e69-9cf3-fc6962a87fea}"/>
          </w:placeholder>
          <w:text/>
        </w:sdtPr>
        <w:sdtEndPr>
          <w:rPr>
            <w:rFonts w:hint="eastAsia" w:ascii="宋体" w:hAnsi="宋体" w:eastAsia="宋体" w:cs="宋体"/>
            <w:kern w:val="2"/>
            <w:sz w:val="28"/>
            <w:szCs w:val="28"/>
            <w:lang w:val="en-US" w:eastAsia="zh-CN" w:bidi="ar-SA"/>
          </w:rPr>
        </w:sdtEndPr>
        <w:sdtContent>
          <w:permStart w:id="14" w:edGrp="everyone"/>
          <w:r>
            <w:rPr>
              <w:rFonts w:hint="eastAsia" w:ascii="宋体" w:hAnsi="宋体" w:eastAsia="宋体" w:cs="宋体"/>
              <w:sz w:val="28"/>
              <w:szCs w:val="28"/>
              <w:u w:val="single"/>
              <w:lang w:val="en-US" w:eastAsia="zh-CN"/>
            </w:rPr>
            <w:t xml:space="preserve">                                </w:t>
          </w:r>
          <w:permEnd w:id="14"/>
        </w:sdtContent>
      </w:sdt>
    </w:p>
    <w:p w14:paraId="012000B9">
      <w:pPr>
        <w:kinsoku/>
        <w:wordWrap/>
        <w:overflowPunct/>
        <w:topLinePunct w:val="0"/>
        <w:bidi w:val="0"/>
        <w:spacing w:line="540" w:lineRule="exact"/>
        <w:ind w:firstLine="560" w:firstLineChars="200"/>
        <w:rPr>
          <w:rFonts w:hint="eastAsia" w:ascii="宋体" w:hAnsi="宋体" w:eastAsia="宋体" w:cs="宋体"/>
          <w:sz w:val="24"/>
          <w:szCs w:val="24"/>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乙方联系人电子邮箱"/>
          <w:tag w:val="乙方联系人电子邮箱"/>
          <w:id w:val="147471651"/>
          <w:placeholder>
            <w:docPart w:val="{714637e3-94b0-4968-b6b3-99830a5c64bf}"/>
          </w:placeholder>
          <w:text/>
        </w:sdtPr>
        <w:sdtEndPr>
          <w:rPr>
            <w:rFonts w:hint="eastAsia" w:ascii="宋体" w:hAnsi="宋体" w:eastAsia="宋体" w:cs="宋体"/>
            <w:kern w:val="2"/>
            <w:sz w:val="24"/>
            <w:szCs w:val="24"/>
            <w:u w:val="single"/>
            <w:lang w:val="en-US" w:eastAsia="zh-CN" w:bidi="ar-SA"/>
          </w:rPr>
        </w:sdtEndPr>
        <w:sdtContent>
          <w:permStart w:id="15" w:edGrp="everyone"/>
          <w:r>
            <w:rPr>
              <w:rFonts w:hint="eastAsia" w:ascii="宋体" w:hAnsi="宋体" w:eastAsia="宋体" w:cs="宋体"/>
              <w:sz w:val="28"/>
              <w:szCs w:val="28"/>
              <w:u w:val="single"/>
              <w:lang w:val="en-US" w:eastAsia="zh-CN"/>
            </w:rPr>
            <w:t xml:space="preserve">                                </w:t>
          </w:r>
          <w:permEnd w:id="15"/>
        </w:sdtContent>
      </w:sdt>
      <w:r>
        <w:rPr>
          <w:rFonts w:hint="eastAsia" w:ascii="宋体" w:hAnsi="宋体" w:eastAsia="宋体" w:cs="宋体"/>
          <w:sz w:val="24"/>
          <w:szCs w:val="24"/>
        </w:rPr>
        <w:br w:type="page"/>
      </w:r>
    </w:p>
    <w:p w14:paraId="1967AC4C">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r>
        <w:rPr>
          <w:rFonts w:hint="eastAsia" w:ascii="宋体" w:hAnsi="宋体" w:eastAsia="宋体" w:cs="宋体"/>
          <w:sz w:val="24"/>
          <w:szCs w:val="24"/>
        </w:rPr>
        <w:t>第一节 合同协议书</w:t>
      </w:r>
      <w:bookmarkEnd w:id="0"/>
      <w:bookmarkEnd w:id="1"/>
    </w:p>
    <w:p w14:paraId="16161801">
      <w:pPr>
        <w:kinsoku/>
        <w:wordWrap/>
        <w:overflowPunct/>
        <w:topLinePunct w:val="0"/>
        <w:bidi w:val="0"/>
        <w:spacing w:line="540" w:lineRule="exact"/>
        <w:rPr>
          <w:rFonts w:hint="eastAsia" w:ascii="宋体" w:hAnsi="宋体" w:eastAsia="宋体" w:cs="宋体"/>
          <w:sz w:val="24"/>
          <w:szCs w:val="24"/>
        </w:rPr>
      </w:pPr>
    </w:p>
    <w:p w14:paraId="7F6D818C">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鉴于发包人为建设</w:t>
      </w:r>
      <w:permStart w:id="16" w:edGrp="everyone"/>
      <w:r>
        <w:rPr>
          <w:rFonts w:hint="eastAsia" w:ascii="宋体" w:hAnsi="宋体" w:eastAsia="宋体" w:cs="宋体"/>
          <w:sz w:val="24"/>
          <w:szCs w:val="24"/>
          <w:u w:val="single"/>
        </w:rPr>
        <w:t xml:space="preserve">       </w:t>
      </w:r>
      <w:permEnd w:id="16"/>
      <w:r>
        <w:rPr>
          <w:rFonts w:hint="eastAsia" w:ascii="宋体" w:hAnsi="宋体" w:eastAsia="宋体" w:cs="宋体"/>
          <w:sz w:val="24"/>
          <w:szCs w:val="24"/>
        </w:rPr>
        <w:t>工程，通过公开招标，择优选择一家有经验的工程承包人按本合同规定承担上述工程施工工作，并通过</w:t>
      </w:r>
      <w:sdt>
        <w:sdtPr>
          <w:rPr>
            <w:rFonts w:hint="eastAsia" w:ascii="宋体" w:hAnsi="宋体" w:eastAsia="宋体" w:cs="宋体"/>
            <w:sz w:val="24"/>
            <w:szCs w:val="24"/>
            <w:lang w:val="en-US" w:eastAsia="zh-CN"/>
          </w:rPr>
          <w:alias w:val="请选择中标通知书发出日期。"/>
          <w:tag w:val="中标通知书发出日期"/>
          <w:id w:val="147452310"/>
          <w:placeholder>
            <w:docPart w:val="{2da471d0-4341-4ab1-84cf-b9e268d7d281}"/>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permStart w:id="17" w:edGrp="everyone"/>
          <w:r>
            <w:rPr>
              <w:rFonts w:hint="eastAsia" w:ascii="宋体" w:hAnsi="宋体" w:eastAsia="宋体" w:cs="宋体"/>
              <w:sz w:val="24"/>
              <w:szCs w:val="24"/>
              <w:u w:val="single"/>
              <w:lang w:val="en-US" w:eastAsia="zh-CN"/>
            </w:rPr>
            <w:t xml:space="preserve">     年    月    日</w:t>
          </w:r>
          <w:permEnd w:id="17"/>
        </w:sdtContent>
      </w:sdt>
      <w:r>
        <w:rPr>
          <w:rFonts w:hint="eastAsia" w:ascii="宋体" w:hAnsi="宋体" w:eastAsia="宋体" w:cs="宋体"/>
          <w:sz w:val="24"/>
          <w:szCs w:val="24"/>
        </w:rPr>
        <w:t>的中标通知书接受了承包人提交的工程投标。</w:t>
      </w:r>
    </w:p>
    <w:p w14:paraId="7C3797BE">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 工程概况</w:t>
      </w:r>
    </w:p>
    <w:p w14:paraId="49C0066C">
      <w:pPr>
        <w:kinsoku/>
        <w:wordWrap/>
        <w:overflowPunct/>
        <w:topLinePunct w:val="0"/>
        <w:bidi w:val="0"/>
        <w:spacing w:line="540" w:lineRule="exact"/>
        <w:ind w:firstLine="480" w:firstLineChars="200"/>
        <w:rPr>
          <w:rFonts w:hint="eastAsia" w:ascii="宋体" w:hAnsi="宋体" w:eastAsia="宋体" w:cs="宋体"/>
          <w:sz w:val="24"/>
          <w:szCs w:val="24"/>
        </w:rPr>
      </w:pPr>
      <w:permStart w:id="18" w:edGrp="everyone"/>
      <w:r>
        <w:rPr>
          <w:rFonts w:hint="eastAsia" w:ascii="宋体" w:hAnsi="宋体" w:eastAsia="宋体" w:cs="宋体"/>
          <w:sz w:val="24"/>
          <w:szCs w:val="24"/>
          <w:u w:val="single"/>
        </w:rPr>
        <w:t xml:space="preserve">            </w:t>
      </w:r>
      <w:permEnd w:id="18"/>
    </w:p>
    <w:p w14:paraId="69245077">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承包范围</w:t>
      </w:r>
    </w:p>
    <w:p w14:paraId="7FE9CECA">
      <w:pPr>
        <w:kinsoku/>
        <w:wordWrap/>
        <w:overflowPunct/>
        <w:topLinePunct w:val="0"/>
        <w:bidi w:val="0"/>
        <w:spacing w:line="540" w:lineRule="exact"/>
        <w:ind w:firstLine="480" w:firstLineChars="200"/>
        <w:rPr>
          <w:rFonts w:hint="eastAsia" w:ascii="宋体" w:hAnsi="宋体" w:eastAsia="宋体" w:cs="宋体"/>
          <w:sz w:val="24"/>
          <w:szCs w:val="24"/>
          <w:u w:val="single"/>
        </w:rPr>
      </w:pPr>
      <w:permStart w:id="19" w:edGrp="everyone"/>
      <w:r>
        <w:rPr>
          <w:rFonts w:hint="eastAsia" w:ascii="宋体" w:hAnsi="宋体" w:eastAsia="宋体" w:cs="宋体"/>
          <w:sz w:val="24"/>
          <w:szCs w:val="24"/>
          <w:u w:val="single"/>
        </w:rPr>
        <w:t xml:space="preserve">            </w:t>
      </w:r>
      <w:permEnd w:id="19"/>
    </w:p>
    <w:p w14:paraId="46E504EA">
      <w:pPr>
        <w:kinsoku/>
        <w:wordWrap/>
        <w:overflowPunct/>
        <w:topLinePunct w:val="0"/>
        <w:bidi w:val="0"/>
        <w:spacing w:line="54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3 建设目标</w:t>
      </w:r>
    </w:p>
    <w:p w14:paraId="3874CD34">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全过程项目质量目标：</w:t>
      </w:r>
      <w:permStart w:id="20" w:edGrp="everyone"/>
      <w:r>
        <w:rPr>
          <w:rFonts w:hint="eastAsia" w:ascii="宋体" w:hAnsi="宋体" w:eastAsia="宋体" w:cs="宋体"/>
          <w:sz w:val="24"/>
          <w:szCs w:val="24"/>
          <w:u w:val="single"/>
        </w:rPr>
        <w:t xml:space="preserve">            </w:t>
      </w:r>
      <w:permEnd w:id="20"/>
    </w:p>
    <w:p w14:paraId="0EE939E9">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安全目标：</w:t>
      </w:r>
      <w:permStart w:id="21" w:edGrp="everyone"/>
      <w:r>
        <w:rPr>
          <w:rFonts w:hint="eastAsia" w:ascii="宋体" w:hAnsi="宋体" w:eastAsia="宋体" w:cs="宋体"/>
          <w:sz w:val="24"/>
          <w:szCs w:val="24"/>
          <w:u w:val="single"/>
        </w:rPr>
        <w:t xml:space="preserve">            </w:t>
      </w:r>
      <w:permEnd w:id="21"/>
      <w:r>
        <w:rPr>
          <w:rFonts w:hint="eastAsia" w:ascii="宋体" w:hAnsi="宋体" w:eastAsia="宋体" w:cs="宋体"/>
          <w:sz w:val="24"/>
          <w:szCs w:val="24"/>
        </w:rPr>
        <w:t xml:space="preserve"> </w:t>
      </w:r>
    </w:p>
    <w:p w14:paraId="2D7F29A7">
      <w:pPr>
        <w:kinsoku/>
        <w:wordWrap/>
        <w:overflowPunct/>
        <w:topLinePunct w:val="0"/>
        <w:bidi w:val="0"/>
        <w:spacing w:line="5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rPr>
        <w:t>文明施工目标：</w:t>
      </w:r>
      <w:permStart w:id="22" w:edGrp="everyone"/>
      <w:r>
        <w:rPr>
          <w:rFonts w:hint="eastAsia" w:ascii="宋体" w:hAnsi="宋体" w:eastAsia="宋体" w:cs="宋体"/>
          <w:sz w:val="24"/>
          <w:szCs w:val="24"/>
          <w:u w:val="single"/>
        </w:rPr>
        <w:t xml:space="preserve">           </w:t>
      </w:r>
      <w:permEnd w:id="22"/>
      <w:r>
        <w:rPr>
          <w:rFonts w:hint="eastAsia" w:ascii="宋体" w:hAnsi="宋体" w:eastAsia="宋体" w:cs="宋体"/>
          <w:sz w:val="24"/>
          <w:szCs w:val="24"/>
          <w:u w:val="none"/>
        </w:rPr>
        <w:t xml:space="preserve"> </w:t>
      </w:r>
    </w:p>
    <w:p w14:paraId="307CEE3A">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计划开工日期为</w:t>
      </w:r>
      <w:sdt>
        <w:sdtPr>
          <w:rPr>
            <w:rFonts w:hint="eastAsia" w:ascii="宋体" w:hAnsi="宋体" w:eastAsia="宋体" w:cs="宋体"/>
            <w:kern w:val="2"/>
            <w:sz w:val="24"/>
            <w:szCs w:val="24"/>
            <w:lang w:val="en-US" w:eastAsia="zh-CN" w:bidi="ar-SA"/>
          </w:rPr>
          <w:alias w:val="履行开始时间不应早于合同签订之日"/>
          <w:tag w:val="履行开始时间"/>
          <w:id w:val="147458093"/>
          <w:placeholder>
            <w:docPart w:val="{e4927e00-de71-43b6-9965-455c6ba44bc2}"/>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3" w:edGrp="everyone"/>
          <w:r>
            <w:rPr>
              <w:rFonts w:hint="eastAsia" w:ascii="宋体" w:hAnsi="宋体" w:eastAsia="宋体" w:cs="宋体"/>
              <w:kern w:val="2"/>
              <w:sz w:val="24"/>
              <w:szCs w:val="24"/>
              <w:u w:val="single"/>
              <w:lang w:val="en-US" w:eastAsia="zh-CN" w:bidi="ar-SA"/>
            </w:rPr>
            <w:t xml:space="preserve">    年   月  日</w:t>
          </w:r>
          <w:permEnd w:id="23"/>
        </w:sdtContent>
      </w:sdt>
      <w:r>
        <w:rPr>
          <w:rFonts w:hint="eastAsia" w:ascii="宋体" w:hAnsi="宋体" w:eastAsia="宋体" w:cs="宋体"/>
          <w:sz w:val="24"/>
          <w:szCs w:val="24"/>
        </w:rPr>
        <w:t>，计划竣工日期为</w:t>
      </w:r>
      <w:sdt>
        <w:sdtPr>
          <w:rPr>
            <w:rFonts w:hint="eastAsia" w:ascii="宋体" w:hAnsi="宋体" w:eastAsia="宋体" w:cs="宋体"/>
            <w:sz w:val="24"/>
            <w:szCs w:val="24"/>
            <w:lang w:val="en-US" w:eastAsia="zh-CN"/>
          </w:rPr>
          <w:alias w:val="请选择具体日期。"/>
          <w:tag w:val="履行结束时间"/>
          <w:id w:val="805390313"/>
          <w:placeholder>
            <w:docPart w:val="{bd86530f-057e-44b0-90ff-4218b7a32529}"/>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sdt>
            <w:sdtPr>
              <w:rPr>
                <w:rFonts w:hint="eastAsia" w:ascii="宋体" w:hAnsi="宋体" w:eastAsia="宋体" w:cs="宋体"/>
                <w:kern w:val="2"/>
                <w:sz w:val="24"/>
                <w:szCs w:val="24"/>
                <w:lang w:val="en-US" w:eastAsia="zh-CN" w:bidi="ar-SA"/>
              </w:rPr>
              <w:alias w:val="请选择具体日期。"/>
              <w:tag w:val="履行结束时间"/>
              <w:id w:val="538484053"/>
              <w:placeholder>
                <w:docPart w:val="{500d7113-4265-473b-981d-82e196f709d3}"/>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4" w:edGrp="everyone"/>
              <w:r>
                <w:rPr>
                  <w:rFonts w:hint="eastAsia" w:ascii="宋体" w:hAnsi="宋体" w:eastAsia="宋体" w:cs="宋体"/>
                  <w:kern w:val="2"/>
                  <w:sz w:val="24"/>
                  <w:szCs w:val="24"/>
                  <w:u w:val="single"/>
                  <w:lang w:val="en-US" w:eastAsia="zh-CN" w:bidi="ar-SA"/>
                </w:rPr>
                <w:t xml:space="preserve">    年  月   日</w:t>
              </w:r>
              <w:permEnd w:id="24"/>
            </w:sdtContent>
          </w:sdt>
        </w:sdtContent>
      </w:sdt>
      <w:r>
        <w:rPr>
          <w:rFonts w:hint="eastAsia" w:ascii="宋体" w:hAnsi="宋体" w:eastAsia="宋体" w:cs="宋体"/>
          <w:sz w:val="24"/>
          <w:szCs w:val="24"/>
        </w:rPr>
        <w:t>，总日历天数</w:t>
      </w:r>
      <w:permStart w:id="25" w:edGrp="everyone"/>
      <w:r>
        <w:rPr>
          <w:rFonts w:hint="eastAsia" w:ascii="宋体" w:hAnsi="宋体" w:eastAsia="宋体" w:cs="宋体"/>
          <w:sz w:val="24"/>
          <w:szCs w:val="24"/>
          <w:u w:val="single"/>
        </w:rPr>
        <w:t xml:space="preserve">    </w:t>
      </w:r>
      <w:permEnd w:id="25"/>
      <w:r>
        <w:rPr>
          <w:rFonts w:hint="eastAsia" w:ascii="宋体" w:hAnsi="宋体" w:eastAsia="宋体" w:cs="宋体"/>
          <w:sz w:val="24"/>
          <w:szCs w:val="24"/>
        </w:rPr>
        <w:t>天。实际开工日期以发包人和监理发布的开工日期为准，相应竣工日期根据实际开工日期相应顺延。</w:t>
      </w:r>
    </w:p>
    <w:p w14:paraId="45CF90CB">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 承包人项目经理</w:t>
      </w:r>
    </w:p>
    <w:p w14:paraId="4D6C5DAD">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w:t>
      </w:r>
      <w:sdt>
        <w:sdtPr>
          <w:rPr>
            <w:rFonts w:hint="eastAsia" w:ascii="宋体" w:hAnsi="宋体" w:eastAsia="宋体" w:cs="宋体"/>
            <w:sz w:val="24"/>
            <w:szCs w:val="24"/>
            <w:lang w:val="en-US" w:eastAsia="zh-CN"/>
          </w:rPr>
          <w:alias w:val="请注意项目负责人与招投标文件一致，若为注册建造师，不得同时在两个及两个以上的建设工程项目上担任施工单位项目负责人。"/>
          <w:tag w:val="项目负责人"/>
          <w:id w:val="147471471"/>
          <w:placeholder>
            <w:docPart w:val="{0f3aab04-b71c-40a8-b88b-75d7b816f505}"/>
          </w:placeholder>
          <w:text w:multiLine="1"/>
        </w:sdtPr>
        <w:sdtEndPr>
          <w:rPr>
            <w:rFonts w:hint="eastAsia" w:ascii="宋体" w:hAnsi="宋体" w:eastAsia="宋体" w:cs="宋体"/>
            <w:sz w:val="24"/>
            <w:szCs w:val="24"/>
            <w:lang w:val="en-US" w:eastAsia="zh-CN"/>
          </w:rPr>
        </w:sdtEndPr>
        <w:sdtContent>
          <w:permStart w:id="26" w:edGrp="everyone"/>
          <w:r>
            <w:rPr>
              <w:rFonts w:hint="eastAsia" w:ascii="宋体" w:hAnsi="宋体" w:eastAsia="宋体" w:cs="宋体"/>
              <w:sz w:val="24"/>
              <w:szCs w:val="24"/>
              <w:u w:val="single"/>
              <w:lang w:val="en-US" w:eastAsia="zh-CN"/>
            </w:rPr>
            <w:t xml:space="preserve">     </w:t>
          </w:r>
          <w:permEnd w:id="26"/>
        </w:sdtContent>
      </w:sdt>
    </w:p>
    <w:p w14:paraId="599D0EEB">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5 </w:t>
      </w:r>
      <w:r>
        <w:rPr>
          <w:rFonts w:hint="eastAsia" w:ascii="宋体" w:hAnsi="宋体" w:eastAsia="宋体" w:cs="宋体"/>
          <w:b/>
          <w:bCs/>
          <w:sz w:val="24"/>
          <w:szCs w:val="24"/>
        </w:rPr>
        <w:t>合同文件构成</w:t>
      </w:r>
    </w:p>
    <w:p w14:paraId="4079428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下列文件一起构成合同文件：</w:t>
      </w:r>
    </w:p>
    <w:p w14:paraId="24C3AD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（1）本合同协议书；</w:t>
      </w:r>
    </w:p>
    <w:p w14:paraId="308BFD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748988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14:paraId="2E2D30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（4）通用合同条款；</w:t>
      </w:r>
    </w:p>
    <w:p w14:paraId="336CB38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14:paraId="75297E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14:paraId="3FF750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14:paraId="467EAE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14:paraId="416DCA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14:paraId="646F97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14:paraId="2E3A08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14:paraId="1CD1850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本合同各文件互为补充和解释，如发现歧义和矛盾，应按照本协议书第5条所列文件先后次序，以所列顺序在前的文件为准。当专用合同条款与通用合同条款发生冲突，应以专用合同条款为准。</w:t>
      </w:r>
    </w:p>
    <w:p w14:paraId="054444C2">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 合同价格及支付条件</w:t>
      </w:r>
    </w:p>
    <w:p w14:paraId="60AE4E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6.1 合同总价为人民币（大写）</w:t>
      </w:r>
      <w:sdt>
        <w:sdtPr>
          <w:rPr>
            <w:rFonts w:hint="eastAsia" w:ascii="宋体" w:hAnsi="宋体" w:eastAsia="宋体" w:cs="宋体"/>
            <w:kern w:val="2"/>
            <w:sz w:val="24"/>
            <w:szCs w:val="24"/>
            <w:lang w:val="en-US" w:eastAsia="zh-CN" w:bidi="ar-SA"/>
          </w:rPr>
          <w:alias w:val="合同大写金额"/>
          <w:tag w:val="合同大写金额"/>
          <w:id w:val="147476945"/>
          <w:placeholder>
            <w:docPart w:val="{5a251721-7d40-43e0-a3cf-9c067606f324}"/>
          </w:placeholder>
        </w:sdtPr>
        <w:sdtEndPr>
          <w:rPr>
            <w:rFonts w:hint="eastAsia" w:ascii="宋体" w:hAnsi="宋体" w:eastAsia="宋体" w:cs="宋体"/>
            <w:kern w:val="2"/>
            <w:sz w:val="24"/>
            <w:szCs w:val="24"/>
            <w:u w:val="single"/>
            <w:lang w:val="en-US" w:eastAsia="zh-CN" w:bidi="ar-SA"/>
          </w:rPr>
        </w:sdtEndPr>
        <w:sdtContent>
          <w:permStart w:id="27" w:edGrp="everyone"/>
          <w:r>
            <w:rPr>
              <w:rFonts w:hint="eastAsia" w:ascii="宋体" w:hAnsi="宋体" w:eastAsia="宋体" w:cs="宋体"/>
              <w:sz w:val="24"/>
              <w:szCs w:val="24"/>
              <w:u w:val="single"/>
            </w:rPr>
            <w:t xml:space="preserve">        </w:t>
          </w:r>
        </w:sdtContent>
      </w:sdt>
      <w:r>
        <w:rPr>
          <w:rFonts w:hint="eastAsia" w:ascii="宋体" w:hAnsi="宋体" w:eastAsia="宋体" w:cs="宋体"/>
          <w:sz w:val="24"/>
          <w:szCs w:val="24"/>
          <w:u w:val="single"/>
        </w:rPr>
        <w:t xml:space="preserve"> </w:t>
      </w:r>
      <w:permEnd w:id="27"/>
      <w:r>
        <w:rPr>
          <w:rFonts w:hint="eastAsia" w:ascii="宋体" w:hAnsi="宋体" w:eastAsia="宋体" w:cs="宋体"/>
          <w:sz w:val="24"/>
          <w:szCs w:val="24"/>
        </w:rPr>
        <w:t>（¥</w:t>
      </w:r>
      <w:permStart w:id="28" w:edGrp="everyone"/>
      <w:r>
        <w:rPr>
          <w:rFonts w:hint="eastAsia" w:ascii="宋体" w:hAnsi="宋体" w:eastAsia="宋体" w:cs="宋体"/>
          <w:sz w:val="24"/>
          <w:szCs w:val="24"/>
          <w:u w:val="single"/>
        </w:rPr>
        <w:t xml:space="preserve"> </w:t>
      </w:r>
      <w:sdt>
        <w:sdtPr>
          <w:rPr>
            <w:rFonts w:hint="eastAsia" w:ascii="宋体" w:hAnsi="宋体" w:eastAsia="宋体" w:cs="宋体"/>
            <w:kern w:val="2"/>
            <w:sz w:val="24"/>
            <w:szCs w:val="24"/>
            <w:u w:val="single"/>
            <w:lang w:val="en-US" w:eastAsia="zh-CN" w:bidi="ar-SA"/>
          </w:rPr>
          <w:alias w:val="合同金额"/>
          <w:tag w:val="合同金额"/>
          <w:id w:val="147476867"/>
          <w:placeholder>
            <w:docPart w:val="{c45d3679-566b-4755-bd4d-12ab3d9902cb}"/>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permEnd w:id="28"/>
        </w:sdtContent>
      </w:sdt>
      <w:r>
        <w:rPr>
          <w:rFonts w:hint="eastAsia" w:ascii="宋体" w:hAnsi="宋体" w:eastAsia="宋体" w:cs="宋体"/>
          <w:sz w:val="24"/>
          <w:szCs w:val="24"/>
        </w:rPr>
        <w:t>元)</w:t>
      </w:r>
      <w:r>
        <w:rPr>
          <w:rFonts w:hint="eastAsia" w:ascii="宋体" w:hAnsi="宋体" w:cs="宋体"/>
          <w:sz w:val="24"/>
          <w:szCs w:val="24"/>
          <w:lang w:eastAsia="zh-CN"/>
        </w:rPr>
        <w:t>，</w:t>
      </w:r>
      <w:r>
        <w:rPr>
          <w:rFonts w:hint="eastAsia" w:ascii="宋体" w:hAnsi="宋体" w:eastAsia="宋体" w:cs="Times New Roman"/>
          <w:sz w:val="24"/>
          <w:szCs w:val="24"/>
          <w:lang w:val="en-US" w:eastAsia="zh-CN"/>
        </w:rPr>
        <w:t>税率为</w:t>
      </w:r>
      <w:sdt>
        <w:sdtPr>
          <w:rPr>
            <w:rFonts w:hint="eastAsia" w:ascii="宋体" w:hAnsi="宋体" w:eastAsia="宋体" w:cs="Times New Roman"/>
            <w:sz w:val="24"/>
            <w:szCs w:val="24"/>
            <w:lang w:val="en-US" w:eastAsia="zh-CN"/>
          </w:rPr>
          <w:alias w:val="税率"/>
          <w:tag w:val="税率"/>
          <w:id w:val="43070232"/>
          <w:placeholder>
            <w:docPart w:val="{a625ef8f-3276-451e-aec1-05800f7f2df8}"/>
          </w:placeholder>
          <w:text/>
        </w:sdtPr>
        <w:sdtEndPr>
          <w:rPr>
            <w:rFonts w:hint="eastAsia" w:ascii="宋体" w:hAnsi="宋体" w:eastAsia="宋体" w:cs="Times New Roman"/>
            <w:sz w:val="24"/>
            <w:szCs w:val="24"/>
            <w:lang w:val="en-US" w:eastAsia="zh-CN"/>
          </w:rPr>
        </w:sdtEndPr>
        <w:sdtContent>
          <w:permStart w:id="29" w:edGrp="everyone"/>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，其中，不含税价为小写</w:t>
      </w:r>
      <w:sdt>
        <w:sdtPr>
          <w:rPr>
            <w:rFonts w:hint="eastAsia" w:ascii="宋体" w:hAnsi="宋体" w:eastAsia="宋体" w:cs="Times New Roman"/>
            <w:sz w:val="24"/>
            <w:szCs w:val="24"/>
            <w:lang w:val="en-US" w:eastAsia="zh-CN"/>
          </w:rPr>
          <w:alias w:val="不含税价金额"/>
          <w:tag w:val="不含税价金额"/>
          <w:id w:val="972378763"/>
          <w:placeholder>
            <w:docPart w:val="{4b893a7a-a400-4600-acb5-4ade3abf5412}"/>
          </w:placeholder>
          <w:text/>
        </w:sdtPr>
        <w:sdtEndPr>
          <w:rPr>
            <w:rFonts w:hint="eastAsia" w:ascii="宋体" w:hAnsi="宋体" w:eastAsia="宋体" w:cs="Times New Roman"/>
            <w:sz w:val="24"/>
            <w:szCs w:val="24"/>
            <w:lang w:val="en-US" w:eastAsia="zh-CN"/>
          </w:rPr>
        </w:sdtEndPr>
        <w:sdtContent>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元（大写：</w:t>
      </w:r>
      <w:sdt>
        <w:sdtPr>
          <w:rPr>
            <w:rFonts w:hint="eastAsia" w:ascii="宋体" w:hAnsi="宋体" w:eastAsia="宋体" w:cs="Times New Roman"/>
            <w:sz w:val="24"/>
            <w:szCs w:val="24"/>
            <w:lang w:val="en-US" w:eastAsia="zh-CN"/>
          </w:rPr>
          <w:alias w:val="不含税价大写金额"/>
          <w:tag w:val="不含税价大写金额"/>
          <w:id w:val="419316071"/>
          <w:placeholder>
            <w:docPart w:val="{8341b7bd-3b4c-4bd0-a21a-d11c3937e872}"/>
          </w:placeholder>
          <w:text/>
        </w:sdtPr>
        <w:sdtEndPr>
          <w:rPr>
            <w:rFonts w:hint="eastAsia" w:ascii="宋体" w:hAnsi="宋体" w:eastAsia="宋体" w:cs="Times New Roman"/>
            <w:sz w:val="24"/>
            <w:szCs w:val="24"/>
            <w:lang w:val="en-US" w:eastAsia="zh-CN"/>
          </w:rPr>
        </w:sdtEndPr>
        <w:sdtContent>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），增值税为：小写     元（大写：     ）</w:t>
      </w:r>
      <w:permEnd w:id="29"/>
      <w:r>
        <w:rPr>
          <w:rFonts w:hint="eastAsia" w:ascii="宋体" w:hAnsi="宋体" w:eastAsia="宋体" w:cs="Times New Roman"/>
          <w:sz w:val="24"/>
          <w:szCs w:val="24"/>
          <w:lang w:val="en-US" w:eastAsia="zh-CN"/>
        </w:rPr>
        <w:t>。</w:t>
      </w:r>
      <w:r>
        <w:rPr>
          <w:rFonts w:hint="eastAsia" w:ascii="宋体" w:hAnsi="宋体" w:eastAsia="宋体" w:cs="宋体"/>
          <w:sz w:val="24"/>
          <w:szCs w:val="24"/>
        </w:rPr>
        <w:t>其中安全文明施工费人民币（大写）</w:t>
      </w:r>
      <w:permStart w:id="3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ermEnd w:id="30"/>
      <w:r>
        <w:rPr>
          <w:rFonts w:hint="eastAsia" w:ascii="宋体" w:hAnsi="宋体" w:eastAsia="宋体" w:cs="宋体"/>
          <w:sz w:val="24"/>
          <w:szCs w:val="24"/>
        </w:rPr>
        <w:t>。</w:t>
      </w:r>
    </w:p>
    <w:p w14:paraId="2369F22D">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cs="Times New Roman"/>
          <w:b w:val="0"/>
          <w:bCs w:val="0"/>
          <w:sz w:val="24"/>
          <w:szCs w:val="24"/>
          <w:lang w:val="en-US" w:eastAsia="zh-CN"/>
        </w:rPr>
        <w:t>6.2</w:t>
      </w:r>
      <w:r>
        <w:rPr>
          <w:rFonts w:hint="eastAsia" w:ascii="宋体" w:hAnsi="宋体" w:eastAsia="宋体" w:cs="Times New Roman"/>
          <w:b w:val="0"/>
          <w:bCs w:val="0"/>
          <w:sz w:val="24"/>
          <w:szCs w:val="24"/>
        </w:rPr>
        <w:t>合同价款结算</w:t>
      </w:r>
      <w:r>
        <w:rPr>
          <w:rFonts w:hint="eastAsia" w:ascii="宋体" w:hAnsi="宋体" w:eastAsia="宋体" w:cs="Times New Roman"/>
          <w:b w:val="0"/>
          <w:bCs w:val="0"/>
          <w:sz w:val="24"/>
          <w:szCs w:val="24"/>
          <w:lang w:val="en-US" w:eastAsia="zh-CN"/>
        </w:rPr>
        <w:t>按第</w:t>
      </w:r>
      <w:sdt>
        <w:sdtPr>
          <w:rPr>
            <w:rFonts w:hint="eastAsia" w:ascii="宋体" w:hAnsi="宋体" w:eastAsia="宋体" w:cs="Times New Roman"/>
            <w:kern w:val="2"/>
            <w:sz w:val="24"/>
            <w:szCs w:val="24"/>
            <w:u w:val="none"/>
            <w:lang w:val="en-US" w:eastAsia="zh-CN" w:bidi="ar-SA"/>
          </w:rPr>
          <w:alias w:val="请选择一项，多选或其他方式请手动填写"/>
          <w:id w:val="147451720"/>
          <w:placeholder>
            <w:docPart w:val="{057b4690-fe26-4c84-95b2-52a4ee53491c}"/>
          </w:placeholder>
          <w:comboBox>
            <w:listItem w:displayText="1" w:value="1"/>
            <w:listItem w:displayText="2" w:value="2"/>
            <w:listItem w:displayText="3" w:value="3"/>
            <w:listItem w:displayText="4" w:value="4"/>
          </w:comboBox>
        </w:sdtPr>
        <w:sdtEndPr>
          <w:rPr>
            <w:rFonts w:hint="eastAsia" w:ascii="宋体" w:hAnsi="宋体" w:eastAsia="宋体" w:cs="Times New Roman"/>
            <w:kern w:val="2"/>
            <w:sz w:val="24"/>
            <w:szCs w:val="24"/>
            <w:u w:val="none"/>
            <w:lang w:val="en-US" w:eastAsia="zh-CN" w:bidi="ar-SA"/>
          </w:rPr>
        </w:sdtEndPr>
        <w:sdtContent>
          <w:permStart w:id="31" w:edGrp="everyone"/>
          <w:r>
            <w:rPr>
              <w:rFonts w:hint="eastAsia" w:ascii="宋体" w:hAnsi="宋体" w:eastAsia="宋体" w:cs="Times New Roman"/>
              <w:kern w:val="2"/>
              <w:sz w:val="24"/>
              <w:szCs w:val="24"/>
              <w:u w:val="none"/>
              <w:lang w:val="en-US" w:eastAsia="zh-CN" w:bidi="ar-SA"/>
            </w:rPr>
            <w:t xml:space="preserve">     </w:t>
          </w:r>
          <w:permEnd w:id="31"/>
        </w:sdtContent>
      </w:sdt>
      <w:r>
        <w:rPr>
          <w:rFonts w:hint="eastAsia" w:ascii="宋体" w:hAnsi="宋体" w:eastAsia="宋体" w:cs="Times New Roman"/>
          <w:b w:val="0"/>
          <w:bCs w:val="0"/>
          <w:sz w:val="24"/>
          <w:szCs w:val="24"/>
          <w:lang w:val="en-US" w:eastAsia="zh-CN"/>
        </w:rPr>
        <w:t>种</w:t>
      </w:r>
      <w:r>
        <w:rPr>
          <w:rFonts w:hint="eastAsia" w:ascii="宋体" w:hAnsi="宋体" w:eastAsia="宋体" w:cs="Times New Roman"/>
          <w:b w:val="0"/>
          <w:bCs w:val="0"/>
          <w:sz w:val="24"/>
          <w:szCs w:val="24"/>
        </w:rPr>
        <w:t>方式</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u w:val="none"/>
        </w:rPr>
        <w:t>转账</w:t>
      </w:r>
      <w:r>
        <w:rPr>
          <w:rFonts w:hint="eastAsia" w:ascii="宋体" w:hAnsi="宋体" w:eastAsia="宋体" w:cs="Times New Roman"/>
          <w:sz w:val="24"/>
          <w:szCs w:val="24"/>
          <w:u w:val="none"/>
          <w:lang w:val="en-US" w:eastAsia="zh-CN"/>
        </w:rPr>
        <w:t>/2.</w:t>
      </w:r>
      <w:r>
        <w:rPr>
          <w:rFonts w:hint="eastAsia" w:ascii="宋体" w:hAnsi="宋体" w:eastAsia="宋体" w:cs="Times New Roman"/>
          <w:sz w:val="24"/>
          <w:szCs w:val="24"/>
          <w:u w:val="none"/>
        </w:rPr>
        <w:t>汇票</w:t>
      </w:r>
      <w:r>
        <w:rPr>
          <w:rFonts w:hint="eastAsia" w:ascii="宋体" w:hAnsi="宋体" w:eastAsia="宋体" w:cs="Times New Roman"/>
          <w:sz w:val="24"/>
          <w:szCs w:val="24"/>
          <w:u w:val="none"/>
          <w:lang w:val="en-US" w:eastAsia="zh-CN"/>
        </w:rPr>
        <w:t>/3.支票/4.</w:t>
      </w:r>
      <w:r>
        <w:rPr>
          <w:rFonts w:hint="eastAsia" w:ascii="宋体" w:hAnsi="宋体" w:eastAsia="宋体" w:cs="Times New Roman"/>
          <w:sz w:val="24"/>
          <w:szCs w:val="24"/>
          <w:shd w:val="clear"/>
          <w:lang w:val="en-US" w:eastAsia="zh-CN"/>
        </w:rPr>
        <w:t>其他：</w:t>
      </w:r>
      <w:sdt>
        <w:sdtPr>
          <w:rPr>
            <w:rFonts w:hint="eastAsia" w:ascii="宋体" w:hAnsi="宋体" w:eastAsia="宋体" w:cs="Times New Roman"/>
            <w:kern w:val="2"/>
            <w:sz w:val="24"/>
            <w:szCs w:val="24"/>
            <w:u w:val="none"/>
            <w:lang w:val="en-US" w:eastAsia="zh-CN" w:bidi="ar-SA"/>
          </w:rPr>
          <w:alias w:val="不填其他的，请划“/”"/>
          <w:id w:val="147472127"/>
          <w:placeholder>
            <w:docPart w:val="{903a50b1-cd43-4454-803f-9a9083e3ab30}"/>
          </w:placeholder>
          <w:text w:multiLine="1"/>
        </w:sdtPr>
        <w:sdtEndPr>
          <w:rPr>
            <w:rFonts w:hint="eastAsia" w:ascii="宋体" w:hAnsi="宋体" w:eastAsia="宋体" w:cs="Times New Roman"/>
            <w:kern w:val="2"/>
            <w:sz w:val="24"/>
            <w:szCs w:val="24"/>
            <w:u w:val="none"/>
            <w:lang w:val="en-US" w:eastAsia="zh-CN" w:bidi="ar-SA"/>
          </w:rPr>
        </w:sdtEndPr>
        <w:sdtContent>
          <w:permStart w:id="32" w:edGrp="everyone"/>
          <w:r>
            <w:rPr>
              <w:rFonts w:hint="eastAsia" w:ascii="宋体" w:hAnsi="宋体" w:eastAsia="宋体" w:cs="Times New Roman"/>
              <w:sz w:val="24"/>
              <w:szCs w:val="24"/>
              <w:u w:val="none"/>
              <w:lang w:val="en-US" w:eastAsia="zh-CN"/>
            </w:rPr>
            <w:t xml:space="preserve">     </w:t>
          </w:r>
          <w:permEnd w:id="32"/>
        </w:sdtContent>
      </w:sdt>
      <w:r>
        <w:rPr>
          <w:rFonts w:hint="eastAsia" w:ascii="宋体" w:hAnsi="宋体" w:eastAsia="宋体" w:cs="Times New Roman"/>
          <w:sz w:val="24"/>
          <w:szCs w:val="24"/>
          <w:shd w:val="clear"/>
          <w:lang w:eastAsia="zh-CN"/>
        </w:rPr>
        <w:t>）。</w:t>
      </w:r>
      <w:r>
        <w:rPr>
          <w:rFonts w:hint="eastAsia" w:ascii="宋体" w:hAnsi="宋体" w:eastAsia="宋体" w:cs="Times New Roman"/>
          <w:sz w:val="24"/>
          <w:szCs w:val="24"/>
          <w:lang w:val="en-US" w:eastAsia="zh-CN"/>
        </w:rPr>
        <w:t>如需使用商业汇票进行支付的，由款项支付方承担资金成本（买方付息贴现）。</w:t>
      </w:r>
    </w:p>
    <w:p w14:paraId="2042C0C3">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6.3 承包人</w:t>
      </w:r>
      <w:r>
        <w:rPr>
          <w:rFonts w:hint="eastAsia" w:ascii="宋体" w:hAnsi="宋体" w:eastAsia="宋体" w:cs="Times New Roman"/>
          <w:sz w:val="24"/>
          <w:szCs w:val="24"/>
          <w:lang w:eastAsia="zh-CN"/>
        </w:rPr>
        <w:t>汇票开立信息如下：</w:t>
      </w:r>
    </w:p>
    <w:p w14:paraId="3AE08F35">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汇票类型：</w:t>
      </w:r>
      <w:permStart w:id="33" w:edGrp="everyone"/>
      <w:r>
        <w:rPr>
          <w:rFonts w:hint="eastAsia" w:ascii="宋体" w:hAnsi="宋体" w:eastAsia="宋体" w:cs="Times New Roman"/>
          <w:b w:val="0"/>
          <w:bCs w:val="0"/>
          <w:sz w:val="24"/>
          <w:szCs w:val="24"/>
          <w:lang w:eastAsia="zh-CN"/>
        </w:rPr>
        <w:sym w:font="Wingdings" w:char="006F"/>
      </w:r>
      <w:r>
        <w:rPr>
          <w:rFonts w:hint="eastAsia" w:ascii="宋体" w:hAnsi="宋体" w:eastAsia="宋体" w:cs="Times New Roman"/>
          <w:b w:val="0"/>
          <w:bCs w:val="0"/>
          <w:sz w:val="24"/>
          <w:szCs w:val="24"/>
          <w:lang w:eastAsia="zh-CN"/>
        </w:rPr>
        <w:t>银行承兑汇票</w:t>
      </w:r>
      <w:r>
        <w:rPr>
          <w:rFonts w:hint="eastAsia" w:ascii="宋体" w:hAnsi="宋体" w:eastAsia="宋体" w:cs="Times New Roman"/>
          <w:b w:val="0"/>
          <w:bCs w:val="0"/>
          <w:sz w:val="24"/>
          <w:szCs w:val="24"/>
          <w:lang w:val="en-US" w:eastAsia="zh-CN"/>
        </w:rPr>
        <w:t xml:space="preserve">  </w:t>
      </w:r>
      <w:r>
        <w:rPr>
          <w:rFonts w:hint="eastAsia" w:ascii="宋体" w:hAnsi="宋体" w:eastAsia="宋体" w:cs="Times New Roman"/>
          <w:b w:val="0"/>
          <w:bCs w:val="0"/>
          <w:sz w:val="24"/>
          <w:szCs w:val="24"/>
          <w:lang w:val="en-US" w:eastAsia="zh-CN"/>
        </w:rPr>
        <w:sym w:font="Wingdings" w:char="006F"/>
      </w:r>
      <w:r>
        <w:rPr>
          <w:rFonts w:hint="eastAsia" w:ascii="宋体" w:hAnsi="宋体" w:eastAsia="宋体" w:cs="Times New Roman"/>
          <w:b w:val="0"/>
          <w:bCs w:val="0"/>
          <w:sz w:val="24"/>
          <w:szCs w:val="24"/>
          <w:lang w:eastAsia="zh-CN"/>
        </w:rPr>
        <w:t>商业承兑汇票</w:t>
      </w:r>
      <w:permEnd w:id="33"/>
    </w:p>
    <w:p w14:paraId="4DB58A60">
      <w:pPr>
        <w:kinsoku/>
        <w:wordWrap/>
        <w:overflowPunct/>
        <w:topLinePunct w:val="0"/>
        <w:bidi w:val="0"/>
        <w:spacing w:line="540" w:lineRule="exact"/>
        <w:ind w:firstLine="480" w:firstLineChars="200"/>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eastAsia="zh-CN"/>
        </w:rPr>
        <w:t>收款人全称：</w:t>
      </w:r>
      <w:permStart w:id="34" w:edGrp="everyone"/>
      <w:r>
        <w:rPr>
          <w:rFonts w:hint="eastAsia" w:ascii="宋体" w:hAnsi="宋体" w:eastAsia="宋体" w:cs="Times New Roman"/>
          <w:sz w:val="24"/>
          <w:szCs w:val="24"/>
          <w:u w:val="none"/>
          <w:lang w:val="en-US" w:eastAsia="zh-CN"/>
        </w:rPr>
        <w:t xml:space="preserve">              </w:t>
      </w:r>
      <w:permEnd w:id="34"/>
    </w:p>
    <w:p w14:paraId="205E0475">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银行账户：</w:t>
      </w:r>
      <w:permStart w:id="35" w:edGrp="everyone"/>
      <w:r>
        <w:rPr>
          <w:rFonts w:hint="eastAsia" w:ascii="宋体" w:hAnsi="宋体" w:eastAsia="宋体" w:cs="Times New Roman"/>
          <w:sz w:val="24"/>
          <w:szCs w:val="24"/>
          <w:u w:val="none"/>
          <w:lang w:val="en-US" w:eastAsia="zh-CN"/>
        </w:rPr>
        <w:t xml:space="preserve">                </w:t>
      </w:r>
      <w:permEnd w:id="35"/>
    </w:p>
    <w:p w14:paraId="7B60F64C">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开户银行：</w:t>
      </w:r>
      <w:permStart w:id="36" w:edGrp="everyone"/>
      <w:r>
        <w:rPr>
          <w:rFonts w:hint="eastAsia" w:ascii="宋体" w:hAnsi="宋体" w:eastAsia="宋体" w:cs="Times New Roman"/>
          <w:sz w:val="24"/>
          <w:szCs w:val="24"/>
          <w:u w:val="none"/>
          <w:lang w:val="en-US" w:eastAsia="zh-CN"/>
        </w:rPr>
        <w:t xml:space="preserve">                </w:t>
      </w:r>
      <w:permEnd w:id="36"/>
    </w:p>
    <w:p w14:paraId="65D90C57">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开户行行号：</w:t>
      </w:r>
      <w:permStart w:id="37" w:edGrp="everyone"/>
      <w:r>
        <w:rPr>
          <w:rFonts w:hint="eastAsia" w:ascii="宋体" w:hAnsi="宋体" w:eastAsia="宋体" w:cs="Times New Roman"/>
          <w:sz w:val="24"/>
          <w:szCs w:val="24"/>
          <w:lang w:val="en-US" w:eastAsia="zh-CN"/>
        </w:rPr>
        <w:t xml:space="preserve">              </w:t>
      </w:r>
      <w:permEnd w:id="37"/>
    </w:p>
    <w:p w14:paraId="5EA7BDAE">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联系人：</w:t>
      </w:r>
      <w:permStart w:id="38" w:edGrp="everyone"/>
      <w:r>
        <w:rPr>
          <w:rFonts w:hint="eastAsia" w:ascii="宋体" w:hAnsi="宋体" w:eastAsia="宋体" w:cs="Times New Roman"/>
          <w:sz w:val="24"/>
          <w:szCs w:val="24"/>
          <w:lang w:val="en-US" w:eastAsia="zh-CN"/>
        </w:rPr>
        <w:t xml:space="preserve">                  </w:t>
      </w:r>
      <w:permEnd w:id="38"/>
    </w:p>
    <w:p w14:paraId="65DE0887">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联系电话：</w:t>
      </w:r>
      <w:permStart w:id="39" w:edGrp="everyone"/>
      <w:r>
        <w:rPr>
          <w:rFonts w:hint="eastAsia" w:ascii="宋体" w:hAnsi="宋体" w:eastAsia="宋体" w:cs="Times New Roman"/>
          <w:sz w:val="24"/>
          <w:szCs w:val="24"/>
          <w:lang w:val="en-US" w:eastAsia="zh-CN"/>
        </w:rPr>
        <w:t xml:space="preserve">                </w:t>
      </w:r>
      <w:permEnd w:id="39"/>
    </w:p>
    <w:p w14:paraId="06210C38">
      <w:pPr>
        <w:keepNext w:val="0"/>
        <w:keepLines w:val="0"/>
        <w:pageBreakBefore w:val="0"/>
        <w:kinsoku/>
        <w:wordWrap/>
        <w:overflowPunct/>
        <w:topLinePunct w:val="0"/>
        <w:bidi w:val="0"/>
        <w:adjustRightInd/>
        <w:snapToGrid/>
        <w:spacing w:line="540" w:lineRule="exact"/>
        <w:ind w:left="0" w:leftChars="0" w:right="0" w:rightChars="0" w:firstLine="480" w:firstLineChars="200"/>
        <w:jc w:val="left"/>
        <w:rPr>
          <w:rFonts w:hint="eastAsia" w:asciiTheme="minorEastAsia" w:hAnsiTheme="minorEastAsia" w:eastAsiaTheme="minorEastAsia" w:cstheme="minorEastAsia"/>
          <w:color w:val="auto"/>
          <w:sz w:val="24"/>
          <w:szCs w:val="24"/>
        </w:rPr>
      </w:pPr>
      <w:r>
        <w:rPr>
          <w:rFonts w:hint="eastAsia" w:ascii="宋体" w:hAnsi="宋体" w:eastAsia="宋体" w:cs="Times New Roman"/>
          <w:sz w:val="24"/>
          <w:szCs w:val="24"/>
          <w:shd w:val="clear"/>
          <w:lang w:val="en-US" w:eastAsia="zh-CN"/>
        </w:rPr>
        <w:t>6.4</w:t>
      </w:r>
      <w:r>
        <w:rPr>
          <w:rFonts w:hint="eastAsia" w:asciiTheme="minorEastAsia" w:hAnsiTheme="minorEastAsia" w:eastAsiaTheme="minorEastAsia" w:cstheme="minorEastAsia"/>
          <w:color w:val="auto"/>
          <w:sz w:val="24"/>
          <w:szCs w:val="24"/>
        </w:rPr>
        <w:t>乙方应在甲方付预付款前</w:t>
      </w:r>
      <w:permStart w:id="40" w:edGrp="everyone"/>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permEnd w:id="40"/>
      <w:r>
        <w:rPr>
          <w:rFonts w:hint="eastAsia" w:asciiTheme="minorEastAsia" w:hAnsiTheme="minorEastAsia" w:eastAsiaTheme="minorEastAsia" w:cstheme="minorEastAsia"/>
          <w:color w:val="auto"/>
          <w:sz w:val="24"/>
          <w:szCs w:val="24"/>
        </w:rPr>
        <w:t>日开具收据等带有法律</w:t>
      </w:r>
      <w:r>
        <w:rPr>
          <w:rFonts w:hint="eastAsia" w:asciiTheme="minorEastAsia" w:hAnsiTheme="minorEastAsia" w:eastAsiaTheme="minorEastAsia" w:cstheme="minorEastAsia"/>
          <w:color w:val="auto"/>
          <w:sz w:val="24"/>
          <w:szCs w:val="24"/>
          <w:lang w:val="en-US" w:eastAsia="zh-CN"/>
        </w:rPr>
        <w:t>效力</w:t>
      </w:r>
      <w:r>
        <w:rPr>
          <w:rFonts w:hint="eastAsia" w:asciiTheme="minorEastAsia" w:hAnsiTheme="minorEastAsia" w:eastAsiaTheme="minorEastAsia" w:cstheme="minorEastAsia"/>
          <w:color w:val="auto"/>
          <w:sz w:val="24"/>
          <w:szCs w:val="24"/>
        </w:rPr>
        <w:t>的原始凭据，否则甲方有权迟延支付相应价款，乙方因此造成的损失由其自行承担。</w:t>
      </w:r>
    </w:p>
    <w:p w14:paraId="17C2D8F2">
      <w:pPr>
        <w:kinsoku/>
        <w:wordWrap/>
        <w:overflowPunct/>
        <w:topLinePunct w:val="0"/>
        <w:bidi w:val="0"/>
        <w:spacing w:line="54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乙方应在甲方</w:t>
      </w:r>
      <w:r>
        <w:rPr>
          <w:rFonts w:hint="eastAsia" w:asciiTheme="minorEastAsia" w:hAnsiTheme="minorEastAsia" w:eastAsiaTheme="minorEastAsia" w:cstheme="minorEastAsia"/>
          <w:color w:val="auto"/>
          <w:sz w:val="24"/>
          <w:szCs w:val="24"/>
          <w:lang w:val="en-US" w:eastAsia="zh-CN"/>
        </w:rPr>
        <w:t>支</w:t>
      </w:r>
      <w:r>
        <w:rPr>
          <w:rFonts w:hint="eastAsia" w:asciiTheme="minorEastAsia" w:hAnsiTheme="minorEastAsia" w:eastAsiaTheme="minorEastAsia" w:cstheme="minorEastAsia"/>
          <w:color w:val="auto"/>
          <w:sz w:val="24"/>
          <w:szCs w:val="24"/>
        </w:rPr>
        <w:t>付进度款及</w:t>
      </w:r>
      <w:r>
        <w:rPr>
          <w:rFonts w:hint="eastAsia" w:asciiTheme="minorEastAsia" w:hAnsiTheme="minorEastAsia" w:eastAsiaTheme="minorEastAsia" w:cstheme="minorEastAsia"/>
          <w:color w:val="auto"/>
          <w:sz w:val="24"/>
          <w:szCs w:val="24"/>
          <w:lang w:val="en-US" w:eastAsia="zh-CN"/>
        </w:rPr>
        <w:t>结算</w:t>
      </w:r>
      <w:r>
        <w:rPr>
          <w:rFonts w:hint="eastAsia" w:asciiTheme="minorEastAsia" w:hAnsiTheme="minorEastAsia" w:eastAsiaTheme="minorEastAsia" w:cstheme="minorEastAsia"/>
          <w:color w:val="auto"/>
          <w:sz w:val="24"/>
          <w:szCs w:val="24"/>
        </w:rPr>
        <w:t>款前</w:t>
      </w:r>
      <w:permStart w:id="41" w:edGrp="everyone"/>
      <w:r>
        <w:rPr>
          <w:rFonts w:hint="eastAsia" w:asciiTheme="minorEastAsia" w:hAnsiTheme="minorEastAsia" w:eastAsiaTheme="minorEastAsia" w:cstheme="minorEastAsia"/>
          <w:color w:val="auto"/>
          <w:sz w:val="24"/>
          <w:szCs w:val="24"/>
          <w:u w:val="single"/>
          <w:shd w:val="clear" w:color="FFFFFF" w:fill="D9D9D9"/>
          <w:lang w:val="en-US" w:eastAsia="zh-CN"/>
        </w:rPr>
        <w:t xml:space="preserve">    </w:t>
      </w:r>
      <w:permEnd w:id="41"/>
      <w:r>
        <w:rPr>
          <w:rFonts w:hint="eastAsia" w:asciiTheme="minorEastAsia" w:hAnsiTheme="minorEastAsia" w:eastAsiaTheme="minorEastAsia" w:cstheme="minorEastAsia"/>
          <w:color w:val="auto"/>
          <w:sz w:val="24"/>
          <w:szCs w:val="24"/>
          <w:lang w:val="en-US" w:eastAsia="zh-CN"/>
        </w:rPr>
        <w:t>日</w:t>
      </w:r>
      <w:r>
        <w:rPr>
          <w:rFonts w:hint="eastAsia" w:asciiTheme="minorEastAsia" w:hAnsiTheme="minorEastAsia" w:eastAsiaTheme="minorEastAsia" w:cstheme="minorEastAsia"/>
          <w:color w:val="auto"/>
          <w:sz w:val="24"/>
          <w:szCs w:val="24"/>
        </w:rPr>
        <w:t>开具等额的增值税专用发票，</w:t>
      </w:r>
      <w:r>
        <w:rPr>
          <w:rFonts w:hint="eastAsia" w:ascii="宋体" w:hAnsi="宋体" w:eastAsia="宋体" w:cs="宋体"/>
          <w:color w:val="auto"/>
          <w:sz w:val="24"/>
          <w:szCs w:val="24"/>
          <w:highlight w:val="none"/>
          <w:lang w:val="en-US" w:eastAsia="zh-CN"/>
        </w:rPr>
        <w:t>增值税专用发票上注明的银行账户应与本合同提供的相同，</w:t>
      </w:r>
      <w:r>
        <w:rPr>
          <w:rFonts w:hint="eastAsia" w:asciiTheme="minorEastAsia" w:hAnsiTheme="minorEastAsia" w:eastAsiaTheme="minorEastAsia" w:cstheme="minorEastAsia"/>
          <w:color w:val="auto"/>
          <w:sz w:val="24"/>
          <w:szCs w:val="24"/>
        </w:rPr>
        <w:t>否则甲方有权迟延支付相应价款，乙方因此造成的损失由其自行承担。</w:t>
      </w:r>
    </w:p>
    <w:p w14:paraId="1FCC4337">
      <w:pPr>
        <w:kinsoku/>
        <w:wordWrap/>
        <w:overflowPunct/>
        <w:topLinePunct w:val="0"/>
        <w:bidi w:val="0"/>
        <w:spacing w:line="540" w:lineRule="exact"/>
        <w:ind w:firstLine="480" w:firstLineChars="200"/>
        <w:rPr>
          <w:rFonts w:hint="default" w:ascii="宋体" w:hAnsi="宋体" w:eastAsia="宋体" w:cs="宋体"/>
          <w:b w:val="0"/>
          <w:bCs/>
          <w:color w:val="auto"/>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如乙方不能开具增值税专用发票的，应向甲方提交相关证明材料并取得甲方</w:t>
      </w:r>
      <w:r>
        <w:rPr>
          <w:rFonts w:hint="eastAsia" w:asciiTheme="minorEastAsia" w:hAnsiTheme="minorEastAsia" w:eastAsiaTheme="minorEastAsia" w:cstheme="minorEastAsia"/>
          <w:b w:val="0"/>
          <w:bCs/>
          <w:color w:val="auto"/>
          <w:sz w:val="24"/>
          <w:szCs w:val="24"/>
          <w:shd w:val="clear" w:color="auto" w:fill="auto"/>
          <w:lang w:val="en-US" w:eastAsia="zh-CN"/>
        </w:rPr>
        <w:t>书面</w:t>
      </w:r>
      <w:r>
        <w:rPr>
          <w:rFonts w:hint="eastAsia" w:asciiTheme="minorEastAsia" w:hAnsiTheme="minorEastAsia" w:eastAsiaTheme="minorEastAsia" w:cstheme="minorEastAsia"/>
          <w:b w:val="0"/>
          <w:bCs/>
          <w:color w:val="auto"/>
          <w:sz w:val="24"/>
          <w:szCs w:val="24"/>
          <w:shd w:val="clear" w:color="auto" w:fill="auto"/>
        </w:rPr>
        <w:t>同意后，可开具符合甲方要求的其他发票。</w:t>
      </w:r>
    </w:p>
    <w:p w14:paraId="6E3289EC">
      <w:pPr>
        <w:pageBreakBefore w:val="0"/>
        <w:kinsoku/>
        <w:wordWrap/>
        <w:overflowPunct/>
        <w:topLinePunct w:val="0"/>
        <w:bidi w:val="0"/>
        <w:adjustRightInd/>
        <w:snapToGrid/>
        <w:spacing w:line="540" w:lineRule="exact"/>
        <w:ind w:firstLine="561"/>
        <w:textAlignment w:val="auto"/>
        <w:rPr>
          <w:rFonts w:hint="eastAsia" w:ascii="宋体" w:hAnsi="宋体" w:eastAsia="宋体" w:cs="Times New Roman"/>
          <w:color w:val="auto"/>
          <w:sz w:val="24"/>
          <w:szCs w:val="24"/>
          <w:shd w:val="clear"/>
        </w:rPr>
      </w:pPr>
      <w:r>
        <w:rPr>
          <w:rFonts w:hint="eastAsia" w:ascii="宋体" w:hAnsi="宋体" w:eastAsia="宋体" w:cs="Times New Roman"/>
          <w:color w:val="auto"/>
          <w:sz w:val="24"/>
          <w:szCs w:val="24"/>
          <w:shd w:val="clear"/>
          <w:lang w:val="en-US" w:eastAsia="zh-CN"/>
        </w:rPr>
        <w:t>6.5承包人</w:t>
      </w:r>
      <w:r>
        <w:rPr>
          <w:rFonts w:hint="eastAsia" w:ascii="宋体" w:hAnsi="宋体" w:eastAsia="宋体" w:cs="Times New Roman"/>
          <w:color w:val="auto"/>
          <w:sz w:val="24"/>
          <w:szCs w:val="24"/>
          <w:shd w:val="clear"/>
        </w:rPr>
        <w:t>收款账户信息如下：</w:t>
      </w:r>
    </w:p>
    <w:p w14:paraId="3F7C527A">
      <w:pPr>
        <w:pageBreakBefore w:val="0"/>
        <w:kinsoku/>
        <w:wordWrap/>
        <w:overflowPunct/>
        <w:topLinePunct w:val="0"/>
        <w:bidi w:val="0"/>
        <w:adjustRightInd/>
        <w:snapToGrid/>
        <w:spacing w:line="540" w:lineRule="exact"/>
        <w:ind w:firstLine="561"/>
        <w:textAlignment w:val="auto"/>
        <w:rPr>
          <w:rFonts w:hint="eastAsia" w:asciiTheme="minorEastAsia" w:hAnsiTheme="minorEastAsia" w:eastAsiaTheme="minorEastAsia" w:cstheme="minorEastAsia"/>
          <w:color w:val="auto"/>
          <w:sz w:val="24"/>
          <w:szCs w:val="24"/>
          <w:u w:val="single"/>
          <w:shd w:val="clear" w:color="auto" w:fill="auto"/>
          <w:lang w:val="en-US" w:eastAsia="zh-CN"/>
        </w:rPr>
      </w:pPr>
      <w:r>
        <w:rPr>
          <w:rFonts w:hint="eastAsia" w:asciiTheme="minorEastAsia" w:hAnsiTheme="minorEastAsia" w:eastAsiaTheme="minorEastAsia" w:cstheme="minorEastAsia"/>
          <w:color w:val="auto"/>
          <w:sz w:val="24"/>
          <w:szCs w:val="24"/>
          <w:shd w:val="clear" w:color="auto" w:fill="auto"/>
        </w:rPr>
        <w:t>账号：</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银行账号"/>
          <w:tag w:val="乙方银行账号"/>
          <w:id w:val="147452104"/>
          <w:placeholder>
            <w:docPart w:val="{59cd4dc1-bf13-4fbf-9c2b-55003587352b}"/>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2"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2"/>
        </w:sdtContent>
      </w:sdt>
    </w:p>
    <w:p w14:paraId="668D8FDA">
      <w:pPr>
        <w:kinsoku/>
        <w:wordWrap/>
        <w:overflowPunct/>
        <w:topLinePunct w:val="0"/>
        <w:bidi w:val="0"/>
        <w:spacing w:line="540" w:lineRule="exact"/>
        <w:ind w:firstLine="561"/>
        <w:rPr>
          <w:rFonts w:hint="eastAsia" w:asciiTheme="minorEastAsia" w:hAnsiTheme="minorEastAsia" w:eastAsiaTheme="minorEastAsia" w:cstheme="minorEastAsia"/>
          <w:color w:val="auto"/>
          <w:kern w:val="2"/>
          <w:sz w:val="24"/>
          <w:szCs w:val="24"/>
          <w:u w:val="single"/>
          <w:shd w:val="clear" w:color="auto" w:fill="auto"/>
          <w:lang w:val="en-US" w:eastAsia="zh-CN" w:bidi="ar-SA"/>
        </w:rPr>
      </w:pPr>
      <w:r>
        <w:rPr>
          <w:rFonts w:hint="eastAsia" w:asciiTheme="minorEastAsia" w:hAnsiTheme="minorEastAsia" w:eastAsiaTheme="minorEastAsia" w:cstheme="minorEastAsia"/>
          <w:color w:val="auto"/>
          <w:sz w:val="24"/>
          <w:szCs w:val="24"/>
          <w:shd w:val="clear" w:color="auto" w:fill="auto"/>
        </w:rPr>
        <w:t>户名：</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当事人全称"/>
          <w:tag w:val="乙方当事人全称"/>
          <w:id w:val="147451980"/>
          <w:placeholder>
            <w:docPart w:val="{c79843f5-d946-437d-856e-de9efef9ac68}"/>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3"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3"/>
        </w:sdtContent>
      </w:sdt>
    </w:p>
    <w:p w14:paraId="498F08E7">
      <w:pPr>
        <w:kinsoku/>
        <w:wordWrap/>
        <w:overflowPunct/>
        <w:topLinePunct w:val="0"/>
        <w:bidi w:val="0"/>
        <w:spacing w:line="540" w:lineRule="exact"/>
        <w:ind w:firstLine="561"/>
        <w:rPr>
          <w:rFonts w:hint="default" w:ascii="宋体" w:hAnsi="宋体" w:eastAsia="宋体" w:cs="宋体"/>
          <w:b w:val="0"/>
          <w:bCs/>
          <w:color w:val="auto"/>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开户行：</w:t>
      </w:r>
      <w:sdt>
        <w:sdtPr>
          <w:rPr>
            <w:rFonts w:hint="eastAsia" w:asciiTheme="minorEastAsia" w:hAnsiTheme="minorEastAsia" w:eastAsiaTheme="minorEastAsia" w:cstheme="minorEastAsia"/>
            <w:b w:val="0"/>
            <w:bCs/>
            <w:color w:val="auto"/>
            <w:kern w:val="2"/>
            <w:sz w:val="24"/>
            <w:szCs w:val="24"/>
            <w:shd w:val="clear" w:color="auto" w:fill="auto"/>
            <w:lang w:val="en-US" w:eastAsia="zh-CN" w:bidi="ar-SA"/>
          </w:rPr>
          <w:alias w:val="乙方开户银行名称"/>
          <w:tag w:val="乙方开户银行名称"/>
          <w:id w:val="147451869"/>
          <w:placeholder>
            <w:docPart w:val="{a08b81c6-85ce-4623-af00-d3d630d40dca}"/>
          </w:placeholder>
          <w:text/>
        </w:sdtPr>
        <w:sdtEndPr>
          <w:rPr>
            <w:rFonts w:hint="eastAsia" w:asciiTheme="minorEastAsia" w:hAnsiTheme="minorEastAsia" w:eastAsiaTheme="minorEastAsia" w:cstheme="minorEastAsia"/>
            <w:b w:val="0"/>
            <w:bCs/>
            <w:color w:val="auto"/>
            <w:kern w:val="2"/>
            <w:sz w:val="24"/>
            <w:szCs w:val="24"/>
            <w:u w:val="single"/>
            <w:shd w:val="clear" w:color="auto" w:fill="auto"/>
            <w:lang w:val="en-US" w:eastAsia="zh-CN" w:bidi="ar-SA"/>
          </w:rPr>
        </w:sdtEndPr>
        <w:sdtContent>
          <w:permStart w:id="44" w:edGrp="everyone"/>
          <w:r>
            <w:rPr>
              <w:rFonts w:hint="eastAsia" w:asciiTheme="minorEastAsia" w:hAnsiTheme="minorEastAsia" w:eastAsiaTheme="minorEastAsia" w:cstheme="minorEastAsia"/>
              <w:b w:val="0"/>
              <w:bCs/>
              <w:color w:val="auto"/>
              <w:sz w:val="24"/>
              <w:szCs w:val="24"/>
              <w:u w:val="single"/>
              <w:shd w:val="clear" w:color="auto" w:fill="auto"/>
              <w:lang w:val="en-US" w:eastAsia="zh-CN"/>
            </w:rPr>
            <w:t xml:space="preserve">      </w:t>
          </w:r>
          <w:permEnd w:id="44"/>
        </w:sdtContent>
      </w:sdt>
    </w:p>
    <w:p w14:paraId="0FD3C455">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 w:val="0"/>
          <w:bCs/>
          <w:color w:val="auto"/>
          <w:sz w:val="24"/>
          <w:szCs w:val="24"/>
          <w:lang w:val="en-US" w:eastAsia="zh-CN"/>
        </w:rPr>
        <w:t xml:space="preserve">6.6 </w:t>
      </w:r>
      <w:r>
        <w:rPr>
          <w:rFonts w:hint="eastAsia" w:ascii="宋体" w:hAnsi="宋体" w:eastAsia="宋体" w:cs="宋体"/>
          <w:color w:val="auto"/>
          <w:kern w:val="0"/>
          <w:sz w:val="24"/>
          <w:szCs w:val="24"/>
          <w:highlight w:val="none"/>
          <w:lang w:val="en-US" w:eastAsia="zh-CN"/>
        </w:rPr>
        <w:t>承包人数字人民币对公钱包信息如下：</w:t>
      </w:r>
    </w:p>
    <w:p w14:paraId="12E91A54">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数字人民币钱包开户行：</w:t>
      </w:r>
      <w:sdt>
        <w:sdtPr>
          <w:rPr>
            <w:rFonts w:hint="eastAsia" w:ascii="宋体" w:hAnsi="宋体" w:eastAsia="宋体" w:cs="宋体"/>
            <w:color w:val="auto"/>
            <w:kern w:val="0"/>
            <w:sz w:val="24"/>
            <w:szCs w:val="24"/>
            <w:highlight w:val="none"/>
            <w:lang w:val="en-US" w:eastAsia="zh-CN"/>
          </w:rPr>
          <w:alias w:val="乙方数字人民币钱包开户银行名称"/>
          <w:tag w:val="乙方数字人民币钱包开户银行名称"/>
          <w:id w:val="24638287"/>
          <w:placeholder>
            <w:docPart w:val="{5c84e615-b1dd-4410-ad9c-d80f179801bf}"/>
          </w:placeholder>
          <w:text/>
        </w:sdtPr>
        <w:sdtEndPr>
          <w:rPr>
            <w:rFonts w:hint="eastAsia" w:ascii="宋体" w:hAnsi="宋体" w:eastAsia="宋体" w:cs="宋体"/>
            <w:color w:val="auto"/>
            <w:kern w:val="0"/>
            <w:sz w:val="24"/>
            <w:szCs w:val="24"/>
            <w:highlight w:val="none"/>
            <w:lang w:val="en-US" w:eastAsia="zh-CN"/>
          </w:rPr>
        </w:sdtEndPr>
        <w:sdtContent>
          <w:permStart w:id="45" w:edGrp="everyone"/>
          <w:r>
            <w:rPr>
              <w:rFonts w:hint="eastAsia" w:ascii="宋体" w:hAnsi="宋体" w:eastAsia="宋体" w:cs="宋体"/>
              <w:color w:val="auto"/>
              <w:kern w:val="0"/>
              <w:sz w:val="24"/>
              <w:szCs w:val="24"/>
              <w:highlight w:val="none"/>
              <w:u w:val="single"/>
              <w:lang w:val="en-US" w:eastAsia="zh-CN"/>
            </w:rPr>
            <w:t xml:space="preserve">      </w:t>
          </w:r>
          <w:permEnd w:id="45"/>
        </w:sdtContent>
      </w:sdt>
    </w:p>
    <w:p w14:paraId="12DBEF77">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钱包名称：</w:t>
      </w:r>
      <w:sdt>
        <w:sdtPr>
          <w:rPr>
            <w:rFonts w:hint="eastAsia" w:asciiTheme="minorEastAsia" w:hAnsiTheme="minorEastAsia" w:eastAsiaTheme="minorEastAsia" w:cstheme="minorEastAsia"/>
            <w:color w:val="auto"/>
            <w:kern w:val="2"/>
            <w:sz w:val="24"/>
            <w:szCs w:val="24"/>
            <w:highlight w:val="none"/>
            <w:lang w:val="en-US" w:eastAsia="zh-CN" w:bidi="ar-SA"/>
          </w:rPr>
          <w:alias w:val="乙方数字人民币钱包名称"/>
          <w:tag w:val="乙方数字人民币钱包名称"/>
          <w:id w:val="424324316"/>
          <w:placeholder>
            <w:docPart w:val="{b77a4a5f-2bef-417c-b11e-5d44fc5f3b94}"/>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rPr>
        </w:sdtEndPr>
        <w:sdtContent>
          <w:permStart w:id="46" w:edGrp="everyone"/>
          <w:r>
            <w:rPr>
              <w:rFonts w:hint="eastAsia" w:asciiTheme="minorEastAsia" w:hAnsiTheme="minorEastAsia" w:eastAsiaTheme="minorEastAsia" w:cstheme="minorEastAsia"/>
              <w:color w:val="auto"/>
              <w:sz w:val="24"/>
              <w:szCs w:val="24"/>
              <w:highlight w:val="none"/>
              <w:u w:val="single"/>
              <w:lang w:val="en-US" w:eastAsia="zh-CN"/>
            </w:rPr>
            <w:t xml:space="preserve">      </w:t>
          </w:r>
          <w:permEnd w:id="46"/>
        </w:sdtContent>
      </w:sdt>
    </w:p>
    <w:p w14:paraId="24CC26E3">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钱包编号：</w:t>
      </w:r>
      <w:sdt>
        <w:sdtPr>
          <w:rPr>
            <w:rFonts w:hint="eastAsia" w:asciiTheme="minorEastAsia" w:hAnsiTheme="minorEastAsia" w:eastAsiaTheme="minorEastAsia" w:cstheme="minorEastAsia"/>
            <w:color w:val="auto"/>
            <w:kern w:val="2"/>
            <w:sz w:val="24"/>
            <w:szCs w:val="24"/>
            <w:highlight w:val="none"/>
            <w:lang w:val="en-US" w:eastAsia="zh-CN" w:bidi="ar-SA"/>
          </w:rPr>
          <w:alias w:val="乙方数字人民币钱包编号"/>
          <w:tag w:val="乙方数字人民币钱包编号"/>
          <w:id w:val="973070972"/>
          <w:placeholder>
            <w:docPart w:val="{068776b0-4c7c-4ed1-9968-c782161ae751}"/>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rPr>
        </w:sdtEndPr>
        <w:sdtContent>
          <w:permStart w:id="47" w:edGrp="everyone"/>
          <w:r>
            <w:rPr>
              <w:rFonts w:hint="eastAsia" w:asciiTheme="minorEastAsia" w:hAnsiTheme="minorEastAsia" w:eastAsiaTheme="minorEastAsia" w:cstheme="minorEastAsia"/>
              <w:color w:val="auto"/>
              <w:sz w:val="24"/>
              <w:szCs w:val="24"/>
              <w:highlight w:val="none"/>
              <w:u w:val="single"/>
              <w:lang w:val="en-US" w:eastAsia="zh-CN"/>
            </w:rPr>
            <w:t xml:space="preserve">      </w:t>
          </w:r>
          <w:permEnd w:id="47"/>
        </w:sdtContent>
      </w:sdt>
      <w:r>
        <w:rPr>
          <w:rFonts w:hint="eastAsia" w:ascii="宋体" w:hAnsi="宋体" w:eastAsia="宋体" w:cs="宋体"/>
          <w:color w:val="auto"/>
          <w:kern w:val="0"/>
          <w:sz w:val="24"/>
          <w:szCs w:val="24"/>
          <w:highlight w:val="none"/>
          <w:lang w:val="en-US" w:eastAsia="zh-CN"/>
        </w:rPr>
        <w:t xml:space="preserve"> </w:t>
      </w:r>
    </w:p>
    <w:p w14:paraId="5C9B274D">
      <w:pPr>
        <w:keepNext w:val="0"/>
        <w:keepLines w:val="0"/>
        <w:pageBreakBefore w:val="0"/>
        <w:kinsoku/>
        <w:wordWrap/>
        <w:overflowPunct/>
        <w:topLinePunct w:val="0"/>
        <w:bidi w:val="0"/>
        <w:adjustRightInd/>
        <w:snapToGrid/>
        <w:spacing w:line="540" w:lineRule="exact"/>
        <w:ind w:right="0" w:rightChars="0" w:firstLine="560"/>
        <w:textAlignment w:val="auto"/>
        <w:rPr>
          <w:rFonts w:hint="eastAsia" w:ascii="宋体" w:hAnsi="宋体" w:eastAsia="宋体" w:cs="宋体"/>
          <w:color w:val="auto"/>
          <w:kern w:val="0"/>
          <w:sz w:val="24"/>
          <w:szCs w:val="24"/>
          <w:lang w:val="en-US" w:eastAsia="zh-CN"/>
        </w:rPr>
      </w:pPr>
      <w:r>
        <w:rPr>
          <w:rFonts w:hint="eastAsia" w:cs="宋体"/>
          <w:b/>
          <w:bCs/>
          <w:color w:val="auto"/>
          <w:kern w:val="0"/>
          <w:sz w:val="24"/>
          <w:szCs w:val="24"/>
          <w:highlight w:val="none"/>
          <w:lang w:val="en-US" w:eastAsia="zh-CN"/>
        </w:rPr>
        <w:t xml:space="preserve">6.7 </w:t>
      </w:r>
      <w:r>
        <w:rPr>
          <w:rFonts w:hint="eastAsia" w:ascii="宋体" w:hAnsi="宋体" w:cs="宋体"/>
          <w:b/>
          <w:bCs/>
          <w:color w:val="auto"/>
          <w:kern w:val="0"/>
          <w:sz w:val="24"/>
          <w:szCs w:val="24"/>
          <w:highlight w:val="none"/>
          <w:u w:val="none"/>
          <w:lang w:val="en-US" w:eastAsia="zh-CN"/>
        </w:rPr>
        <w:t>本合同项下承包人收款账户信息、承包人数字人民币对公钱包信息，以本合同协议书</w:t>
      </w:r>
      <w:r>
        <w:rPr>
          <w:rFonts w:hint="eastAsia" w:cs="宋体"/>
          <w:b/>
          <w:bCs/>
          <w:color w:val="auto"/>
          <w:kern w:val="0"/>
          <w:sz w:val="24"/>
          <w:szCs w:val="24"/>
          <w:highlight w:val="none"/>
          <w:u w:val="none"/>
          <w:lang w:val="en-US" w:eastAsia="zh-CN"/>
        </w:rPr>
        <w:t>6.5条、第6.6条</w:t>
      </w:r>
      <w:r>
        <w:rPr>
          <w:rFonts w:hint="eastAsia" w:ascii="宋体" w:hAnsi="宋体" w:cs="宋体"/>
          <w:b/>
          <w:bCs/>
          <w:color w:val="auto"/>
          <w:kern w:val="0"/>
          <w:sz w:val="24"/>
          <w:szCs w:val="24"/>
          <w:highlight w:val="none"/>
          <w:u w:val="none"/>
          <w:lang w:val="en-US" w:eastAsia="zh-CN"/>
        </w:rPr>
        <w:t>约定为准。承包人在签署本合同时，应对前述信息进行确认，本合同一经双方签署即视为承包人确认前述信息无误，发包人应按前述信息进行付款。承包人如需变更收款账户或数字人民币钱包信息的，应提前向发包人提出，并经发包人</w:t>
      </w:r>
      <w:bookmarkStart w:id="26" w:name="_GoBack"/>
      <w:bookmarkEnd w:id="26"/>
      <w:r>
        <w:rPr>
          <w:rFonts w:hint="eastAsia" w:ascii="宋体" w:hAnsi="宋体" w:cs="宋体"/>
          <w:b/>
          <w:bCs/>
          <w:color w:val="auto"/>
          <w:kern w:val="0"/>
          <w:sz w:val="24"/>
          <w:szCs w:val="24"/>
          <w:highlight w:val="none"/>
          <w:u w:val="none"/>
          <w:lang w:val="en-US" w:eastAsia="zh-CN"/>
        </w:rPr>
        <w:t>同意后方可变更；否则，发包人仍应按本条约定的收款信息进行付款。发包人按本条约定的收款信息付款后，视为已完成付款义务，因收款信息错误造成的全部损失由承包人自行承担，发包人不承担任何责任。</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lang w:val="en-US" w:eastAsia="zh-CN"/>
        </w:rPr>
        <w:t xml:space="preserve"> </w:t>
      </w:r>
    </w:p>
    <w:p w14:paraId="43164E2D">
      <w:pPr>
        <w:pageBreakBefore w:val="0"/>
        <w:kinsoku/>
        <w:wordWrap/>
        <w:overflowPunct/>
        <w:topLinePunct w:val="0"/>
        <w:bidi w:val="0"/>
        <w:adjustRightInd/>
        <w:snapToGrid/>
        <w:spacing w:line="540" w:lineRule="exact"/>
        <w:ind w:firstLine="560"/>
        <w:textAlignment w:val="auto"/>
        <w:rPr>
          <w:rFonts w:hint="eastAsia" w:ascii="宋体" w:hAnsi="宋体" w:cs="宋体"/>
          <w:color w:val="auto"/>
          <w:kern w:val="0"/>
          <w:sz w:val="24"/>
          <w:szCs w:val="24"/>
          <w:shd w:val="clear" w:color="auto" w:fill="auto"/>
          <w:lang w:val="en-US" w:eastAsia="zh-CN"/>
        </w:rPr>
      </w:pPr>
      <w:r>
        <w:rPr>
          <w:rFonts w:hint="eastAsia" w:cs="宋体"/>
          <w:color w:val="auto"/>
          <w:kern w:val="0"/>
          <w:sz w:val="24"/>
          <w:szCs w:val="24"/>
          <w:highlight w:val="none"/>
          <w:lang w:val="en-US" w:eastAsia="zh-CN"/>
        </w:rPr>
        <w:t>6.8</w:t>
      </w:r>
      <w:r>
        <w:rPr>
          <w:rFonts w:hint="eastAsia" w:ascii="宋体" w:hAnsi="宋体" w:cs="宋体"/>
          <w:color w:val="auto"/>
          <w:kern w:val="0"/>
          <w:sz w:val="24"/>
          <w:szCs w:val="24"/>
          <w:shd w:val="clear" w:color="auto" w:fill="auto"/>
          <w:lang w:val="en-US" w:eastAsia="zh-CN"/>
        </w:rPr>
        <w:t>发包人增值税开票信息如下：</w:t>
      </w:r>
    </w:p>
    <w:p w14:paraId="240D86D7">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u w:val="single"/>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单位名称：</w:t>
      </w:r>
      <w:sdt>
        <w:sdtPr>
          <w:rPr>
            <w:rFonts w:hint="eastAsia" w:ascii="宋体" w:hAnsi="宋体" w:eastAsia="宋体" w:cs="宋体"/>
            <w:color w:val="auto"/>
            <w:kern w:val="2"/>
            <w:sz w:val="24"/>
            <w:szCs w:val="24"/>
            <w:u w:val="single"/>
            <w:lang w:val="en-US" w:eastAsia="zh-CN" w:bidi="ar-SA"/>
          </w:rPr>
          <w:alias w:val="甲方当事人全称"/>
          <w:tag w:val="甲方当事人全称"/>
          <w:id w:val="108833077"/>
          <w:placeholder>
            <w:docPart w:val="{20a4e50b-3b87-437e-84b4-71ea2362673e}"/>
          </w:placeholder>
          <w:text/>
        </w:sdtPr>
        <w:sdtEndPr>
          <w:rPr>
            <w:rFonts w:hint="eastAsia" w:ascii="宋体" w:hAnsi="宋体" w:eastAsia="宋体" w:cs="宋体"/>
            <w:color w:val="auto"/>
            <w:kern w:val="2"/>
            <w:sz w:val="24"/>
            <w:szCs w:val="24"/>
            <w:u w:val="single"/>
            <w:lang w:val="en-US" w:eastAsia="zh-CN" w:bidi="ar-SA"/>
          </w:rPr>
        </w:sdtEndPr>
        <w:sdtContent>
          <w:permStart w:id="48" w:edGrp="everyone"/>
          <w:r>
            <w:rPr>
              <w:rFonts w:hint="eastAsia" w:ascii="宋体" w:hAnsi="宋体" w:eastAsia="宋体" w:cs="宋体"/>
              <w:color w:val="auto"/>
              <w:sz w:val="24"/>
              <w:szCs w:val="24"/>
              <w:u w:val="single"/>
              <w:lang w:val="en-US" w:eastAsia="zh-CN"/>
            </w:rPr>
            <w:t xml:space="preserve">        </w:t>
          </w:r>
          <w:permEnd w:id="48"/>
        </w:sdtContent>
      </w:sdt>
    </w:p>
    <w:p w14:paraId="5994FE4C">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税务识别号：</w:t>
      </w:r>
      <w:sdt>
        <w:sdtPr>
          <w:rPr>
            <w:rFonts w:hint="eastAsia" w:asciiTheme="minorHAnsi" w:hAnsiTheme="minorHAnsi" w:eastAsiaTheme="minorEastAsia" w:cstheme="minorBidi"/>
            <w:kern w:val="2"/>
            <w:sz w:val="24"/>
            <w:szCs w:val="24"/>
            <w:u w:val="none"/>
            <w:lang w:val="en-US" w:eastAsia="zh-CN" w:bidi="ar-SA"/>
          </w:rPr>
          <w:alias w:val="甲方统一社会信用代码/证件号码"/>
          <w:tag w:val="甲方统一社会信用代码/证件号码"/>
          <w:id w:val="147479919"/>
          <w:placeholder>
            <w:docPart w:val="{5cc933ed-49c0-4603-9a16-80c48d71e94a}"/>
          </w:placeholder>
          <w:text/>
        </w:sdtPr>
        <w:sdtEndPr>
          <w:rPr>
            <w:rFonts w:hint="eastAsia" w:ascii="宋体" w:hAnsi="宋体" w:eastAsia="宋体" w:cs="宋体"/>
            <w:kern w:val="2"/>
            <w:sz w:val="24"/>
            <w:szCs w:val="24"/>
            <w:u w:val="single"/>
            <w:lang w:val="en-US" w:eastAsia="zh-CN" w:bidi="ar-SA"/>
          </w:rPr>
        </w:sdtEndPr>
        <w:sdtContent>
          <w:permStart w:id="49" w:edGrp="everyone"/>
          <w:r>
            <w:rPr>
              <w:rFonts w:hint="eastAsia" w:ascii="宋体" w:hAnsi="宋体" w:eastAsia="宋体" w:cs="宋体"/>
              <w:kern w:val="2"/>
              <w:sz w:val="24"/>
              <w:szCs w:val="24"/>
              <w:u w:val="single"/>
              <w:lang w:val="en-US" w:eastAsia="zh-CN" w:bidi="ar-SA"/>
            </w:rPr>
            <w:t xml:space="preserve">     </w:t>
          </w:r>
          <w:permEnd w:id="49"/>
        </w:sdtContent>
      </w:sdt>
    </w:p>
    <w:p w14:paraId="06762F47">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开户行：</w:t>
      </w:r>
      <w:sdt>
        <w:sdtPr>
          <w:rPr>
            <w:rFonts w:hint="eastAsia" w:ascii="宋体" w:hAnsi="宋体" w:eastAsia="宋体" w:cs="宋体"/>
            <w:kern w:val="2"/>
            <w:sz w:val="24"/>
            <w:szCs w:val="24"/>
            <w:lang w:val="en-US" w:eastAsia="zh-CN" w:bidi="ar-SA"/>
          </w:rPr>
          <w:alias w:val="甲方开户银行名称"/>
          <w:tag w:val="甲方开户银行名称"/>
          <w:id w:val="87415051"/>
          <w:placeholder>
            <w:docPart w:val="{408eea51-8c77-481c-b4f8-49f56cd18050}"/>
          </w:placeholder>
          <w:text/>
        </w:sdtPr>
        <w:sdtEndPr>
          <w:rPr>
            <w:rFonts w:hint="eastAsia" w:ascii="宋体" w:hAnsi="宋体" w:eastAsia="宋体" w:cs="宋体"/>
            <w:kern w:val="2"/>
            <w:sz w:val="24"/>
            <w:szCs w:val="24"/>
            <w:u w:val="single"/>
            <w:lang w:val="en-US" w:eastAsia="zh-CN" w:bidi="ar-SA"/>
          </w:rPr>
        </w:sdtEndPr>
        <w:sdtContent>
          <w:permStart w:id="50" w:edGrp="everyone"/>
          <w:r>
            <w:rPr>
              <w:rFonts w:hint="eastAsia" w:ascii="宋体" w:hAnsi="宋体" w:eastAsia="宋体" w:cs="宋体"/>
              <w:sz w:val="24"/>
              <w:szCs w:val="24"/>
              <w:u w:val="single"/>
              <w:lang w:val="en-US" w:eastAsia="zh-CN"/>
            </w:rPr>
            <w:t xml:space="preserve">       </w:t>
          </w:r>
          <w:permEnd w:id="50"/>
        </w:sdtContent>
      </w:sdt>
    </w:p>
    <w:p w14:paraId="2AF868F0">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银行账号：</w:t>
      </w:r>
      <w:sdt>
        <w:sdtPr>
          <w:rPr>
            <w:rFonts w:hint="eastAsia" w:ascii="宋体" w:hAnsi="宋体" w:eastAsia="宋体" w:cs="宋体"/>
            <w:kern w:val="2"/>
            <w:sz w:val="24"/>
            <w:szCs w:val="24"/>
            <w:lang w:val="en-US" w:eastAsia="zh-CN" w:bidi="ar-SA"/>
          </w:rPr>
          <w:alias w:val="甲方银行账号"/>
          <w:tag w:val="甲方银行账号"/>
          <w:id w:val="98926187"/>
          <w:placeholder>
            <w:docPart w:val="{08a8730e-682f-46cb-b371-17b05cdc1943}"/>
          </w:placeholder>
          <w:text/>
        </w:sdtPr>
        <w:sdtEndPr>
          <w:rPr>
            <w:rFonts w:hint="eastAsia" w:ascii="宋体" w:hAnsi="宋体" w:eastAsia="宋体" w:cs="宋体"/>
            <w:kern w:val="2"/>
            <w:sz w:val="24"/>
            <w:szCs w:val="24"/>
            <w:u w:val="single"/>
            <w:lang w:val="en-US" w:eastAsia="zh-CN" w:bidi="ar-SA"/>
          </w:rPr>
        </w:sdtEndPr>
        <w:sdtContent>
          <w:permStart w:id="51" w:edGrp="everyone"/>
          <w:r>
            <w:rPr>
              <w:rFonts w:hint="eastAsia" w:ascii="宋体" w:hAnsi="宋体" w:eastAsia="宋体" w:cs="宋体"/>
              <w:sz w:val="24"/>
              <w:szCs w:val="24"/>
              <w:u w:val="single"/>
              <w:lang w:val="en-US" w:eastAsia="zh-CN"/>
            </w:rPr>
            <w:t xml:space="preserve">       </w:t>
          </w:r>
          <w:permEnd w:id="51"/>
        </w:sdtContent>
      </w:sdt>
    </w:p>
    <w:p w14:paraId="7E894B97">
      <w:pPr>
        <w:kinsoku/>
        <w:wordWrap/>
        <w:overflowPunct/>
        <w:topLinePunct w:val="0"/>
        <w:bidi w:val="0"/>
        <w:spacing w:line="540" w:lineRule="exact"/>
        <w:ind w:firstLine="560"/>
        <w:rPr>
          <w:rFonts w:hint="eastAsia" w:ascii="宋体" w:hAnsi="宋体" w:eastAsia="宋体" w:cs="宋体"/>
          <w:color w:val="auto"/>
          <w:kern w:val="2"/>
          <w:sz w:val="28"/>
          <w:szCs w:val="28"/>
          <w:u w:val="single"/>
          <w:lang w:val="en-US" w:eastAsia="zh-CN" w:bidi="ar-SA"/>
        </w:rPr>
      </w:pPr>
      <w:r>
        <w:rPr>
          <w:rFonts w:hint="eastAsia" w:ascii="宋体" w:hAnsi="宋体" w:eastAsia="宋体" w:cs="宋体"/>
          <w:color w:val="auto"/>
          <w:kern w:val="0"/>
          <w:sz w:val="24"/>
          <w:szCs w:val="24"/>
          <w:shd w:val="clear" w:color="auto" w:fill="auto"/>
          <w:lang w:val="en-US" w:eastAsia="zh-CN"/>
        </w:rPr>
        <w:t>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e5e2c7eb-f263-4ff1-b6ae-c0af8b8be533}"/>
          </w:placeholder>
          <w:text/>
        </w:sdtPr>
        <w:sdtEndPr>
          <w:rPr>
            <w:rFonts w:hint="eastAsia" w:ascii="宋体" w:hAnsi="宋体" w:eastAsia="宋体" w:cs="宋体"/>
            <w:color w:val="auto"/>
            <w:kern w:val="2"/>
            <w:sz w:val="28"/>
            <w:szCs w:val="28"/>
            <w:u w:val="single"/>
            <w:lang w:val="en-US" w:eastAsia="zh-CN" w:bidi="ar-SA"/>
          </w:rPr>
        </w:sdtEndPr>
        <w:sdtContent>
          <w:permStart w:id="52" w:edGrp="everyone"/>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52"/>
        </w:sdtContent>
      </w:sdt>
    </w:p>
    <w:p w14:paraId="1997072F">
      <w:pPr>
        <w:kinsoku/>
        <w:wordWrap/>
        <w:overflowPunct/>
        <w:topLinePunct w:val="0"/>
        <w:bidi w:val="0"/>
        <w:spacing w:line="540" w:lineRule="exact"/>
        <w:ind w:firstLine="560"/>
        <w:rPr>
          <w:rFonts w:hint="eastAsia" w:ascii="宋体" w:hAnsi="宋体" w:eastAsia="宋体" w:cs="宋体"/>
          <w:sz w:val="24"/>
          <w:szCs w:val="24"/>
          <w:u w:val="none"/>
          <w:lang w:val="en-US" w:eastAsia="zh-CN"/>
        </w:rPr>
      </w:pPr>
      <w:r>
        <w:rPr>
          <w:rFonts w:hint="eastAsia" w:ascii="宋体" w:hAnsi="宋体" w:cs="宋体"/>
          <w:sz w:val="24"/>
          <w:szCs w:val="24"/>
          <w:u w:val="none"/>
          <w:lang w:val="en-US" w:eastAsia="zh-CN"/>
        </w:rPr>
        <w:t>联系电话：</w:t>
      </w:r>
      <w:permStart w:id="53" w:edGrp="everyone"/>
      <w:r>
        <w:rPr>
          <w:rFonts w:hint="eastAsia" w:ascii="宋体" w:hAnsi="宋体" w:eastAsia="宋体" w:cs="宋体"/>
          <w:sz w:val="24"/>
          <w:szCs w:val="24"/>
          <w:u w:val="non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eastAsia="宋体" w:cs="宋体"/>
          <w:sz w:val="24"/>
          <w:szCs w:val="24"/>
          <w:u w:val="none"/>
          <w:lang w:val="en-US" w:eastAsia="zh-CN"/>
        </w:rPr>
        <w:t xml:space="preserve">  </w:t>
      </w:r>
    </w:p>
    <w:permEnd w:id="53"/>
    <w:p w14:paraId="00F3661E">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9</w:t>
      </w:r>
      <w:r>
        <w:rPr>
          <w:rFonts w:hint="eastAsia" w:ascii="宋体" w:hAnsi="宋体" w:eastAsia="宋体" w:cs="宋体"/>
          <w:sz w:val="24"/>
          <w:szCs w:val="24"/>
        </w:rPr>
        <w:t xml:space="preserve"> 支付条款及程序在合同条款和附件中另有规定。</w:t>
      </w:r>
    </w:p>
    <w:p w14:paraId="0AC70D3B">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 词语含义</w:t>
      </w:r>
    </w:p>
    <w:p w14:paraId="336A405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6DDE789F">
      <w:pPr>
        <w:pStyle w:val="52"/>
        <w:tabs>
          <w:tab w:val="left" w:pos="3855"/>
        </w:tabs>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 签订时间</w:t>
      </w:r>
      <w:r>
        <w:rPr>
          <w:rFonts w:hint="eastAsia" w:ascii="宋体" w:hAnsi="宋体" w:eastAsia="宋体" w:cs="宋体"/>
          <w:sz w:val="24"/>
          <w:szCs w:val="24"/>
        </w:rPr>
        <w:tab/>
      </w:r>
    </w:p>
    <w:p w14:paraId="2217D3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本合同于</w:t>
      </w:r>
      <w:sdt>
        <w:sdtPr>
          <w:rPr>
            <w:rFonts w:hint="eastAsia" w:ascii="宋体" w:hAnsi="宋体" w:eastAsia="宋体" w:cs="宋体"/>
            <w:kern w:val="2"/>
            <w:sz w:val="24"/>
            <w:szCs w:val="24"/>
            <w:lang w:val="en-US" w:eastAsia="zh-CN" w:bidi="ar-SA"/>
          </w:rPr>
          <w:id w:val="147478367"/>
          <w:placeholder>
            <w:docPart w:val="{6e3d3541-6dc0-42a5-84fc-0afbdda8ee5e}"/>
          </w:placeholder>
          <w:date>
            <w:dateFormat w:val="yyyy/M/d"/>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54" w:edGrp="everyone"/>
          <w:r>
            <w:rPr>
              <w:rFonts w:hint="eastAsia" w:ascii="宋体" w:hAnsi="宋体" w:eastAsia="宋体" w:cs="宋体"/>
              <w:sz w:val="24"/>
              <w:szCs w:val="24"/>
              <w:u w:val="single"/>
              <w:lang w:val="en-US" w:eastAsia="zh-CN"/>
            </w:rPr>
            <w:t xml:space="preserve">    年    月    日</w:t>
          </w:r>
          <w:permEnd w:id="54"/>
        </w:sdtContent>
      </w:sdt>
      <w:r>
        <w:rPr>
          <w:rFonts w:hint="eastAsia" w:ascii="宋体" w:hAnsi="宋体" w:eastAsia="宋体" w:cs="宋体"/>
          <w:sz w:val="24"/>
          <w:szCs w:val="24"/>
        </w:rPr>
        <w:t>签订。</w:t>
      </w:r>
    </w:p>
    <w:p w14:paraId="5F13E2F5">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 签订地点</w:t>
      </w:r>
    </w:p>
    <w:p w14:paraId="0123E8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本合同在</w:t>
      </w:r>
      <w:sdt>
        <w:sdtPr>
          <w:rPr>
            <w:rFonts w:hint="eastAsia" w:ascii="宋体" w:hAnsi="宋体" w:eastAsia="宋体" w:cs="宋体"/>
            <w:kern w:val="2"/>
            <w:sz w:val="24"/>
            <w:szCs w:val="24"/>
            <w:u w:val="single"/>
            <w:lang w:val="en-US" w:eastAsia="zh-CN" w:bidi="ar-SA"/>
          </w:rPr>
          <w:alias w:val="签约地点应当具体明确。若填写行政区域，请至少明确到县区级别。"/>
          <w:tag w:val="签约地点"/>
          <w:id w:val="147480141"/>
          <w:placeholder>
            <w:docPart w:val="{a3c0603a-d72f-4d69-b9ea-15e4999f1698}"/>
          </w:placeholder>
          <w:text w:multiLine="1"/>
        </w:sdtPr>
        <w:sdtEndPr>
          <w:rPr>
            <w:rFonts w:hint="eastAsia" w:ascii="宋体" w:hAnsi="宋体" w:eastAsia="宋体" w:cs="宋体"/>
            <w:kern w:val="2"/>
            <w:sz w:val="24"/>
            <w:szCs w:val="24"/>
            <w:u w:val="single"/>
            <w:lang w:val="en-US" w:eastAsia="zh-CN" w:bidi="ar-SA"/>
          </w:rPr>
        </w:sdtEndPr>
        <w:sdtContent>
          <w:permStart w:id="55" w:edGrp="everyone"/>
          <w:r>
            <w:rPr>
              <w:rFonts w:hint="eastAsia" w:ascii="宋体" w:hAnsi="宋体" w:eastAsia="宋体" w:cs="宋体"/>
              <w:kern w:val="2"/>
              <w:sz w:val="24"/>
              <w:szCs w:val="24"/>
              <w:u w:val="single"/>
              <w:lang w:val="en-US" w:eastAsia="zh-CN" w:bidi="ar-SA"/>
            </w:rPr>
            <w:t xml:space="preserve">          </w:t>
          </w:r>
          <w:permEnd w:id="55"/>
        </w:sdtContent>
      </w:sdt>
      <w:r>
        <w:rPr>
          <w:rFonts w:hint="eastAsia" w:ascii="宋体" w:hAnsi="宋体" w:eastAsia="宋体" w:cs="宋体"/>
          <w:kern w:val="2"/>
          <w:sz w:val="24"/>
          <w:szCs w:val="24"/>
          <w:lang w:val="en-US" w:eastAsia="zh-CN" w:bidi="ar-SA"/>
        </w:rPr>
        <w:t>签</w:t>
      </w:r>
      <w:r>
        <w:rPr>
          <w:rFonts w:hint="eastAsia" w:ascii="宋体" w:hAnsi="宋体" w:eastAsia="宋体" w:cs="宋体"/>
          <w:sz w:val="24"/>
          <w:szCs w:val="24"/>
        </w:rPr>
        <w:t>订。</w:t>
      </w:r>
    </w:p>
    <w:p w14:paraId="3A82AB31">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 合同生效条件</w:t>
      </w:r>
    </w:p>
    <w:p w14:paraId="515251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sdt>
        <w:sdtPr>
          <w:rPr>
            <w:rFonts w:hint="eastAsia" w:ascii="宋体" w:hAnsi="宋体" w:eastAsia="宋体" w:cs="宋体"/>
            <w:sz w:val="24"/>
            <w:szCs w:val="24"/>
            <w:u w:val="single"/>
            <w:lang w:val="en-US" w:eastAsia="zh-CN"/>
          </w:rPr>
          <w:alias w:val="建议数字大写，注意各份数相加结果"/>
          <w:tag w:val="合同总份数 "/>
          <w:id w:val="147474502"/>
          <w:placeholder>
            <w:docPart w:val="{2ea8e540-e88a-433b-a81f-112094e96934}"/>
          </w:placeholder>
        </w:sdtPr>
        <w:sdtEndPr>
          <w:rPr>
            <w:rFonts w:hint="eastAsia" w:ascii="宋体" w:hAnsi="宋体" w:eastAsia="宋体" w:cs="宋体"/>
            <w:sz w:val="24"/>
            <w:szCs w:val="24"/>
            <w:u w:val="single"/>
            <w:lang w:val="en-US" w:eastAsia="zh-CN"/>
          </w:rPr>
        </w:sdtEndPr>
        <w:sdtContent>
          <w:permStart w:id="56" w:edGrp="everyone"/>
          <w:r>
            <w:rPr>
              <w:rFonts w:hint="eastAsia" w:ascii="宋体" w:hAnsi="宋体" w:eastAsia="宋体" w:cs="宋体"/>
              <w:sz w:val="24"/>
              <w:szCs w:val="24"/>
              <w:u w:val="single"/>
              <w:lang w:val="en-US" w:eastAsia="zh-CN"/>
            </w:rPr>
            <w:t xml:space="preserve">     </w:t>
          </w:r>
          <w:permEnd w:id="56"/>
        </w:sdtContent>
      </w:sdt>
      <w:r>
        <w:rPr>
          <w:rFonts w:hint="eastAsia" w:ascii="宋体" w:hAnsi="宋体" w:eastAsia="宋体" w:cs="宋体"/>
          <w:sz w:val="24"/>
          <w:szCs w:val="24"/>
        </w:rPr>
        <w:t>份，均具有同等法律效力，发包人执</w:t>
      </w:r>
      <w:sdt>
        <w:sdtPr>
          <w:rPr>
            <w:rFonts w:hint="eastAsia" w:ascii="宋体" w:hAnsi="宋体" w:eastAsia="宋体" w:cs="宋体"/>
            <w:sz w:val="24"/>
            <w:szCs w:val="24"/>
            <w:u w:val="single"/>
            <w:lang w:val="en-US" w:eastAsia="zh-CN"/>
          </w:rPr>
          <w:alias w:val="建议数字大写，注意各份数相加结果"/>
          <w:tag w:val="甲方所执份数 "/>
          <w:id w:val="293060709"/>
          <w:placeholder>
            <w:docPart w:val="{fa692a2e-5a3e-498c-9b97-0e321972836f}"/>
          </w:placeholder>
        </w:sdtPr>
        <w:sdtEndPr>
          <w:rPr>
            <w:rFonts w:hint="eastAsia" w:ascii="宋体" w:hAnsi="宋体" w:eastAsia="宋体" w:cs="宋体"/>
            <w:sz w:val="24"/>
            <w:szCs w:val="24"/>
            <w:u w:val="single"/>
            <w:lang w:val="en-US" w:eastAsia="zh-CN"/>
          </w:rPr>
        </w:sdtEndPr>
        <w:sdtContent>
          <w:permStart w:id="57" w:edGrp="everyone"/>
          <w:r>
            <w:rPr>
              <w:rFonts w:hint="eastAsia" w:ascii="宋体" w:hAnsi="宋体" w:eastAsia="宋体" w:cs="宋体"/>
              <w:sz w:val="24"/>
              <w:szCs w:val="24"/>
              <w:u w:val="single"/>
              <w:lang w:val="en-US" w:eastAsia="zh-CN"/>
            </w:rPr>
            <w:t xml:space="preserve">     </w:t>
          </w:r>
          <w:permEnd w:id="57"/>
        </w:sdtContent>
      </w:sdt>
      <w:r>
        <w:rPr>
          <w:rFonts w:hint="eastAsia" w:ascii="宋体" w:hAnsi="宋体" w:eastAsia="宋体" w:cs="宋体"/>
          <w:sz w:val="24"/>
          <w:szCs w:val="24"/>
        </w:rPr>
        <w:t>份，承包人执</w:t>
      </w:r>
      <w:sdt>
        <w:sdtPr>
          <w:rPr>
            <w:rFonts w:hint="eastAsia" w:ascii="宋体" w:hAnsi="宋体" w:eastAsia="宋体" w:cs="宋体"/>
            <w:sz w:val="24"/>
            <w:szCs w:val="24"/>
            <w:u w:val="single"/>
            <w:lang w:val="en-US" w:eastAsia="zh-CN"/>
          </w:rPr>
          <w:alias w:val="建议数字大写，注意各份数相加结果"/>
          <w:tag w:val="乙方所执份数 "/>
          <w:id w:val="84312170"/>
          <w:placeholder>
            <w:docPart w:val="{0ab42b20-37ff-4e2e-adfc-7dc19458732f}"/>
          </w:placeholder>
        </w:sdtPr>
        <w:sdtEndPr>
          <w:rPr>
            <w:rFonts w:hint="eastAsia" w:ascii="宋体" w:hAnsi="宋体" w:eastAsia="宋体" w:cs="宋体"/>
            <w:sz w:val="24"/>
            <w:szCs w:val="24"/>
            <w:u w:val="single"/>
            <w:lang w:val="en-US" w:eastAsia="zh-CN"/>
          </w:rPr>
        </w:sdtEndPr>
        <w:sdtContent>
          <w:permStart w:id="58" w:edGrp="everyone"/>
          <w:r>
            <w:rPr>
              <w:rFonts w:hint="eastAsia" w:ascii="宋体" w:hAnsi="宋体" w:eastAsia="宋体" w:cs="宋体"/>
              <w:sz w:val="24"/>
              <w:szCs w:val="24"/>
              <w:u w:val="single"/>
              <w:lang w:val="en-US" w:eastAsia="zh-CN"/>
            </w:rPr>
            <w:t xml:space="preserve">     </w:t>
          </w:r>
          <w:permEnd w:id="58"/>
        </w:sdtContent>
      </w:sdt>
      <w:r>
        <w:rPr>
          <w:rFonts w:hint="eastAsia" w:ascii="宋体" w:hAnsi="宋体" w:eastAsia="宋体" w:cs="宋体"/>
          <w:sz w:val="24"/>
          <w:szCs w:val="24"/>
        </w:rPr>
        <w:t>份。</w:t>
      </w:r>
    </w:p>
    <w:p w14:paraId="2B90C9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本合同由双方法定代表人或</w:t>
      </w:r>
      <w:r>
        <w:rPr>
          <w:rFonts w:hint="eastAsia" w:ascii="宋体" w:hAnsi="宋体" w:cs="宋体"/>
          <w:sz w:val="24"/>
          <w:szCs w:val="24"/>
          <w:lang w:val="en-US" w:eastAsia="zh-CN"/>
        </w:rPr>
        <w:t>授权代表</w:t>
      </w:r>
      <w:r>
        <w:rPr>
          <w:rFonts w:hint="eastAsia" w:ascii="宋体" w:hAnsi="宋体" w:eastAsia="宋体" w:cs="宋体"/>
          <w:sz w:val="24"/>
          <w:szCs w:val="24"/>
        </w:rPr>
        <w:t>签字、盖章后生效。</w:t>
      </w:r>
    </w:p>
    <w:p w14:paraId="0B0AEC78">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 承诺</w:t>
      </w:r>
    </w:p>
    <w:p w14:paraId="11A3CE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发包人承诺按照法律规定履行项目审批手续，按照合同约定提供施工条件，并按合同约定的期限和方式支付合同价款。</w:t>
      </w:r>
    </w:p>
    <w:p w14:paraId="5B972D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承包人承诺按照法律规定及合同约定组织完成工程施工，确保工程质量和安全，</w:t>
      </w:r>
      <w:r>
        <w:rPr>
          <w:rFonts w:hint="eastAsia" w:ascii="宋体" w:hAnsi="宋体" w:eastAsia="宋体" w:cs="宋体"/>
          <w:kern w:val="0"/>
          <w:sz w:val="24"/>
          <w:szCs w:val="24"/>
        </w:rPr>
        <w:t>不进行违法转包及违法分包和挂靠</w:t>
      </w:r>
      <w:r>
        <w:rPr>
          <w:rFonts w:hint="eastAsia" w:ascii="宋体" w:hAnsi="宋体" w:eastAsia="宋体" w:cs="宋体"/>
          <w:sz w:val="24"/>
          <w:szCs w:val="24"/>
        </w:rPr>
        <w:t>，并在缺陷责任期及保修期内承担相应的工程维修责任。</w:t>
      </w:r>
    </w:p>
    <w:p w14:paraId="36A780F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承包人已仔细阅读合同中列明的中国南方电网有限公司基建管理各项管理规定，在项目执行期间自愿服从并严格遵守合同中各项管理规定的要求。在项目执行期间如若违反相关管理规定，承包人自愿接受发包人相关的处罚（如通报批评、承包人考核扣分、停止投标资格以及依照合同额相关比例进行扣罚）。</w:t>
      </w:r>
    </w:p>
    <w:p w14:paraId="4109A5A6">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 补充协议</w:t>
      </w:r>
    </w:p>
    <w:p w14:paraId="64C218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合同未尽事宜，双方另行签订补充协议（含工程洽商记录、会议纪要、工程变更、现场签证、索赔和合同价款调整报告等修正文件），补充协议是合同的组成部分。</w:t>
      </w:r>
    </w:p>
    <w:p w14:paraId="4FCEE6B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发包人和承包人的法定代表人或委托代理人在上述的日期签字并加盖公章，并将依法执行本合同。</w:t>
      </w:r>
    </w:p>
    <w:p w14:paraId="79933A61">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eastAsia="宋体" w:cs="宋体"/>
          <w:sz w:val="24"/>
          <w:szCs w:val="24"/>
        </w:rPr>
        <w:br w:type="page"/>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281391326"/>
          <w:placeholder>
            <w:docPart w:val="{4be50d74-4e22-4e46-a715-b4796f5c7ce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59" w:edGrp="everyone"/>
          <w:r>
            <w:rPr>
              <w:rFonts w:hint="eastAsia" w:cstheme="minorBidi"/>
              <w:kern w:val="2"/>
              <w:sz w:val="28"/>
              <w:szCs w:val="36"/>
              <w:u w:val="single"/>
              <w:lang w:val="en-US" w:eastAsia="zh-CN" w:bidi="ar-SA"/>
            </w:rPr>
            <w:t xml:space="preserve">           </w:t>
          </w:r>
          <w:permEnd w:id="59"/>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378003966"/>
          <w:placeholder>
            <w:docPart w:val="{92ab2c52-acc8-4791-9ba2-3a069dbee474}"/>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14:paraId="33166893">
      <w:pPr>
        <w:keepNext w:val="0"/>
        <w:keepLines w:val="0"/>
        <w:pageBreakBefore w:val="0"/>
        <w:widowControl/>
        <w:kinsoku/>
        <w:wordWrap/>
        <w:overflowPunct/>
        <w:topLinePunct w:val="0"/>
        <w:bidi w:val="0"/>
        <w:adjustRightInd/>
        <w:snapToGrid/>
        <w:spacing w:line="540" w:lineRule="exact"/>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43EC4A14">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1C77AD24">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c56f650b-ac93-47b9-96a5-27a22ba75fbe}"/>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0" w:edGrp="everyone"/>
          <w:r>
            <w:rPr>
              <w:rFonts w:hint="eastAsia" w:asciiTheme="minorEastAsia" w:hAnsiTheme="minorEastAsia" w:eastAsiaTheme="minorEastAsia" w:cstheme="minorEastAsia"/>
              <w:color w:val="auto"/>
              <w:sz w:val="28"/>
              <w:szCs w:val="28"/>
              <w:u w:val="single"/>
              <w:lang w:val="en-US" w:eastAsia="zh-CN"/>
            </w:rPr>
            <w:t xml:space="preserve">      </w:t>
          </w:r>
          <w:permEnd w:id="60"/>
        </w:sdtContent>
      </w:sdt>
    </w:p>
    <w:p w14:paraId="484735B9">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511DCF5C">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5C6581D4">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14:paraId="29E9373D">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14:paraId="03595B63">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14:paraId="4DF5BBF2">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1837541e-bf7e-47e2-97cf-8196e9121433}"/>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1" w:edGrp="everyone"/>
          <w:r>
            <w:rPr>
              <w:rFonts w:hint="eastAsia" w:asciiTheme="minorEastAsia" w:hAnsiTheme="minorEastAsia" w:eastAsiaTheme="minorEastAsia" w:cstheme="minorEastAsia"/>
              <w:color w:val="auto"/>
              <w:sz w:val="28"/>
              <w:szCs w:val="28"/>
              <w:u w:val="single"/>
              <w:lang w:val="en-US" w:eastAsia="zh-CN"/>
            </w:rPr>
            <w:t xml:space="preserve">      </w:t>
          </w:r>
          <w:permEnd w:id="61"/>
        </w:sdtContent>
      </w:sdt>
    </w:p>
    <w:p w14:paraId="56C18EB7">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09026908">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4FECB6EB">
      <w:pPr>
        <w:pageBreakBefore w:val="0"/>
        <w:widowControl w:val="0"/>
        <w:kinsoku/>
        <w:wordWrap/>
        <w:overflowPunct/>
        <w:topLinePunct w:val="0"/>
        <w:bidi w:val="0"/>
        <w:adjustRightInd/>
        <w:snapToGrid/>
        <w:spacing w:line="540" w:lineRule="exact"/>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p w14:paraId="3E0883F9">
      <w:pPr>
        <w:pageBreakBefore w:val="0"/>
        <w:widowControl w:val="0"/>
        <w:kinsoku/>
        <w:wordWrap/>
        <w:overflowPunct/>
        <w:topLinePunct w:val="0"/>
        <w:bidi w:val="0"/>
        <w:adjustRightInd/>
        <w:snapToGrid/>
        <w:spacing w:line="540" w:lineRule="exact"/>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14:paraId="73B8B619">
      <w:pPr>
        <w:tabs>
          <w:tab w:val="left" w:pos="7948"/>
        </w:tabs>
        <w:kinsoku/>
        <w:wordWrap/>
        <w:overflowPunct/>
        <w:topLinePunct w:val="0"/>
        <w:bidi w:val="0"/>
        <w:spacing w:line="540" w:lineRule="exact"/>
        <w:rPr>
          <w:rFonts w:hint="eastAsia" w:ascii="宋体" w:hAnsi="宋体" w:eastAsia="宋体" w:cs="宋体"/>
          <w:kern w:val="2"/>
          <w:sz w:val="24"/>
          <w:szCs w:val="24"/>
          <w:lang w:val="en-US" w:eastAsia="zh-CN" w:bidi="ar-SA"/>
        </w:rPr>
        <w:sectPr>
          <w:headerReference r:id="rId4" w:type="first"/>
          <w:footerReference r:id="rId7" w:type="first"/>
          <w:headerReference r:id="rId3" w:type="default"/>
          <w:footerReference r:id="rId5" w:type="default"/>
          <w:footerReference r:id="rId6" w:type="even"/>
          <w:pgSz w:w="11906" w:h="16838"/>
          <w:pgMar w:top="1418" w:right="1418" w:bottom="1418" w:left="1418" w:header="964" w:footer="992" w:gutter="0"/>
          <w:pgNumType w:fmt="decimal"/>
          <w:cols w:space="720" w:num="1"/>
          <w:docGrid w:type="lines" w:linePitch="312" w:charSpace="0"/>
        </w:sectPr>
      </w:pPr>
      <w:r>
        <w:rPr>
          <w:rFonts w:hint="eastAsia" w:ascii="宋体" w:hAnsi="宋体" w:eastAsia="宋体" w:cs="宋体"/>
          <w:kern w:val="2"/>
          <w:sz w:val="24"/>
          <w:szCs w:val="24"/>
          <w:lang w:val="en-US" w:eastAsia="zh-CN" w:bidi="ar-SA"/>
        </w:rPr>
        <w:tab/>
      </w:r>
    </w:p>
    <w:p w14:paraId="5E009DED">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bookmarkStart w:id="2" w:name="_Toc296719072"/>
      <w:bookmarkStart w:id="3" w:name="_Toc20644921"/>
      <w:r>
        <w:rPr>
          <w:rFonts w:hint="eastAsia" w:ascii="宋体" w:hAnsi="宋体" w:eastAsia="宋体" w:cs="宋体"/>
          <w:sz w:val="24"/>
          <w:szCs w:val="24"/>
        </w:rPr>
        <w:t>第二节 通用合同条款</w:t>
      </w:r>
      <w:bookmarkEnd w:id="2"/>
      <w:bookmarkEnd w:id="3"/>
    </w:p>
    <w:p w14:paraId="0349727D">
      <w:pPr>
        <w:kinsoku/>
        <w:wordWrap/>
        <w:overflowPunct/>
        <w:topLinePunct w:val="0"/>
        <w:bidi w:val="0"/>
        <w:spacing w:line="540" w:lineRule="exact"/>
        <w:jc w:val="center"/>
        <w:rPr>
          <w:rFonts w:hint="eastAsia" w:ascii="宋体" w:hAnsi="宋体" w:eastAsia="宋体" w:cs="宋体"/>
          <w:sz w:val="24"/>
          <w:szCs w:val="24"/>
        </w:rPr>
      </w:pPr>
    </w:p>
    <w:p w14:paraId="6F63999F">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 一般约定</w:t>
      </w:r>
    </w:p>
    <w:p w14:paraId="4CE4E22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 定义</w:t>
      </w:r>
    </w:p>
    <w:p w14:paraId="12A4BE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在合同条件（“本条件”），包括专用条件和通用条件中，下列词语和措辞应具有以下所述的含义.除上下文另有要求外，文中人员或当事各方等词语包括公司和其他合法实体。</w:t>
      </w:r>
    </w:p>
    <w:p w14:paraId="74D8518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14:paraId="51B43A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1.1.1.1“合同”指合同协议书、中标通知书、投标函、本合同条件、规范、图纸、资料表以及在合同协议书或中标通知书中列明的其它进一步的文件(如有时)。</w:t>
      </w:r>
    </w:p>
    <w:p w14:paraId="09F7D4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1.1.1.2“合同协议书”指第1.6款【合同协议】中所说明的合同协议(如有时)。</w:t>
      </w:r>
    </w:p>
    <w:p w14:paraId="1503F0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1.1.1.3“中标通知书”指发包人对投标文件签署的正式接受函，包括其后所附的备忘录(由合同各方达成并</w:t>
      </w:r>
      <w:r>
        <w:rPr>
          <w:rFonts w:hint="eastAsia" w:ascii="宋体" w:hAnsi="宋体" w:eastAsia="宋体" w:cs="宋体"/>
          <w:sz w:val="24"/>
          <w:szCs w:val="24"/>
          <w:lang w:val="en-US" w:eastAsia="zh-CN"/>
        </w:rPr>
        <w:t>签订</w:t>
      </w:r>
      <w:r>
        <w:rPr>
          <w:rFonts w:hint="eastAsia" w:ascii="宋体" w:hAnsi="宋体" w:eastAsia="宋体" w:cs="宋体"/>
          <w:sz w:val="24"/>
          <w:szCs w:val="24"/>
        </w:rPr>
        <w:t>的协议构成)。在没有此中标通知书的情况下，“中标通知书”一词就指合同协议书，颁发或接收中标通知书的日期就指双方签订合同协议书的日期。</w:t>
      </w:r>
    </w:p>
    <w:p w14:paraId="4F5423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1.1.1.4“投标函”指名称为投标函的文件，由承包人填写，包括已签字的对发包人的工程报价。</w:t>
      </w:r>
    </w:p>
    <w:p w14:paraId="709C5D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1.1.1.5“规范”指合同中名称为规范的文件，及根据合同规定对规范的增加和修改。此文件具体描述了工程。</w:t>
      </w:r>
    </w:p>
    <w:p w14:paraId="5FDE6D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1.1.1.6“图纸”指合同中规定的工程图纸，及由发包人(或代表)根据合同颁发的对图纸的增加和修改。</w:t>
      </w:r>
    </w:p>
    <w:p w14:paraId="37B99A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1.1.1.7“资料表”指合同中名称为资料表的文件，由承包人填写并随投标函提交。此文件可能包括工程量表、数据、列表、及费率和/或单价表。</w:t>
      </w:r>
    </w:p>
    <w:p w14:paraId="2D95CED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1.1.1.8“投标文件”指投标函和合同中规定的承包人应随投标函提交的其它所有文件。</w:t>
      </w:r>
    </w:p>
    <w:p w14:paraId="76433B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1.1.1.9“投标函附录”指名称为投标函附录并已填写完毕的文件，附于投标函之后并构成投标函的一部分。</w:t>
      </w:r>
    </w:p>
    <w:p w14:paraId="28EB81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1.1.1.10 “工程量表”和“计日工计划”指资料表中如此命名的文件(如有时)。</w:t>
      </w:r>
    </w:p>
    <w:p w14:paraId="691004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14:paraId="085DD00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1.1.2.1“一方”指发包人或承包人(根据上下文而定)。</w:t>
      </w:r>
    </w:p>
    <w:p w14:paraId="14D5A64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1.1.2.2“发包人”指在投标函附录中指定为发包人的当事人或此当事人的合法继承人。</w:t>
      </w:r>
    </w:p>
    <w:p w14:paraId="26CA14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1.1.2.3“承包人”指在发包人收到的投标函中指明为承包人的当事人(一个或多个)及其合法继承人。</w:t>
      </w:r>
    </w:p>
    <w:p w14:paraId="6A3E002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1.1.2.4“工程师”指本合同中提供监理及相关服务的一方，在专用合同条款中指明的，受发包人委托按照法律规定进行工程监督管理的当事人及其合法的继承人。</w:t>
      </w:r>
    </w:p>
    <w:p w14:paraId="35DF52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1.1.2.5“承包人项目经理”指承包人在合同中指定的或由承包人按照第4.3款【承包人项目经理】随时指定的代表承包人的人员。</w:t>
      </w:r>
    </w:p>
    <w:p w14:paraId="3C1244D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1.1.2.6“发包人的人员”指工程师，第3.2款【工程师的授权】中所指的工程师助理以及所有其他职员、劳工和工程师或发包人的其他雇员；以及所有其他由发包人或工程师作为发包人的人员通知给承包人的人员。</w:t>
      </w:r>
    </w:p>
    <w:p w14:paraId="1C7F07A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1.1.2.7“承包人的人员”指承包人项目经理和所有承包人在现场使用的人员，包括职员、劳工和承包人及各分包商的其他雇员；以及其他所有帮助承包人实施工程的人员。</w:t>
      </w:r>
    </w:p>
    <w:p w14:paraId="2B3912A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1.1.2.8“分包商”指合同中指明为分包商的所有人员，或为部分工程指定为分包商的人员；及所有上述人员的合法继承人。</w:t>
      </w:r>
    </w:p>
    <w:p w14:paraId="27C514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1.1.2.9“争端裁决委员会”指合同中如此命名的一个或三个当事人，或按照第20.2款【争端裁决委员会的委任】或按照第20.3款【未能同意争端裁决委员会的委任】指定的其他人员(一个或多个)。</w:t>
      </w:r>
    </w:p>
    <w:p w14:paraId="4D26E6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1.1.2.10 “FIDIC”指国际咨询工程师联合会。</w:t>
      </w:r>
    </w:p>
    <w:p w14:paraId="019B21F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 日期、检验、期限和完成</w:t>
      </w:r>
    </w:p>
    <w:p w14:paraId="25D8E2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1.1.3.1“基准日期”指提交投标文件截止日前28天的当日。</w:t>
      </w:r>
    </w:p>
    <w:p w14:paraId="11513F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1.1.3.2“开工日期”指按照第8.1款【工程的开工】通知的日期。</w:t>
      </w:r>
    </w:p>
    <w:p w14:paraId="1171AF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1.1.3.3“竣工时间”指在投标函附录中说明的</w:t>
      </w:r>
      <w:r>
        <w:rPr>
          <w:rFonts w:hint="eastAsia" w:ascii="宋体" w:hAnsi="宋体" w:eastAsia="宋体" w:cs="宋体"/>
          <w:sz w:val="24"/>
          <w:szCs w:val="24"/>
          <w:lang w:eastAsia="zh-CN"/>
        </w:rPr>
        <w:t>，</w:t>
      </w:r>
      <w:r>
        <w:rPr>
          <w:rFonts w:hint="eastAsia" w:ascii="宋体" w:hAnsi="宋体" w:eastAsia="宋体" w:cs="宋体"/>
          <w:sz w:val="24"/>
          <w:szCs w:val="24"/>
        </w:rPr>
        <w:t>按照第8.2款【竣工时间】的规定，由开工日期算起到工程或某一区段(视情况而定)完工的日期(包括按照第8.4款【竣工时间的延长】决定的任何延期)。</w:t>
      </w:r>
    </w:p>
    <w:p w14:paraId="19BAC0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1.1.3.4“竣工检验”指在发包人接收工程或某区段(视情况而定)前按照第9款【竣工检验】进行的检验，此检验可在合同中说明或由双方协商决定或以变更的形式被指示进行。</w:t>
      </w:r>
    </w:p>
    <w:p w14:paraId="3109518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1.1.3.5“接收证书”指按照第10条【发包人的接收】颁发的证书。</w:t>
      </w:r>
    </w:p>
    <w:p w14:paraId="1032840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1.1.3.6“竣工后的检验”指合同中规定的，在发包人接收了工程或某区段(视情况而定)后，按照特殊应用条款的规定进行的检验(如有时)。</w:t>
      </w:r>
    </w:p>
    <w:p w14:paraId="0AEDE2E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1.1.3.7“缺陷责任期”指根据投标函附录中的规定，从工程或区段按照第10.1款【工程或区段的接收】被证明完工的日期算起，到按照第11.1款【完成扫尾工作和修补缺陷】通知工程或该区段(视情况而定)中的缺陷的期限(包括按照第11.3款【缺陷责任期的延长】决定的任何延期)。</w:t>
      </w:r>
    </w:p>
    <w:p w14:paraId="25A7A81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1.1.3.8“履约证书”指按照第11.9款【履约证书】颁发的证书。</w:t>
      </w:r>
    </w:p>
    <w:p w14:paraId="086779B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1.1.3.9“日”指一个公历日，而“年”指365天。</w:t>
      </w:r>
    </w:p>
    <w:p w14:paraId="3E37FF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 款项与支付</w:t>
      </w:r>
    </w:p>
    <w:p w14:paraId="0455F91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1.1.4.1“接受的合同款额”指发包人在中标通知书中对实施、完成和修补工程所接受的金额。</w:t>
      </w:r>
    </w:p>
    <w:p w14:paraId="6D582C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1.1.4.2“合同价格”指第14.1款【合同价格】中定义的价格，包括根据合同所做的调整。</w:t>
      </w:r>
    </w:p>
    <w:p w14:paraId="485ADCB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1.1.4.3“费用”指承包人在现场内或现场外正当发生(或将要发生)的所有开支，包括管理费和类似支出，但不包括利润。</w:t>
      </w:r>
    </w:p>
    <w:p w14:paraId="5ED646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1.1.4.4“最终支付证书”指按照第14.13款【最终支付证书的颁发】颁发的支付证书。</w:t>
      </w:r>
    </w:p>
    <w:p w14:paraId="4A0882D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1.1.4.5“最终报表”指第14.11款【最终支付证书的申请】中定义的报表。</w:t>
      </w:r>
    </w:p>
    <w:p w14:paraId="4DB2A1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1.1.4.6“外币”指可用来支付部分(或全部)合同价格的某种货币，但不指当地货币。</w:t>
      </w:r>
    </w:p>
    <w:p w14:paraId="202EE1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1.1.4.7“期中支付证书”指根据第14条【合同价格和支付】颁发的付款证书，但不包括最终支付证书。</w:t>
      </w:r>
    </w:p>
    <w:p w14:paraId="1C9A40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1.1.4.8“当地币”指工程所在国的货币。</w:t>
      </w:r>
    </w:p>
    <w:p w14:paraId="14BB9A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1.1.4.9“支付证书”指按照第14条【合同价格和支付】颁发的支付证书。</w:t>
      </w:r>
    </w:p>
    <w:p w14:paraId="5BF8C0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1.1.4.10 “暂定金额”指合同中指明为暂定金额的一笔金额(如有时)，用于按照第13.5款【暂定金额】实施工程的任何部分或提供永久设备、材料和服务的一笔金额(如有时)。</w:t>
      </w:r>
    </w:p>
    <w:p w14:paraId="0F641C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1.1.4.11 “质量保证金”指发包人按照第14.3款【期中支付证书的申请】扣留并按第14.9款【质量保证金的支付】支付的累计的质量保证金。</w:t>
      </w:r>
    </w:p>
    <w:p w14:paraId="71ACB1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1.1.4.12 “报表”指承包人按照第14条【合同价格和支付】申请支付证书时作为申请一部分而提交的报表。</w:t>
      </w:r>
    </w:p>
    <w:p w14:paraId="5A21485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 工程和货物</w:t>
      </w:r>
    </w:p>
    <w:p w14:paraId="7778DBA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1.1.5.1“承包人的设备”指用于实施和完成工程以及修补缺陷所需要的全部机械、仪器、车辆和其它设备。其中不包括临时工程、发包人的设备(如有时)、永久设备、材料和所有其它将构成或构成永久工程一部分的任何物品。</w:t>
      </w:r>
    </w:p>
    <w:p w14:paraId="7F4729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1.1.5.2“货物”指承包人的设备、材料、永久设备和临时工程，或视情况指其中之一。</w:t>
      </w:r>
    </w:p>
    <w:p w14:paraId="1C1D5D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1.1.5.3“材料”指将构成或构成部分永久工程的各类物品(永久设备除外)，包括由承包人按照合同仅负责供应的材料(如有时)。</w:t>
      </w:r>
    </w:p>
    <w:p w14:paraId="144E181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1.1.5.4“永久工程”指将由承包人按照合同实施的永久工程。</w:t>
      </w:r>
    </w:p>
    <w:p w14:paraId="585C23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1.1.5.5“永久设备”指将构成或构成部分永久工程的机械、仪器和车辆。</w:t>
      </w:r>
    </w:p>
    <w:p w14:paraId="542C162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1.1.5.6“区段”指投标函附录中指明为区段的部分工程(如有时)。</w:t>
      </w:r>
    </w:p>
    <w:p w14:paraId="1369D0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1.1.5.7“临时工程”指为了实施和完成永久工程以及修补任何缺陷在现场上所需的各种类型的临时工程(承包人的设备除外)。</w:t>
      </w:r>
    </w:p>
    <w:p w14:paraId="3B9FFC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1.1.5.8“工程”指永久工程和临时工程，或视情况指其中之一。</w:t>
      </w:r>
    </w:p>
    <w:p w14:paraId="2BC2B1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1.1.5.9 施工场地（或称工地、现场）：指用于合同工程施工的场所，以及在合同中指定作为施工场地组成部分的其他场所，包括永久占地和临时占地。</w:t>
      </w:r>
    </w:p>
    <w:p w14:paraId="44AB356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 其它定义</w:t>
      </w:r>
    </w:p>
    <w:p w14:paraId="59379C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1.1.6.1“承包人的文件”指由承包人按照合同规定提交的计算书、计算机程序及其它软件、图纸、手册、模型和其它技术性文件(如有时)。</w:t>
      </w:r>
    </w:p>
    <w:p w14:paraId="1A8059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1.1.6.2“工程所在国”指现场(或大部分现场)所在的国家，永久工程将在此实施。</w:t>
      </w:r>
    </w:p>
    <w:p w14:paraId="5BB23F9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1.1.6.3“发包人的设备”指规范中说明的，在实施工程的过程中，发包人提供给承包人使用的机械、仪器和车辆(如有时)；但不包括尚未被发包人接收的永久设备。</w:t>
      </w:r>
    </w:p>
    <w:p w14:paraId="184E3B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1.1.6.4“不可抗力”如第19条【不可抗力】中所定义。</w:t>
      </w:r>
    </w:p>
    <w:p w14:paraId="28B3A5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1.1.6.5“法律”指所有国家(或州)的立法、法令、法规和其它法律、任何合法设立的政府机构的规章和章程。</w:t>
      </w:r>
    </w:p>
    <w:p w14:paraId="7CA5DA1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1.1.6.6“履约保证”指第4.2款【履约保证】中的保证(可能有多份)。</w:t>
      </w:r>
    </w:p>
    <w:p w14:paraId="3A4C183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1.1.6.7“现场”指永久工程将要实施且永久设备和材料将运达的地点，及其它合同中规定为现场一部分的地点。</w:t>
      </w:r>
    </w:p>
    <w:p w14:paraId="422692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1.1.6.8“不可预见”指一个有经验的承包人在提交投标文件那天还不能合理预见的。</w:t>
      </w:r>
    </w:p>
    <w:p w14:paraId="1D44EB8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1.1.6.9“变更”指按照第13条【变更和调整】被指示或批准作为变更的对工程的任何变动。</w:t>
      </w:r>
    </w:p>
    <w:p w14:paraId="7BF0235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 </w:t>
      </w:r>
      <w:r>
        <w:rPr>
          <w:rFonts w:hint="eastAsia" w:ascii="宋体" w:hAnsi="宋体" w:eastAsia="宋体" w:cs="宋体"/>
          <w:sz w:val="24"/>
          <w:szCs w:val="24"/>
        </w:rPr>
        <w:tab/>
      </w:r>
      <w:r>
        <w:rPr>
          <w:rFonts w:hint="eastAsia" w:ascii="宋体" w:hAnsi="宋体" w:eastAsia="宋体" w:cs="宋体"/>
          <w:sz w:val="24"/>
          <w:szCs w:val="24"/>
        </w:rPr>
        <w:t>解释</w:t>
      </w:r>
    </w:p>
    <w:p w14:paraId="4D8D777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在合同中，除非文中另有规定，否则：</w:t>
      </w:r>
    </w:p>
    <w:p w14:paraId="10B621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表示阳性、阴性或中性的词包括所有的性别；</w:t>
      </w:r>
    </w:p>
    <w:p w14:paraId="486E498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单数形式的词亦包括复数含义，复数形式的词亦包括单数含义；</w:t>
      </w:r>
    </w:p>
    <w:p w14:paraId="43792D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（c）包括“同意</w:t>
      </w:r>
      <w:r>
        <w:rPr>
          <w:rFonts w:hint="eastAsia" w:ascii="宋体" w:hAnsi="宋体" w:eastAsia="宋体" w:cs="宋体"/>
          <w:sz w:val="24"/>
          <w:szCs w:val="24"/>
          <w:lang w:eastAsia="zh-CN"/>
        </w:rPr>
        <w:t>”“</w:t>
      </w:r>
      <w:r>
        <w:rPr>
          <w:rFonts w:hint="eastAsia" w:ascii="宋体" w:hAnsi="宋体" w:eastAsia="宋体" w:cs="宋体"/>
          <w:sz w:val="24"/>
          <w:szCs w:val="24"/>
        </w:rPr>
        <w:t>批准”或“协议”这些字眼的规定，要求将涉及的协议书面记录下来，且</w:t>
      </w:r>
    </w:p>
    <w:p w14:paraId="6BBFFF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“书面的”或“书面地”指手写、打字、印刷或运用电子技术</w:t>
      </w:r>
      <w:r>
        <w:rPr>
          <w:rFonts w:hint="eastAsia" w:ascii="宋体" w:hAnsi="宋体" w:cs="宋体"/>
          <w:sz w:val="24"/>
          <w:szCs w:val="24"/>
          <w:lang w:eastAsia="zh-CN"/>
        </w:rPr>
        <w:t>制作</w:t>
      </w:r>
      <w:r>
        <w:rPr>
          <w:rFonts w:hint="eastAsia" w:ascii="宋体" w:hAnsi="宋体" w:eastAsia="宋体" w:cs="宋体"/>
          <w:sz w:val="24"/>
          <w:szCs w:val="24"/>
        </w:rPr>
        <w:t>，并形成了永久性的记录。</w:t>
      </w:r>
    </w:p>
    <w:p w14:paraId="1302C6E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解释本合同条件时，不应考虑旁注和其它标题。</w:t>
      </w:r>
    </w:p>
    <w:p w14:paraId="1EBC874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 </w:t>
      </w:r>
      <w:r>
        <w:rPr>
          <w:rFonts w:hint="eastAsia" w:ascii="宋体" w:hAnsi="宋体" w:eastAsia="宋体" w:cs="宋体"/>
          <w:sz w:val="24"/>
          <w:szCs w:val="24"/>
        </w:rPr>
        <w:tab/>
      </w:r>
      <w:r>
        <w:rPr>
          <w:rFonts w:hint="eastAsia" w:ascii="宋体" w:hAnsi="宋体" w:eastAsia="宋体" w:cs="宋体"/>
          <w:sz w:val="24"/>
          <w:szCs w:val="24"/>
        </w:rPr>
        <w:t>通讯联络</w:t>
      </w:r>
    </w:p>
    <w:p w14:paraId="672995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在合同条件中，无论何处述及发出或颁发批准、证书、同意、决定、通知和要求，这些通讯联络均应：</w:t>
      </w:r>
    </w:p>
    <w:p w14:paraId="488724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为书面的，且应派人面交并取得收据，或者邮寄，或由信使送达，或按投标函附录中所列通过经同意的电子传输系统传输；且</w:t>
      </w:r>
    </w:p>
    <w:p w14:paraId="4CAA640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（b）递交、邮寄或传输到投标函附录中规定的收件人地址。但是：</w:t>
      </w:r>
    </w:p>
    <w:p w14:paraId="6B5A5D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如果收件人发出了更改地址的通知，其后的信件应投送到相应的地址；且</w:t>
      </w:r>
    </w:p>
    <w:p w14:paraId="1F333F6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（ii）如果收件人在要求批准或同意时没有另</w:t>
      </w:r>
      <w:r>
        <w:rPr>
          <w:rFonts w:hint="eastAsia" w:ascii="宋体" w:hAnsi="宋体" w:eastAsia="宋体" w:cs="宋体"/>
          <w:sz w:val="24"/>
          <w:szCs w:val="24"/>
          <w:lang w:eastAsia="zh-CN"/>
        </w:rPr>
        <w:t>作说明</w:t>
      </w:r>
      <w:r>
        <w:rPr>
          <w:rFonts w:hint="eastAsia" w:ascii="宋体" w:hAnsi="宋体" w:eastAsia="宋体" w:cs="宋体"/>
          <w:sz w:val="24"/>
          <w:szCs w:val="24"/>
        </w:rPr>
        <w:t>，此批准或同意可送达发出要求的地址。</w:t>
      </w:r>
    </w:p>
    <w:p w14:paraId="372950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批准、证书、同意及决定不得被无理</w:t>
      </w:r>
      <w:r>
        <w:rPr>
          <w:rFonts w:hint="eastAsia" w:ascii="宋体" w:hAnsi="宋体" w:eastAsia="宋体" w:cs="宋体"/>
          <w:sz w:val="24"/>
          <w:szCs w:val="24"/>
          <w:lang w:eastAsia="zh-CN"/>
        </w:rPr>
        <w:t>扣押</w:t>
      </w:r>
      <w:r>
        <w:rPr>
          <w:rFonts w:hint="eastAsia" w:ascii="宋体" w:hAnsi="宋体" w:eastAsia="宋体" w:cs="宋体"/>
          <w:sz w:val="24"/>
          <w:szCs w:val="24"/>
        </w:rPr>
        <w:t>或拖延。向一方颁发证书时，颁发者应向另一方送交一份复印件。当另一方或工程师向一方发出通知时，应向工程师或另一方送交一份复印件(视情况而定)。</w:t>
      </w:r>
    </w:p>
    <w:p w14:paraId="6ACF3E1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 </w:t>
      </w:r>
      <w:r>
        <w:rPr>
          <w:rFonts w:hint="eastAsia" w:ascii="宋体" w:hAnsi="宋体" w:eastAsia="宋体" w:cs="宋体"/>
          <w:sz w:val="24"/>
          <w:szCs w:val="24"/>
        </w:rPr>
        <w:tab/>
      </w:r>
      <w:r>
        <w:rPr>
          <w:rFonts w:hint="eastAsia" w:ascii="宋体" w:hAnsi="宋体" w:eastAsia="宋体" w:cs="宋体"/>
          <w:sz w:val="24"/>
          <w:szCs w:val="24"/>
        </w:rPr>
        <w:t>法律和语言</w:t>
      </w:r>
    </w:p>
    <w:p w14:paraId="1FE452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合同应受投标函附录中规定的国家(或其它管辖区域)的法律的制约。</w:t>
      </w:r>
    </w:p>
    <w:p w14:paraId="7356C5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如果合同的任何部分使用一种以上语言编写，从而构成了不同的版本，则以投标函附录中规定的主导语言编写的版本优先。</w:t>
      </w:r>
    </w:p>
    <w:p w14:paraId="2C5DC6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往来信函应使用投标函附录中规定的语言。如果投标函附录中没有规定，则往来信函应使用编写合同(或大部分合同)的语言。</w:t>
      </w:r>
    </w:p>
    <w:p w14:paraId="2A31C41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 </w:t>
      </w:r>
      <w:r>
        <w:rPr>
          <w:rFonts w:hint="eastAsia" w:ascii="宋体" w:hAnsi="宋体" w:eastAsia="宋体" w:cs="宋体"/>
          <w:sz w:val="24"/>
          <w:szCs w:val="24"/>
        </w:rPr>
        <w:tab/>
      </w:r>
      <w:r>
        <w:rPr>
          <w:rFonts w:hint="eastAsia" w:ascii="宋体" w:hAnsi="宋体" w:eastAsia="宋体" w:cs="宋体"/>
          <w:sz w:val="24"/>
          <w:szCs w:val="24"/>
        </w:rPr>
        <w:t>文件的优先次序</w:t>
      </w:r>
    </w:p>
    <w:p w14:paraId="4C94A4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构成合同的各个文件应被视作互为说明的。为解释之目的，各文件的优先次序如下：</w:t>
      </w:r>
    </w:p>
    <w:p w14:paraId="08F1989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（1）合同协议书；</w:t>
      </w:r>
    </w:p>
    <w:p w14:paraId="6F1A9F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6BEA23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14:paraId="57D628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（4）本通用合同条款；</w:t>
      </w:r>
    </w:p>
    <w:p w14:paraId="549133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14:paraId="69963A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14:paraId="6ED09F2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14:paraId="69D193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14:paraId="091133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14:paraId="2C4E68E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14:paraId="45F58F6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14:paraId="347D516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如果在合同文件中发现任何含混或矛盾之处，工程师应颁发任何必要的澄清或指示。</w:t>
      </w:r>
    </w:p>
    <w:p w14:paraId="78E27AD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 </w:t>
      </w:r>
      <w:r>
        <w:rPr>
          <w:rFonts w:hint="eastAsia" w:ascii="宋体" w:hAnsi="宋体" w:eastAsia="宋体" w:cs="宋体"/>
          <w:sz w:val="24"/>
          <w:szCs w:val="24"/>
        </w:rPr>
        <w:tab/>
      </w:r>
      <w:r>
        <w:rPr>
          <w:rFonts w:hint="eastAsia" w:ascii="宋体" w:hAnsi="宋体" w:eastAsia="宋体" w:cs="宋体"/>
          <w:sz w:val="24"/>
          <w:szCs w:val="24"/>
        </w:rPr>
        <w:t>合同协议书</w:t>
      </w:r>
    </w:p>
    <w:p w14:paraId="384FB6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除非双方另有协议，否则双方应在发包人发出中标通知书后的30天内签订合同协议书。合同协议书应以专用条件后所附的格式为基础。法律规定的与签订合同协议书有关的印花税和其它类似费用(如有时)应由</w:t>
      </w:r>
      <w:r>
        <w:rPr>
          <w:rFonts w:hint="eastAsia" w:ascii="宋体" w:hAnsi="宋体" w:cs="宋体"/>
          <w:sz w:val="24"/>
          <w:szCs w:val="24"/>
          <w:lang w:val="en-US" w:eastAsia="zh-CN"/>
        </w:rPr>
        <w:t>双方按规定各自</w:t>
      </w:r>
      <w:r>
        <w:rPr>
          <w:rFonts w:hint="eastAsia" w:ascii="宋体" w:hAnsi="宋体" w:eastAsia="宋体" w:cs="宋体"/>
          <w:sz w:val="24"/>
          <w:szCs w:val="24"/>
        </w:rPr>
        <w:t>承担。</w:t>
      </w:r>
    </w:p>
    <w:p w14:paraId="7BFEB65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 </w:t>
      </w:r>
      <w:r>
        <w:rPr>
          <w:rFonts w:hint="eastAsia" w:ascii="宋体" w:hAnsi="宋体" w:eastAsia="宋体" w:cs="宋体"/>
          <w:sz w:val="24"/>
          <w:szCs w:val="24"/>
        </w:rPr>
        <w:tab/>
      </w:r>
      <w:r>
        <w:rPr>
          <w:rFonts w:hint="eastAsia" w:ascii="宋体" w:hAnsi="宋体" w:eastAsia="宋体" w:cs="宋体"/>
          <w:sz w:val="24"/>
          <w:szCs w:val="24"/>
        </w:rPr>
        <w:t>转让</w:t>
      </w:r>
    </w:p>
    <w:p w14:paraId="2AC330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任一方都不得转让整个或部分合同或转让根据合同应得的利益或权益。但一方：</w:t>
      </w:r>
    </w:p>
    <w:p w14:paraId="70D95F0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（a）经另一方的事先同意可以转让整个或部分合同，决定权完全在于另一方，及</w:t>
      </w:r>
    </w:p>
    <w:p w14:paraId="0249A7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（b）可将其按照合同对任何到期或将到期的金额所享有的权利，以银行或金融机构作为受益人</w:t>
      </w:r>
      <w:r>
        <w:rPr>
          <w:rFonts w:hint="eastAsia" w:ascii="宋体" w:hAnsi="宋体" w:cs="宋体"/>
          <w:sz w:val="24"/>
          <w:szCs w:val="24"/>
          <w:lang w:val="en-US" w:eastAsia="zh-CN"/>
        </w:rPr>
        <w:t>设定</w:t>
      </w:r>
      <w:r>
        <w:rPr>
          <w:rFonts w:hint="eastAsia" w:ascii="宋体" w:hAnsi="宋体" w:eastAsia="宋体" w:cs="宋体"/>
          <w:sz w:val="24"/>
          <w:szCs w:val="24"/>
        </w:rPr>
        <w:t>抵押。</w:t>
      </w:r>
    </w:p>
    <w:p w14:paraId="6C43D8F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 </w:t>
      </w:r>
      <w:r>
        <w:rPr>
          <w:rFonts w:hint="eastAsia" w:ascii="宋体" w:hAnsi="宋体" w:eastAsia="宋体" w:cs="宋体"/>
          <w:sz w:val="24"/>
          <w:szCs w:val="24"/>
        </w:rPr>
        <w:tab/>
      </w:r>
      <w:r>
        <w:rPr>
          <w:rFonts w:hint="eastAsia" w:ascii="宋体" w:hAnsi="宋体" w:eastAsia="宋体" w:cs="宋体"/>
          <w:sz w:val="24"/>
          <w:szCs w:val="24"/>
        </w:rPr>
        <w:t>文件的保管和提供</w:t>
      </w:r>
    </w:p>
    <w:p w14:paraId="326CEB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规范和图纸应由发包人保护和保管。除非合同另有规定，否则发包人应向承包人提供合同及每份后续图纸的两份复印件，承包人可自行复制或要求发包人为其提供更多的复印件，但费用自理。</w:t>
      </w:r>
    </w:p>
    <w:p w14:paraId="68B3D1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在移交给发包人之前，每份承包人的文件都应由承包人来保护和保管。除非合同另有规定，否则承包人应向工程师提供6份承包人的所有文件的复印件。</w:t>
      </w:r>
    </w:p>
    <w:p w14:paraId="287D6E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承包人应在现场保留一份合同的复印件、规范中列出的所有文件、承包人的文件(如有时)、图纸和变更以及其它按照合同收发的往来信函。发包人的人员有权在任何合理的时间查看和使用所有上述文件。</w:t>
      </w:r>
    </w:p>
    <w:p w14:paraId="50F9C91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如果一方在用于施工的文件中发现了技术性错误或缺陷，应立即向另一方通知此类错误或缺陷。</w:t>
      </w:r>
    </w:p>
    <w:p w14:paraId="1567ADA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 </w:t>
      </w:r>
      <w:r>
        <w:rPr>
          <w:rFonts w:hint="eastAsia" w:ascii="宋体" w:hAnsi="宋体" w:eastAsia="宋体" w:cs="宋体"/>
          <w:sz w:val="24"/>
          <w:szCs w:val="24"/>
        </w:rPr>
        <w:tab/>
      </w:r>
      <w:r>
        <w:rPr>
          <w:rFonts w:hint="eastAsia" w:ascii="宋体" w:hAnsi="宋体" w:eastAsia="宋体" w:cs="宋体"/>
          <w:sz w:val="24"/>
          <w:szCs w:val="24"/>
        </w:rPr>
        <w:t>拖延的图纸或指示</w:t>
      </w:r>
    </w:p>
    <w:p w14:paraId="6CDC2C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因必要的图纸或指示不能在一合理的特定时间内颁发给承包人，从而可能引起工程延误或中断时，承包人应通知工程师。通知中应包括所必需的图纸或指示的详细内容、应颁发的详细理由和时间，以及如果因图纸或指示迟发可能造成的延误或中断的具体性质和程度。</w:t>
      </w:r>
    </w:p>
    <w:p w14:paraId="3088FB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如果因工程师未能在一合理的</w:t>
      </w:r>
      <w:r>
        <w:rPr>
          <w:rFonts w:hint="eastAsia" w:ascii="宋体" w:hAnsi="宋体" w:cs="宋体"/>
          <w:sz w:val="24"/>
          <w:szCs w:val="24"/>
          <w:lang w:eastAsia="zh-CN"/>
        </w:rPr>
        <w:t>，</w:t>
      </w:r>
      <w:r>
        <w:rPr>
          <w:rFonts w:hint="eastAsia" w:ascii="宋体" w:hAnsi="宋体" w:eastAsia="宋体" w:cs="宋体"/>
          <w:sz w:val="24"/>
          <w:szCs w:val="24"/>
        </w:rPr>
        <w:t>且已在(附有详细证据的)通知中说明的时间内颁发承包人在通知中要求的图纸或指示，而导致承包人延误和(/或)招致费用增加时，承包人应向工程师发出进一步的通知，且按照第20.1款【承包人的索赔】有权获得：</w:t>
      </w:r>
    </w:p>
    <w:p w14:paraId="4356AAB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根据第8.4款【竣工时间的延长】对任何此类延误的一段延期，如果竣工被拖延或将被拖延；及</w:t>
      </w:r>
    </w:p>
    <w:p w14:paraId="11F1332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（b）对此费用加上合理利润的支付，此支付应包括在合同价中。</w:t>
      </w:r>
    </w:p>
    <w:p w14:paraId="2A2E087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收到上述进一步的通知后，工程师应按照第3.5款【决定】对这些事项表示批准或作出决定。</w:t>
      </w:r>
    </w:p>
    <w:p w14:paraId="7161862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但是，如果工程师未能及时提供图纸或指示是由承包人的错误或延误(包括递交承包人的文件时的错误和延误)引起的，则承包人无权获得上述延期、费用或利润。</w:t>
      </w:r>
    </w:p>
    <w:p w14:paraId="5989655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1.10 </w:t>
      </w:r>
      <w:r>
        <w:rPr>
          <w:rFonts w:hint="eastAsia" w:ascii="宋体" w:hAnsi="宋体" w:eastAsia="宋体" w:cs="宋体"/>
          <w:sz w:val="24"/>
          <w:szCs w:val="24"/>
        </w:rPr>
        <w:tab/>
      </w:r>
      <w:r>
        <w:rPr>
          <w:rFonts w:hint="eastAsia" w:ascii="宋体" w:hAnsi="宋体" w:eastAsia="宋体" w:cs="宋体"/>
          <w:sz w:val="24"/>
          <w:szCs w:val="24"/>
        </w:rPr>
        <w:t>发包人使用承包人的文件</w:t>
      </w:r>
    </w:p>
    <w:p w14:paraId="79473E3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在合同双方之间，承包人应对承包人的文件和其它由承包人(或承包人授权的人员)编制的设计文件保留版权和其它知识产权。</w:t>
      </w:r>
    </w:p>
    <w:p w14:paraId="5B2AFF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应认为承包人通过签订合同给予了发包人复印、使用及传输(包括修改和使用对其的修改)承包人的文件的免费使用的许可证，此许可证是无限期的、可转让且非专用的。此许可证应：</w:t>
      </w:r>
    </w:p>
    <w:p w14:paraId="5B0304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在工程各有关部分的实际或预期工作期（取较长者）内有效，</w:t>
      </w:r>
    </w:p>
    <w:p w14:paraId="06CE22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使任何合法拥有工程有关部分的当事人为完成、操作、维护、改变、调整、修理和拆除工程之目的，复印、使用、传输承包人的文件，且</w:t>
      </w:r>
    </w:p>
    <w:p w14:paraId="22391A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在承包人的文件采用计算机程序和其它软件形式的情况下，允许其在置于现场及其它合同中许可的地点的计算机(包括由承包人提供的代用计算机)上使用。</w:t>
      </w:r>
    </w:p>
    <w:p w14:paraId="56F2B0B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未经承包人同意，发包人不得因本款规定外的任何目的为第三方复印、使用或传输承包人的文件及其它任何由承包人(或承包人授权的人员)编制的设计文件。</w:t>
      </w:r>
    </w:p>
    <w:p w14:paraId="651BA75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承包人使用发包人的文件</w:t>
      </w:r>
    </w:p>
    <w:p w14:paraId="5A8CFB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发包人应对规范、图纸和其它由发包人(或发包人授权的人员)编制的设计文件保留版权和其它知识产权。承包人可为合同之目的，自费复印、使用及传输上述文件。除非因履行合同而必需，否则不经发包人同意，承包人不得为第三方复印、使用或传输上述文件。</w:t>
      </w:r>
    </w:p>
    <w:p w14:paraId="69D1F99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保密事项</w:t>
      </w:r>
    </w:p>
    <w:p w14:paraId="319C0B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为证实承包人是否遵守合同，他应按照工程师的合理要求透露其要求的保密事项和其它情况。</w:t>
      </w:r>
    </w:p>
    <w:p w14:paraId="71A0587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遵守法律</w:t>
      </w:r>
    </w:p>
    <w:p w14:paraId="04EEC0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除非在专用条件中另有说明，履行合同时，承包人应遵守适用的法律的规定：</w:t>
      </w:r>
    </w:p>
    <w:p w14:paraId="02C022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发包人应已经(或将要)获得永久工程的规划、分区和其它类似许可，及规范中说明已经(或将要)由发包人取得的其它许可；发包人应保障承包人不受其未得到上述许可的后果的侵害；且</w:t>
      </w:r>
    </w:p>
    <w:p w14:paraId="51CD6E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对于法律中要求的与实施、完成工程和修补缺陷有关的各项事宜，应由承包人发出通知、支付税款、关税和费用，并获得所有的许可、许可证和批准；承包人应保障发包人免遭其未做到上述要求的后果的损失。</w:t>
      </w:r>
    </w:p>
    <w:p w14:paraId="601AC30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共同的与各自的责任</w:t>
      </w:r>
    </w:p>
    <w:p w14:paraId="3D7133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如果承包人是由两个或两个以上当事人组成的联营体、联合集团或其它联合团体时：</w:t>
      </w:r>
    </w:p>
    <w:p w14:paraId="3ECA67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应认为上述当事人应向发包人对合同的履行负共同的与各自的责任；</w:t>
      </w:r>
    </w:p>
    <w:p w14:paraId="6DCD50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（b）上述当事人应向发包人通知他们的负责人，此负责人有权管理承包人及其中每位成员；且</w:t>
      </w:r>
    </w:p>
    <w:p w14:paraId="25C9CB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没有发包人的事先同意，承包人不得改变其组成或法律地位。</w:t>
      </w:r>
    </w:p>
    <w:p w14:paraId="6F064287">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14:paraId="5BEE8C6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14:paraId="566F96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投标函附录中注明的时间（或各时间段）内给予承包人进入和占用现场所有部分的权利。此类进入和占用权可不为承包人独享。如果合同要求发包人赋予(承包人)对基础、结构、永久设备或通行手段的占用权，则发包人应在规范注明的时间内按照规范中规定的方式履行该职责。但是在收到履约保证之前，发包人可以不给予任何此类权利或占用。</w:t>
      </w:r>
    </w:p>
    <w:p w14:paraId="2C071E0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如果投标函附录中未注明时间，则发包人应在一合理的时间内给予承包人进入现场和占用现场的权利，此时间应能使承包人可以按照第8.3款【进度计划】提交的进度计划顺利开始施工。</w:t>
      </w:r>
    </w:p>
    <w:p w14:paraId="1CB8D8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如果由于发包人一方未能在规定时间内给予承包人进入现场和占用现场的权利，致使承包人延误了工期和(或)增加了费用，承包人应向工程师发出通知，并依据第20.1款【承包人的索赔】有权：</w:t>
      </w:r>
    </w:p>
    <w:p w14:paraId="6884EC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如果竣工已经或将被延误，根据第8.4款【竣工时间的延长】的规定，对所有此类延误获得延长的工期；以及</w:t>
      </w:r>
    </w:p>
    <w:p w14:paraId="6C03FA7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获得任何有关费用加上合理利润的支付，并将之加入合同价格。</w:t>
      </w:r>
    </w:p>
    <w:p w14:paraId="41C318E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在收到此通知后，工程师应按照第3.5款【决定】对此事作出商定或决定。</w:t>
      </w:r>
    </w:p>
    <w:p w14:paraId="5B01DC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然而，如果发包人的过失（并且在一定程度上）是由于承包人的某些错误或延误造成的，包括承包人的文件中的错误或提交的延误，则承包人无权要求获得此类延长的工期、费用或利润。</w:t>
      </w:r>
    </w:p>
    <w:p w14:paraId="3398120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14:paraId="3C4B6E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发包人应根据承包人的请求，为以下事宜向承包人提供合理的协助（如果他的地位能够做到），以帮助承包人：</w:t>
      </w:r>
    </w:p>
    <w:p w14:paraId="7AF7B0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获得与合同有关的但不易取得的工程所在国的法律的副本;</w:t>
      </w:r>
    </w:p>
    <w:p w14:paraId="042DEBD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申请法律所要求的许可、执照或批准，包括:</w:t>
      </w:r>
    </w:p>
    <w:p w14:paraId="3DA297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依据第1.13款【遵守法律】要求承包人必须获得的，</w:t>
      </w:r>
    </w:p>
    <w:p w14:paraId="186E5C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为了货物的运送，包括清关所需的，以及</w:t>
      </w:r>
    </w:p>
    <w:p w14:paraId="4609DFA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当承包人的设备运离现场而出口时所需的。</w:t>
      </w:r>
    </w:p>
    <w:p w14:paraId="4DB4787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2.3 </w:t>
      </w:r>
      <w:r>
        <w:rPr>
          <w:rFonts w:hint="eastAsia" w:ascii="宋体" w:hAnsi="宋体" w:eastAsia="宋体" w:cs="宋体"/>
          <w:sz w:val="24"/>
          <w:szCs w:val="24"/>
        </w:rPr>
        <w:tab/>
      </w:r>
      <w:r>
        <w:rPr>
          <w:rFonts w:hint="eastAsia" w:ascii="宋体" w:hAnsi="宋体" w:eastAsia="宋体" w:cs="宋体"/>
          <w:sz w:val="24"/>
          <w:szCs w:val="24"/>
        </w:rPr>
        <w:t>发包人的人员</w:t>
      </w:r>
    </w:p>
    <w:p w14:paraId="4336E4A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发包人有责任保证现场的发包人的人员和发包人的其他承包人：</w:t>
      </w:r>
    </w:p>
    <w:p w14:paraId="04C66A6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依照第4.6款【合作】为承包人的工作提供合作，以及</w:t>
      </w:r>
    </w:p>
    <w:p w14:paraId="15E7CC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采取类似于承包人按照第4.8款【安全措施】(a)、(b)和(c)段和第4.18款【环境保护】的要求而应采取的措施。</w:t>
      </w:r>
    </w:p>
    <w:p w14:paraId="16F5690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2.4 </w:t>
      </w:r>
      <w:r>
        <w:rPr>
          <w:rFonts w:hint="eastAsia" w:ascii="宋体" w:hAnsi="宋体" w:eastAsia="宋体" w:cs="宋体"/>
          <w:sz w:val="24"/>
          <w:szCs w:val="24"/>
        </w:rPr>
        <w:tab/>
      </w:r>
      <w:r>
        <w:rPr>
          <w:rFonts w:hint="eastAsia" w:ascii="宋体" w:hAnsi="宋体" w:eastAsia="宋体" w:cs="宋体"/>
          <w:sz w:val="24"/>
          <w:szCs w:val="24"/>
        </w:rPr>
        <w:t>发包人的资金安排</w:t>
      </w:r>
    </w:p>
    <w:p w14:paraId="34F4A5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承包人的请求后，发包人应在28天内提供合理的证据，表明他已作出了资金安排，并将一直坚持实施这种安排，此安排能够使发包人按照第14条【合同价格和支付】的规定支付合同价格（按照当时的估算值）的款额。如果发包人欲对其资金安排做出任何实质性变更，发包人应向承包人发出通知并提供详细资料。</w:t>
      </w:r>
    </w:p>
    <w:p w14:paraId="646F36B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2.5 </w:t>
      </w:r>
      <w:r>
        <w:rPr>
          <w:rFonts w:hint="eastAsia" w:ascii="宋体" w:hAnsi="宋体" w:eastAsia="宋体" w:cs="宋体"/>
          <w:sz w:val="24"/>
          <w:szCs w:val="24"/>
        </w:rPr>
        <w:tab/>
      </w:r>
      <w:r>
        <w:rPr>
          <w:rFonts w:hint="eastAsia" w:ascii="宋体" w:hAnsi="宋体" w:eastAsia="宋体" w:cs="宋体"/>
          <w:sz w:val="24"/>
          <w:szCs w:val="24"/>
        </w:rPr>
        <w:t>发包人的索赔</w:t>
      </w:r>
    </w:p>
    <w:p w14:paraId="1D70321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认为按照任何合同条件或其它与合同有关的条款规定他有权获得支付和（或）缺陷责任期的延长，则发包人或工程师应向承包人发出通知并说明细节。但对于按照第4.19款【电、水、气】、第4.20款【发包人的设备及免费提供的材料】的规定，承包人应支付的款额或其它因承包人要求某些服务而应支付的款额，则无须发出通知。</w:t>
      </w:r>
    </w:p>
    <w:p w14:paraId="32568A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当发包人意识到某事件或情况可能导致索赔时应尽快地发出通知。涉及任何延期的通知应在相关缺陷责任期期满前发出。</w:t>
      </w:r>
    </w:p>
    <w:p w14:paraId="1CE5FC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在细节中应详细说明索赔条款或其它依据，包括发包人按照合同认为他自己有权获得的费用和（或）延期的证明，工程师应依据第3.5款【决定】作出商定或决定：(i) 发包人有权获得的由承包人支付的款额(如有时)，以及/或 (ii) 依据第11.3款【缺陷责任期的延长】给予缺陷责任期的延长（如有时）。</w:t>
      </w:r>
    </w:p>
    <w:p w14:paraId="3F50C7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此笔款额应在合同价格及支付证书中扣除。发包人仅有权从支付证书中确定的款额中抵消或扣除，或依据本款向承包人另外提出索赔。</w:t>
      </w:r>
    </w:p>
    <w:p w14:paraId="676E98A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14:paraId="28FB01E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14:paraId="5430AD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发包人应任命工程师，该工程师应履行合同中赋予他的职责。工程师的人员包括有恰当资格的工程师以及其他有能力履行上述职责的专业人员。</w:t>
      </w:r>
    </w:p>
    <w:p w14:paraId="50BBB4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工程师无权修改合同。</w:t>
      </w:r>
    </w:p>
    <w:p w14:paraId="4153A09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工程师可行使合同中明确规定的或必然隐含</w:t>
      </w:r>
      <w:r>
        <w:rPr>
          <w:rFonts w:hint="eastAsia" w:ascii="宋体" w:hAnsi="宋体" w:eastAsia="宋体" w:cs="宋体"/>
          <w:sz w:val="24"/>
          <w:szCs w:val="24"/>
          <w:lang w:eastAsia="zh-CN"/>
        </w:rPr>
        <w:t>赋予</w:t>
      </w:r>
      <w:r>
        <w:rPr>
          <w:rFonts w:hint="eastAsia" w:ascii="宋体" w:hAnsi="宋体" w:eastAsia="宋体" w:cs="宋体"/>
          <w:sz w:val="24"/>
          <w:szCs w:val="24"/>
        </w:rPr>
        <w:t>他的权力。如果要求工程师在行使其规定权力之前需获得发包人的批准，则此类要求应</w:t>
      </w:r>
      <w:r>
        <w:rPr>
          <w:rFonts w:hint="eastAsia" w:ascii="宋体" w:hAnsi="宋体" w:cs="宋体"/>
          <w:sz w:val="24"/>
          <w:szCs w:val="24"/>
          <w:lang w:val="en-US" w:eastAsia="zh-CN"/>
        </w:rPr>
        <w:t>于</w:t>
      </w:r>
      <w:r>
        <w:rPr>
          <w:rFonts w:hint="eastAsia" w:ascii="宋体" w:hAnsi="宋体" w:eastAsia="宋体" w:cs="宋体"/>
          <w:sz w:val="24"/>
          <w:szCs w:val="24"/>
        </w:rPr>
        <w:t>合同专用条件中注明。发包人不能对工程师的权力加以进一步限制，除非与承包人达成一致。</w:t>
      </w:r>
    </w:p>
    <w:p w14:paraId="6A642F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然而，每当工程师行使某种需经发包人批准的权力时，则被认为他已从发包人处得到任何必要的批准（为合同之目的）。</w:t>
      </w:r>
    </w:p>
    <w:p w14:paraId="1E8BA0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除非合同条件中另有说明，否则：</w:t>
      </w:r>
    </w:p>
    <w:p w14:paraId="4BCF83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当履行职责或行使合同中明确规定的或必然隐含的权力时，均认为工程师为发包人工作。</w:t>
      </w:r>
    </w:p>
    <w:p w14:paraId="63D085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工程师无权解除任何一方依照合同具有的任何职责、义务或责任，以及</w:t>
      </w:r>
    </w:p>
    <w:p w14:paraId="1A638A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工程师的任何批准、审查、证书、同意、审核、检查、指示、通知、建议、请求、检验或类似行为（包括没有否定），不能解除</w:t>
      </w:r>
      <w:r>
        <w:rPr>
          <w:rFonts w:hint="eastAsia" w:ascii="宋体" w:hAnsi="宋体" w:cs="宋体"/>
          <w:sz w:val="24"/>
          <w:szCs w:val="24"/>
          <w:lang w:val="en-US" w:eastAsia="zh-CN"/>
        </w:rPr>
        <w:t>或减轻</w:t>
      </w:r>
      <w:r>
        <w:rPr>
          <w:rFonts w:hint="eastAsia" w:ascii="宋体" w:hAnsi="宋体" w:eastAsia="宋体" w:cs="宋体"/>
          <w:sz w:val="24"/>
          <w:szCs w:val="24"/>
        </w:rPr>
        <w:t>承包人依照合同应具有的任何责任，包括对其错误、漏项、误差以及未能遵守合同的责任。</w:t>
      </w:r>
    </w:p>
    <w:p w14:paraId="1188BF2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3.2 </w:t>
      </w:r>
      <w:r>
        <w:rPr>
          <w:rFonts w:hint="eastAsia" w:ascii="宋体" w:hAnsi="宋体" w:eastAsia="宋体" w:cs="宋体"/>
          <w:sz w:val="24"/>
          <w:szCs w:val="24"/>
        </w:rPr>
        <w:tab/>
      </w:r>
      <w:r>
        <w:rPr>
          <w:rFonts w:hint="eastAsia" w:ascii="宋体" w:hAnsi="宋体" w:eastAsia="宋体" w:cs="宋体"/>
          <w:sz w:val="24"/>
          <w:szCs w:val="24"/>
        </w:rPr>
        <w:t>工程师的授权</w:t>
      </w:r>
    </w:p>
    <w:p w14:paraId="0180B6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随时将他的职责和权力委托给助理，并可撤回此类委托或授权。这些助理包括现场工程师和（或）指定的对设备和（或）材料进行检查和（或）检验的独立检查人员。此类委托、授权或撤回应是书面的并且在合同双方接到副本之前不能生效。但是工程师不能授予其按照第3.5款【决定】的规定决定任何事项的权力，除非合同双方另有协议。</w:t>
      </w:r>
    </w:p>
    <w:p w14:paraId="6D97C2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助理必须是合适的合格人员，有能力履行这些职责以及行使这种权力，并且能够流利地使用第1.4款【法律和语言】中规定的语言进行交流。</w:t>
      </w:r>
    </w:p>
    <w:p w14:paraId="2597006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被委托职责或授予权力的每个助理只有权力在其被授权范围内对承包人发布指示。由助理按照授权作出的任何批准、审查、证书、同意、审核、检查、指示、通知、建议、请求、检验或类似行为，应与工程师作出的具有同等的效力。但：</w:t>
      </w:r>
    </w:p>
    <w:p w14:paraId="1CC2B77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未对任何工作、永久设备及材料提出否定意见并不构成批准，也不影响工程师拒绝该工作、永久设备及材料的权利；</w:t>
      </w:r>
    </w:p>
    <w:p w14:paraId="0C0CBF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如果承包人对助理的任何决定或指示提出质疑，承包人</w:t>
      </w:r>
      <w:r>
        <w:rPr>
          <w:rFonts w:hint="eastAsia" w:ascii="宋体" w:hAnsi="宋体" w:cs="宋体"/>
          <w:sz w:val="24"/>
          <w:szCs w:val="24"/>
          <w:lang w:val="en-US" w:eastAsia="zh-CN"/>
        </w:rPr>
        <w:t>应</w:t>
      </w:r>
      <w:r>
        <w:rPr>
          <w:rFonts w:hint="eastAsia" w:ascii="宋体" w:hAnsi="宋体" w:eastAsia="宋体" w:cs="宋体"/>
          <w:sz w:val="24"/>
          <w:szCs w:val="24"/>
        </w:rPr>
        <w:t>将此情况提交工程师，工程师应尽快对此类决定或指示加以确认、否定或更改。</w:t>
      </w:r>
    </w:p>
    <w:p w14:paraId="2EE2FB6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3.3 </w:t>
      </w:r>
      <w:r>
        <w:rPr>
          <w:rFonts w:hint="eastAsia" w:ascii="宋体" w:hAnsi="宋体" w:eastAsia="宋体" w:cs="宋体"/>
          <w:sz w:val="24"/>
          <w:szCs w:val="24"/>
        </w:rPr>
        <w:tab/>
      </w:r>
      <w:r>
        <w:rPr>
          <w:rFonts w:hint="eastAsia" w:ascii="宋体" w:hAnsi="宋体" w:eastAsia="宋体" w:cs="宋体"/>
          <w:sz w:val="24"/>
          <w:szCs w:val="24"/>
        </w:rPr>
        <w:t>工程师的指示</w:t>
      </w:r>
    </w:p>
    <w:p w14:paraId="14BFCE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合同的规定（在任何时候）向承包人发出指示以及为实施工程和修补缺陷所必需的附加的或修改的图纸。承包人只能从工程师以及按照本条款授权的助理处接受指示。如果某一指示构成了变更，则适用于第13条【变更和调整】。</w:t>
      </w:r>
    </w:p>
    <w:p w14:paraId="4DDAE2D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承包人必须遵守工程师或授权助理对有关合同的某些问题所发出的指示。只要有可能，这些指示均应是书面的。如果工程师或授权助理：</w:t>
      </w:r>
    </w:p>
    <w:p w14:paraId="2F25A3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发出一口头指示；</w:t>
      </w:r>
    </w:p>
    <w:p w14:paraId="26E9A4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在发出指示后2个工作日内，从承包人（或承包人授权的他人）处接到指示的书面确认；以及</w:t>
      </w:r>
    </w:p>
    <w:p w14:paraId="173E625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在接到确认后2个工作日内未颁发一书面拒绝和（或）指示作为回复，</w:t>
      </w:r>
    </w:p>
    <w:p w14:paraId="1ABB68F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则此确认构成工程师或授权助理的书面指示（视情况而定）。</w:t>
      </w:r>
    </w:p>
    <w:p w14:paraId="4F1DA5D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14:paraId="664252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42天以前向承包人发出通知说明拟替换的工程师的名称、地址及相关经历。如果承包人对替换人选向发包人发出了拒绝通知，并附具体的证明资料，则发包人不能撤换工程师。</w:t>
      </w:r>
    </w:p>
    <w:p w14:paraId="5631DD6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3.5 </w:t>
      </w:r>
      <w:r>
        <w:rPr>
          <w:rFonts w:hint="eastAsia" w:ascii="宋体" w:hAnsi="宋体" w:eastAsia="宋体" w:cs="宋体"/>
          <w:sz w:val="24"/>
          <w:szCs w:val="24"/>
        </w:rPr>
        <w:tab/>
      </w:r>
      <w:r>
        <w:rPr>
          <w:rFonts w:hint="eastAsia" w:ascii="宋体" w:hAnsi="宋体" w:eastAsia="宋体" w:cs="宋体"/>
          <w:sz w:val="24"/>
          <w:szCs w:val="24"/>
        </w:rPr>
        <w:t>决定</w:t>
      </w:r>
    </w:p>
    <w:p w14:paraId="4A8C6E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每当合同条件要求工程师按照本款规定对某一事项作出商定或决定时，工程师应与合同双方协商并尽力达成一致。如果未能达成一致，工程师应按照合同规定在适当考虑到所有有关情况后作出公正的决定。</w:t>
      </w:r>
    </w:p>
    <w:p w14:paraId="48071C2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工程师应将每一项协议或决定向每一方发出通知以及具体的证明资料。每一方均应遵守该协议或决定，除非和直到按照第20条【索赔、争端和仲裁】规定作出了修改。</w:t>
      </w:r>
    </w:p>
    <w:p w14:paraId="70E26C52">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14:paraId="61F9709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14:paraId="16431E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承包人应按照合同的规定以及工程师的指示（在合同规定的范围内）对工程进行设计、施工和竣工，并修补其任何缺陷。</w:t>
      </w:r>
    </w:p>
    <w:p w14:paraId="63D9BE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承包人应为工程的设计、施工、竣工以及修补缺陷提供所需的临时性或永久性的设备、合同中注明的承包人的文件、所有承包人的人员、货物、消耗品以及其他物品或服务。</w:t>
      </w:r>
    </w:p>
    <w:p w14:paraId="13B8F31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现场作业和施工方法的完备性、稳定性和安全性负责。除合同中规定的范围，承包人(i)应对所有承包人的文件、临时工程和按照合同规定对每项永久设备和材料的所做的设计负责；以及(ii)但对永久工程的设计或规范不负责任。</w:t>
      </w:r>
    </w:p>
    <w:p w14:paraId="39FC9F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在工程师的要求下，承包人应提交为实施工程拟采用的方法以及所作安排的详细说明。在事先未通知工程师的情况下，不得对此类安排和方法进行重大修改。</w:t>
      </w:r>
    </w:p>
    <w:p w14:paraId="5C60F9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如果合同中明确规定由承包人设计部分永久工程，除非专用条件中另有规定，否则：</w:t>
      </w:r>
    </w:p>
    <w:p w14:paraId="5A93980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承包人应按照合同中说明的程序向工程师提交该部分工程的承包人的文件；</w:t>
      </w:r>
    </w:p>
    <w:p w14:paraId="406FBD6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承包人的文件必须符合规范和图纸，并使用第1.4款【法律和语言】规定的交流语言，还应包括工程师要求的为统一各方设计而应加入图纸中的附加信息；</w:t>
      </w:r>
    </w:p>
    <w:p w14:paraId="5607CBD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承包人应对该部分工程负责，并且该部分工程完工后应适合于合同中规定的工程的预期目的；以及</w:t>
      </w:r>
    </w:p>
    <w:p w14:paraId="4CA94E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始竣工检验之前，承包人应按照规范规定向工程师提交竣工文件以及操作和维修手册，且应足够详细，以使发包人能够操作、维修、拆卸、重新安装、调整和修理该部分工程。在将此类文件和手册提交工程师之前，依据第10.1款【对工程和区段的接收】的规定，不得认为为接收之目的该部分工程业已完成。</w:t>
      </w:r>
    </w:p>
    <w:p w14:paraId="7189807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 </w:t>
      </w:r>
      <w:r>
        <w:rPr>
          <w:rFonts w:hint="eastAsia" w:ascii="宋体" w:hAnsi="宋体" w:eastAsia="宋体" w:cs="宋体"/>
          <w:sz w:val="24"/>
          <w:szCs w:val="24"/>
        </w:rPr>
        <w:tab/>
      </w:r>
      <w:r>
        <w:rPr>
          <w:rFonts w:hint="eastAsia" w:ascii="宋体" w:hAnsi="宋体" w:eastAsia="宋体" w:cs="宋体"/>
          <w:sz w:val="24"/>
          <w:szCs w:val="24"/>
        </w:rPr>
        <w:t>履约保证</w:t>
      </w:r>
    </w:p>
    <w:p w14:paraId="56174B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承包人应（自费）取得一份保证其恰当履约的履约保证，保证的金额和货币种类应与投标函附录中的规定一致。如果投标函附录中未说明金额，则本款不适用。</w:t>
      </w:r>
    </w:p>
    <w:p w14:paraId="2D42DC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收到中标通知书后28天内将此履约保证提交给发包人，并向工程师提交一份副本。该保证应在发包人批准的实体和国家（或其它管辖区）管辖范围内颁发，并采用专用条件附件中规定的格式或发包人批准的其他格式。</w:t>
      </w:r>
    </w:p>
    <w:p w14:paraId="086151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完成工程和竣工并修补任何缺陷之前，承包人应保证履约保证将持续有效。如果该保证的条款明确说明了其期满日期，而且承包人在此期满日期前第28天还无权收回此履约保证，则承包人应相应延长履约保证的有效期，直至工程竣工并修补了缺陷。</w:t>
      </w:r>
    </w:p>
    <w:p w14:paraId="7062BA1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发包人不能按照履约保证提出索赔，但以下按照合同发包人有权获得款额的情况除外：</w:t>
      </w:r>
    </w:p>
    <w:p w14:paraId="09E8ED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承包人未能按照上一段的说明，延长履约保证的有效期，此时发包人可对履约保证的全部金额进行索赔，</w:t>
      </w:r>
    </w:p>
    <w:p w14:paraId="6E542A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按照承包人同意或依据第2.5款【发包人的索赔】或第20条【索赔、争端和仲裁】的决定，在此协议或决定后42天内承包人未能向发包人支付应付的款额，</w:t>
      </w:r>
    </w:p>
    <w:p w14:paraId="019D8B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在接到发包人要求修补缺陷的通知后42天内，承包人未能修补缺陷，或</w:t>
      </w:r>
    </w:p>
    <w:p w14:paraId="698B3A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按照第15.2款【发包人提出终止】的规定发包人有权提出终止的情况，无论是否发出了终止通知。</w:t>
      </w:r>
    </w:p>
    <w:p w14:paraId="763724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发包人应保障并使承包人免于因为发包人按照履约保证对无权索赔的情况提出索赔的后果而遭受损害、损失和开支（包括法律费用和开支）。</w:t>
      </w:r>
    </w:p>
    <w:p w14:paraId="0176CB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发包人应在接到履约证书副本后21天内将履约保证退还给承包人。</w:t>
      </w:r>
    </w:p>
    <w:p w14:paraId="3B9A8F1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14:paraId="26567F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承包人应任命承包人项目经理，并授予他在按照合同代表承包人工作时所必需的一切权力。</w:t>
      </w:r>
    </w:p>
    <w:p w14:paraId="0499F4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除非合同中已注明承包人项目经理的姓名，否则承包人应在开工日期前将其准备任命的代表姓名及详细情况提交工程师，以取得同意。如果同意被</w:t>
      </w:r>
      <w:r>
        <w:rPr>
          <w:rFonts w:hint="eastAsia" w:ascii="宋体" w:hAnsi="宋体" w:eastAsia="宋体" w:cs="宋体"/>
          <w:sz w:val="24"/>
          <w:szCs w:val="24"/>
          <w:lang w:eastAsia="zh-CN"/>
        </w:rPr>
        <w:t>扣押</w:t>
      </w:r>
      <w:r>
        <w:rPr>
          <w:rFonts w:hint="eastAsia" w:ascii="宋体" w:hAnsi="宋体" w:eastAsia="宋体" w:cs="宋体"/>
          <w:sz w:val="24"/>
          <w:szCs w:val="24"/>
        </w:rPr>
        <w:t>或随后撤销，或该指定人员无法担任承包人项目经理，则承包人应同样地提交另一合适人选的姓名及详细情况以获批准。</w:t>
      </w:r>
    </w:p>
    <w:p w14:paraId="6BBCEA1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没有工程师的事先同意，承包人不得撤销对承包人项目经理的任命或对其进行更换。</w:t>
      </w:r>
    </w:p>
    <w:p w14:paraId="34C194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承包人项目经理应以其全部时间协助承包人履行合同。如果承包人项目经理在工程实施过程中暂离现场，则在工程师的事先同意下可以任命一名合适的替代人员，随后通知工程师。</w:t>
      </w:r>
    </w:p>
    <w:p w14:paraId="757EFAE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承包人项目经理应代表承包人按照第3.3款【工程师的指示】的规定接受指示。</w:t>
      </w:r>
    </w:p>
    <w:p w14:paraId="19A1481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可将其权力、职责与责任委托给任何胜任的人员，并可随时撤销任何此类委托。在工程师收到由承包人项目经理签发的说明人员姓名、注明这些权力、职责与责任已委托或撤销的通知之前，任何此类委托或撤销不应产生效力。</w:t>
      </w:r>
    </w:p>
    <w:p w14:paraId="742DB40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承包人项目经理及其委托人应能流利地使用第1.4款【法律和语言】中规定的语言进行日常交流。</w:t>
      </w:r>
    </w:p>
    <w:p w14:paraId="42DB71D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14:paraId="441C42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承包人不得将整个工程分包出去。</w:t>
      </w:r>
    </w:p>
    <w:p w14:paraId="093BD4B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承包人应将分包商、分包商的代理人或雇员的行为或违约视为承包人自己的行为或违约，并按政府有关调查报告结果承担相应责任。除非专用条件中另有说明，否则：</w:t>
      </w:r>
    </w:p>
    <w:p w14:paraId="6E6510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承包人在选择材料供应商或向合同中已注明的分包商进行分包时，无需征得同意；</w:t>
      </w:r>
    </w:p>
    <w:p w14:paraId="503750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其他拟雇用的分包商须得到工程师的事先同意；</w:t>
      </w:r>
    </w:p>
    <w:p w14:paraId="12009BE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承包人应至少提前28天将每位分包商的工程预期开工日期以及现场开工日期通知工程师；以及</w:t>
      </w:r>
    </w:p>
    <w:p w14:paraId="2A23645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每份分包合同应包含一条规定，即发包人有权按照第4.5款【分包合同利益的转让】（如果可行）或出现第15.2款【发包人提出终止】中规定的终止合同的情况时要求将此分包合同转让给发包人。</w:t>
      </w:r>
    </w:p>
    <w:p w14:paraId="1FD4606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4.5 </w:t>
      </w:r>
      <w:r>
        <w:rPr>
          <w:rFonts w:hint="eastAsia" w:ascii="宋体" w:hAnsi="宋体" w:eastAsia="宋体" w:cs="宋体"/>
          <w:sz w:val="24"/>
          <w:szCs w:val="24"/>
        </w:rPr>
        <w:tab/>
      </w:r>
      <w:r>
        <w:rPr>
          <w:rFonts w:hint="eastAsia" w:ascii="宋体" w:hAnsi="宋体" w:eastAsia="宋体" w:cs="宋体"/>
          <w:sz w:val="24"/>
          <w:szCs w:val="24"/>
        </w:rPr>
        <w:t>分包合同利益的转让</w:t>
      </w:r>
    </w:p>
    <w:p w14:paraId="0332A6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分包商的义务超过了缺陷责任期的期满之日，且工程师在此期满日前已指示承包人将此分包合同的利益转让给发包人，则承包人应按指示行事。除非另有说明，否则承包人在转让生效以后对分包商实施的工程对发包人不负责任。</w:t>
      </w:r>
    </w:p>
    <w:p w14:paraId="146E5A8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4.6 </w:t>
      </w:r>
      <w:r>
        <w:rPr>
          <w:rFonts w:hint="eastAsia" w:ascii="宋体" w:hAnsi="宋体" w:eastAsia="宋体" w:cs="宋体"/>
          <w:sz w:val="24"/>
          <w:szCs w:val="24"/>
        </w:rPr>
        <w:tab/>
      </w:r>
      <w:r>
        <w:rPr>
          <w:rFonts w:hint="eastAsia" w:ascii="宋体" w:hAnsi="宋体" w:eastAsia="宋体" w:cs="宋体"/>
          <w:sz w:val="24"/>
          <w:szCs w:val="24"/>
        </w:rPr>
        <w:t>合作</w:t>
      </w:r>
    </w:p>
    <w:p w14:paraId="7F39AA8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承包人应按照合同的规定或工程师的指示，为下述人员从事其工作提供一切适当的机会：</w:t>
      </w:r>
    </w:p>
    <w:p w14:paraId="0C7336C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(a)发包人的人员；</w:t>
      </w:r>
    </w:p>
    <w:p w14:paraId="35DC237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(b)发包人雇用的任何其他承包人；以及</w:t>
      </w:r>
    </w:p>
    <w:p w14:paraId="6DE42B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(c)任何合法公共机构的人员，</w:t>
      </w:r>
    </w:p>
    <w:p w14:paraId="1A52E97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这些人员可能被雇用于现场或于现场附近从事合同中未包括的任何工作。</w:t>
      </w:r>
    </w:p>
    <w:p w14:paraId="67E7EC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如果（并在一定程度上）此类指示使承包人增加了不可预见的费用，则构成了变更。为这些人员和其他承包人的服务包括使用承包人的设备，承包人负责的临时工程或通行道路安排。</w:t>
      </w:r>
    </w:p>
    <w:p w14:paraId="59E86F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如果按照合同规定，要求发包人按照承包人的文件给予承包人对任何基础、结构、永久设备或通行手段的占用，承包人应在规范规定的时间内以其规定的方式向工程师提交此类文件。</w:t>
      </w:r>
    </w:p>
    <w:p w14:paraId="3CBCEBA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14:paraId="605D4F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承包人应根据合同中规定的或工程师通知的原始基准点、基准线和参照标高对工程进行放线。承包人应对工程各部分的正确定位负责，并且矫正工程的位置、标高或尺寸或准线中出现的任何差错。</w:t>
      </w:r>
    </w:p>
    <w:p w14:paraId="3976625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发包人应对此类给定的或通知的参照项目的任何差错负责，但承包人在使用这些参照项目前应付出合理的努力去证实其准确性。</w:t>
      </w:r>
    </w:p>
    <w:p w14:paraId="3A82090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这些参照项目的差错而不可避免地对实施工程造成了延误和（或）导致了费用，而且一个有经验的承包人无法合理发现这种差错并避免此类延误和（或）费用，承包人应向工程师发出通知并有权依据第20.1款【承包人的索赔】，要求：</w:t>
      </w:r>
    </w:p>
    <w:p w14:paraId="51E47D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2042EC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14:paraId="0C062E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在接到此类通知后，工程师应按照第3.5款【决定】的规定作出商定或决定：</w:t>
      </w:r>
    </w:p>
    <w:p w14:paraId="78D6B1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是否以及（如果是的话）在多大程度上该差错不能合理被发现；以及</w:t>
      </w:r>
    </w:p>
    <w:p w14:paraId="22513B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上面(a)、(b)段中描述的与该程度相关事项。</w:t>
      </w:r>
    </w:p>
    <w:p w14:paraId="1B7FD28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14:paraId="06E3A9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承包人应该：</w:t>
      </w:r>
    </w:p>
    <w:p w14:paraId="3E40AD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遵守所有适用的安全规章；</w:t>
      </w:r>
    </w:p>
    <w:p w14:paraId="7340062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注意有权进入现场的所有人员的安全；</w:t>
      </w:r>
    </w:p>
    <w:p w14:paraId="6284F61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付出合理的努力清理现场和工程不必要的障碍，以避免对这些人员造成伤害；</w:t>
      </w:r>
    </w:p>
    <w:p w14:paraId="7AABFC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提供工程的围栏、照明、防护及看守，直至竣工和按照第10款【发包人的接收】进行移交，以及</w:t>
      </w:r>
    </w:p>
    <w:p w14:paraId="4A5180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提供因工程实施，为邻近地区的所有者和占有者以及公众提供便利和保护所必需的任何临时工程（包括道路、人行道、防护及围栏）。</w:t>
      </w:r>
    </w:p>
    <w:p w14:paraId="1A518F2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14:paraId="48BFEF7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承包人应按照合同的要求建立一套质量保证体系，以保证符合合同要求。该体系应符合合同中规定的细节。工程师有权审查质量保证体系的任何方面。</w:t>
      </w:r>
    </w:p>
    <w:p w14:paraId="11963E5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在每一设计和实施阶段开始之前均应将所有程序的细节和执行文件提交工程师，供其参考。任何具有技术特性的文件颁发给工程师时，必须有明显的证据表明承包人对该文件的事先批准。</w:t>
      </w:r>
    </w:p>
    <w:p w14:paraId="705FDB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遵守该质量保证体系不应解除承包人依据合同具有的任何职责、义务和责任。</w:t>
      </w:r>
    </w:p>
    <w:p w14:paraId="4FE1FD2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4.10 </w:t>
      </w:r>
      <w:r>
        <w:rPr>
          <w:rFonts w:hint="eastAsia" w:ascii="宋体" w:hAnsi="宋体" w:eastAsia="宋体" w:cs="宋体"/>
          <w:sz w:val="24"/>
          <w:szCs w:val="24"/>
        </w:rPr>
        <w:tab/>
      </w:r>
      <w:r>
        <w:rPr>
          <w:rFonts w:hint="eastAsia" w:ascii="宋体" w:hAnsi="宋体" w:eastAsia="宋体" w:cs="宋体"/>
          <w:sz w:val="24"/>
          <w:szCs w:val="24"/>
        </w:rPr>
        <w:t>现场数据</w:t>
      </w:r>
    </w:p>
    <w:p w14:paraId="01C2F4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基准日期之前，发包人应向承包人提供发包人掌握的一切现场地表以下及水文条件的有关数据，包括环境方面的数据，以供其参考。发包人同样应向承包人提供其在基准日期后得到的所有数据。承包人应负责对所有数据的解释。</w:t>
      </w:r>
    </w:p>
    <w:p w14:paraId="79E094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一定程度上只要可行（考虑到费用和时间），承包人应被认为已取得了可能对投标文件或工程产生影响或作用的有关风险、意外事故及其他情况的全部必要的资料。在同一程度上，承包人也被认为在提交投标文件之前已对现场及其周围环境、上述数据及提供的其他资料进行了检查与审核，并对所有相关事宜感到满意，包括（但不限定）：</w:t>
      </w:r>
    </w:p>
    <w:p w14:paraId="0289AF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(a)现场的形状和性质，包括地表以下的条件；</w:t>
      </w:r>
    </w:p>
    <w:p w14:paraId="33A0620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(b)水文及气候条件；</w:t>
      </w:r>
    </w:p>
    <w:p w14:paraId="0B2033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(c)为实施和完成工程以及修补任何缺陷所需工作和货物的范围和性质；</w:t>
      </w:r>
    </w:p>
    <w:p w14:paraId="62A77B5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(d)工程所在国的法律、程序和雇佣劳务</w:t>
      </w:r>
      <w:r>
        <w:rPr>
          <w:rFonts w:hint="eastAsia" w:ascii="宋体" w:hAnsi="宋体" w:eastAsia="宋体" w:cs="宋体"/>
          <w:sz w:val="24"/>
          <w:szCs w:val="24"/>
          <w:lang w:eastAsia="zh-CN"/>
        </w:rPr>
        <w:t>的习惯做法</w:t>
      </w:r>
      <w:r>
        <w:rPr>
          <w:rFonts w:hint="eastAsia" w:ascii="宋体" w:hAnsi="宋体" w:eastAsia="宋体" w:cs="宋体"/>
          <w:sz w:val="24"/>
          <w:szCs w:val="24"/>
        </w:rPr>
        <w:t>；以及</w:t>
      </w:r>
    </w:p>
    <w:p w14:paraId="2136EE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(e)承包人要求的通行道路、食宿、设施、人员、电力、交通、水及其他服务。</w:t>
      </w:r>
    </w:p>
    <w:p w14:paraId="609D55D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4.11 </w:t>
      </w:r>
      <w:r>
        <w:rPr>
          <w:rFonts w:hint="eastAsia" w:ascii="宋体" w:hAnsi="宋体" w:eastAsia="宋体" w:cs="宋体"/>
          <w:sz w:val="24"/>
          <w:szCs w:val="24"/>
        </w:rPr>
        <w:tab/>
      </w:r>
      <w:r>
        <w:rPr>
          <w:rFonts w:hint="eastAsia" w:ascii="宋体" w:hAnsi="宋体" w:eastAsia="宋体" w:cs="宋体"/>
          <w:sz w:val="24"/>
          <w:szCs w:val="24"/>
        </w:rPr>
        <w:t>接受的合同款额的完备性</w:t>
      </w:r>
    </w:p>
    <w:p w14:paraId="7EAE50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w:t>
      </w:r>
    </w:p>
    <w:p w14:paraId="1CDCE71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已完全理解了接受的合同款额的合宜性和充分性，以及</w:t>
      </w:r>
    </w:p>
    <w:p w14:paraId="690D27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该接受的合同款额是基于第4.10款【现场数据】提供的数据、解释、必要资料、检查、审核及其他相关资料。</w:t>
      </w:r>
    </w:p>
    <w:p w14:paraId="17A910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除非合同中另有规定，接受的合同款额应包括承包人在合同中应承担的全部义务（包括根据暂定金额应承担的义务，如有时）以及为恰当地实施和完成工程并修补任何缺陷必需的全部有关事宜。</w:t>
      </w:r>
    </w:p>
    <w:p w14:paraId="382EE3E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4.12 </w:t>
      </w:r>
      <w:r>
        <w:rPr>
          <w:rFonts w:hint="eastAsia" w:ascii="宋体" w:hAnsi="宋体" w:eastAsia="宋体" w:cs="宋体"/>
          <w:sz w:val="24"/>
          <w:szCs w:val="24"/>
        </w:rPr>
        <w:tab/>
      </w:r>
      <w:r>
        <w:rPr>
          <w:rFonts w:hint="eastAsia" w:ascii="宋体" w:hAnsi="宋体" w:eastAsia="宋体" w:cs="宋体"/>
          <w:sz w:val="24"/>
          <w:szCs w:val="24"/>
        </w:rPr>
        <w:t>不可预见的外界条件</w:t>
      </w:r>
    </w:p>
    <w:p w14:paraId="24AD2E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本款中，“外界条件”是指承包人在实施工程中遇见的外界自然条件及人为的条件和其他外界障碍和污染物，包括地表以下和水文条件，但不包括气候条件。</w:t>
      </w:r>
    </w:p>
    <w:p w14:paraId="569D3E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如果承包人遇到了在他看来是无法预见的外界条件，则承包人应尽可能快地通知工程师。</w:t>
      </w:r>
    </w:p>
    <w:p w14:paraId="61EABE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通知应描述该外界条件以便工程师审查，并说明原因为什么承包人认为是不可预见的。承包人应继续实施工程，采用在此外界条件下合适的以及合理的措施，并且应该遵守工程师给予的任何指示。如果此指示构成了变更，第13条【变更和调整】将适用。</w:t>
      </w:r>
    </w:p>
    <w:p w14:paraId="0C2F7F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如果且在一定程度上承包人遇到了不可预见的外界条件，发出了通知，且因此遭到了延误和（或）导致了费用，承包人应有权依据第20.1款【承包人的索赔】要求：</w:t>
      </w:r>
    </w:p>
    <w:p w14:paraId="0D793F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655A90B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14:paraId="373588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在接到此通知并对此外界条件进行审查和（或）检查以后，工程师应按照第3.5款【决定】的规定，作出商定或决定：</w:t>
      </w:r>
    </w:p>
    <w:p w14:paraId="653164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是否以及（如果是的话）在多大程度上该外界条件不可预见；以及</w:t>
      </w:r>
    </w:p>
    <w:p w14:paraId="1D8766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上面(a)、(b)段中描述的与该程度相关的事项。</w:t>
      </w:r>
    </w:p>
    <w:p w14:paraId="55A148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在依照子段(ii)最终商定或决定附加费用之前，工程师还应审查是否在工程类似部分（如有时）上其他外界条件比承包人在提交投标文件时合理预见的外界条件更为有利。如果并且在一定程度上承包人遇到了此类更为有利的条件，工程师应按照第3.5款【决定】的规定对因此条件而应支付费用的扣除作出商定或决定，并且加入合同价格和支付证书中（作为扣除）。但由于工程类似部分遭受的所有外界条件而按(b)款所作的调整和所有这些扣除的净作用不应导致合同价格的净扣除。</w:t>
      </w:r>
    </w:p>
    <w:p w14:paraId="186F4BA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工程师可以考虑承包人对提交投标文件时合理预见的外界条件提交的任何证据，但不受这些证据的约束。</w:t>
      </w:r>
    </w:p>
    <w:p w14:paraId="1CB8B4F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4.13 </w:t>
      </w:r>
      <w:r>
        <w:rPr>
          <w:rFonts w:hint="eastAsia" w:ascii="宋体" w:hAnsi="宋体" w:eastAsia="宋体" w:cs="宋体"/>
          <w:sz w:val="24"/>
          <w:szCs w:val="24"/>
        </w:rPr>
        <w:tab/>
      </w:r>
      <w:r>
        <w:rPr>
          <w:rFonts w:hint="eastAsia" w:ascii="宋体" w:hAnsi="宋体" w:eastAsia="宋体" w:cs="宋体"/>
          <w:sz w:val="24"/>
          <w:szCs w:val="24"/>
        </w:rPr>
        <w:t>道路通行权和设施</w:t>
      </w:r>
    </w:p>
    <w:p w14:paraId="7598F8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承包人应为包括进入现场在内的他所需的特殊和（或）临时的道路通行权承担全部费用和开支。承包人还应自担风险和费用获得为工程目的其自身所需的现场以外的任何附加设施。</w:t>
      </w:r>
    </w:p>
    <w:p w14:paraId="38D0B92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4.14 </w:t>
      </w:r>
      <w:r>
        <w:rPr>
          <w:rFonts w:hint="eastAsia" w:ascii="宋体" w:hAnsi="宋体" w:eastAsia="宋体" w:cs="宋体"/>
          <w:sz w:val="24"/>
          <w:szCs w:val="24"/>
        </w:rPr>
        <w:tab/>
      </w:r>
      <w:r>
        <w:rPr>
          <w:rFonts w:hint="eastAsia" w:ascii="宋体" w:hAnsi="宋体" w:eastAsia="宋体" w:cs="宋体"/>
          <w:sz w:val="24"/>
          <w:szCs w:val="24"/>
        </w:rPr>
        <w:t>避免干扰</w:t>
      </w:r>
    </w:p>
    <w:p w14:paraId="3E663A6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承包人不应不必要地或不适当地干扰：</w:t>
      </w:r>
    </w:p>
    <w:p w14:paraId="3E0DA99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公众的方便；或</w:t>
      </w:r>
    </w:p>
    <w:p w14:paraId="2F55A79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进入和使用以及占用所有道路和人行道，不论这些道路和人行道是公共的或是在发包人或其他人的占用之下。</w:t>
      </w:r>
    </w:p>
    <w:p w14:paraId="16453D2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承包人应保障并使发包人免于因上述不必要或不适当的干扰带来的后果而遭受的损害、损失和开支（包括法律费用和开支）。</w:t>
      </w:r>
    </w:p>
    <w:p w14:paraId="2BC2B80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4.15 </w:t>
      </w:r>
      <w:r>
        <w:rPr>
          <w:rFonts w:hint="eastAsia" w:ascii="宋体" w:hAnsi="宋体" w:eastAsia="宋体" w:cs="宋体"/>
          <w:sz w:val="24"/>
          <w:szCs w:val="24"/>
        </w:rPr>
        <w:tab/>
      </w:r>
      <w:r>
        <w:rPr>
          <w:rFonts w:hint="eastAsia" w:ascii="宋体" w:hAnsi="宋体" w:eastAsia="宋体" w:cs="宋体"/>
          <w:sz w:val="24"/>
          <w:szCs w:val="24"/>
        </w:rPr>
        <w:t>进场路线</w:t>
      </w:r>
    </w:p>
    <w:p w14:paraId="5957236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对他选用的进场路线的适宜性和可用性感到满意。承包人应付出合理的努力保护这些道路或桥梁免于因为承包人的交通运输或承包人的人员而遭受损坏。这些努力包括适当地使用合适的运输工具和路线。</w:t>
      </w:r>
    </w:p>
    <w:p w14:paraId="2675F8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除合同中另有说明者外：</w:t>
      </w:r>
    </w:p>
    <w:p w14:paraId="6A02FBB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承包人应该（就双方而言）负责他使用的进场路线的任何必要的维护；</w:t>
      </w:r>
    </w:p>
    <w:p w14:paraId="1C8374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承包人应提供所有沿进场路线必需的标志或方向指示，并应为使用此类进场路线、标志和方向指示，取得有关部门的批准；</w:t>
      </w:r>
    </w:p>
    <w:p w14:paraId="5ECECAB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发包人不对由于任何进场路线的采用或其他原因引起的索赔负责；</w:t>
      </w:r>
    </w:p>
    <w:p w14:paraId="5561400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发包人不保证任何特定的进场路线的适宜性和可用性；以及</w:t>
      </w:r>
    </w:p>
    <w:p w14:paraId="13B6FA1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因承包人所需的使用的进场路线的不适宜性或不可用性而导致的费用，由承包人承担。</w:t>
      </w:r>
    </w:p>
    <w:p w14:paraId="6CADE44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14:paraId="350A636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除非专用条件中另有说明，否则：</w:t>
      </w:r>
    </w:p>
    <w:p w14:paraId="0FBE26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承包人应在任何永久设备或其他主要货物运送现场日期前不少于21天，通知工程师；</w:t>
      </w:r>
    </w:p>
    <w:p w14:paraId="55C0722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承包人应对工程所需的所有货物和其他物品的包装、装载、运输、接收、卸货、保存和保护负责；以及</w:t>
      </w:r>
    </w:p>
    <w:p w14:paraId="0470A3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承包人应保障并使发包人免于因为货物运输的损坏而遭受损害、损失和开支（包括法律费用和开支），并应协商及支付由于运输所导致的索赔。</w:t>
      </w:r>
    </w:p>
    <w:p w14:paraId="798C1EB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4.17 </w:t>
      </w:r>
      <w:r>
        <w:rPr>
          <w:rFonts w:hint="eastAsia" w:ascii="宋体" w:hAnsi="宋体" w:eastAsia="宋体" w:cs="宋体"/>
          <w:sz w:val="24"/>
          <w:szCs w:val="24"/>
        </w:rPr>
        <w:tab/>
      </w:r>
      <w:r>
        <w:rPr>
          <w:rFonts w:hint="eastAsia" w:ascii="宋体" w:hAnsi="宋体" w:eastAsia="宋体" w:cs="宋体"/>
          <w:sz w:val="24"/>
          <w:szCs w:val="24"/>
        </w:rPr>
        <w:t>承包人的设备</w:t>
      </w:r>
    </w:p>
    <w:p w14:paraId="0531E7E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承包人的设备负责。所有承包人的设备一经运至现场，都应视为专门用于该工程的实施。没有工程师的同意，承包人不得将任何主要的承包人的设备移出现场。但负责将货物或承包人的人员运离现场的运输工具，不必经过同意。</w:t>
      </w:r>
    </w:p>
    <w:p w14:paraId="7C82BE3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4.18 </w:t>
      </w:r>
      <w:r>
        <w:rPr>
          <w:rFonts w:hint="eastAsia" w:ascii="宋体" w:hAnsi="宋体" w:eastAsia="宋体" w:cs="宋体"/>
          <w:sz w:val="24"/>
          <w:szCs w:val="24"/>
        </w:rPr>
        <w:tab/>
      </w:r>
      <w:r>
        <w:rPr>
          <w:rFonts w:hint="eastAsia" w:ascii="宋体" w:hAnsi="宋体" w:eastAsia="宋体" w:cs="宋体"/>
          <w:sz w:val="24"/>
          <w:szCs w:val="24"/>
        </w:rPr>
        <w:t>环境保护</w:t>
      </w:r>
    </w:p>
    <w:p w14:paraId="30D9B2B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承包人应采取一切合理步骤保护现场内外的环境，并限制因其施工作业引起的污染、噪音及其他后果对公众和财产造成的损害和妨碍。</w:t>
      </w:r>
    </w:p>
    <w:p w14:paraId="7BC8E21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承包人应保证承包人产生的散发物、地面排水及排污不能超过规范中规定的数值，也不能超过法律规定的数值。</w:t>
      </w:r>
    </w:p>
    <w:p w14:paraId="4A3EA2C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4.19 </w:t>
      </w:r>
      <w:r>
        <w:rPr>
          <w:rFonts w:hint="eastAsia" w:ascii="宋体" w:hAnsi="宋体" w:eastAsia="宋体" w:cs="宋体"/>
          <w:sz w:val="24"/>
          <w:szCs w:val="24"/>
        </w:rPr>
        <w:tab/>
      </w:r>
      <w:r>
        <w:rPr>
          <w:rFonts w:hint="eastAsia" w:ascii="宋体" w:hAnsi="宋体" w:eastAsia="宋体" w:cs="宋体"/>
          <w:sz w:val="24"/>
          <w:szCs w:val="24"/>
        </w:rPr>
        <w:t>电、水、气</w:t>
      </w:r>
    </w:p>
    <w:p w14:paraId="41137A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除以下说明外，承包人应对其所需的所有电力、水及其他服务的供应负责。</w:t>
      </w:r>
    </w:p>
    <w:p w14:paraId="1CE881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为工程之目的承包人有权享用现场供应的电、水、气及其他设施，其详细规定和价格在规范中给出。承包人应自担风险和自付费用，为此类设施的使用以及所消耗的数量的测定提供任何必需的仪器。</w:t>
      </w:r>
    </w:p>
    <w:p w14:paraId="3646932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此类设施所消耗的数量和应支付的款额（在此价格上），应由工程师按照第3.5款【决定】的规定作出商定或决定。承包人应向发包人支付该项款额。</w:t>
      </w:r>
    </w:p>
    <w:p w14:paraId="3218152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4.20 </w:t>
      </w:r>
      <w:r>
        <w:rPr>
          <w:rFonts w:hint="eastAsia" w:ascii="宋体" w:hAnsi="宋体" w:eastAsia="宋体" w:cs="宋体"/>
          <w:sz w:val="24"/>
          <w:szCs w:val="24"/>
        </w:rPr>
        <w:tab/>
      </w:r>
      <w:r>
        <w:rPr>
          <w:rFonts w:hint="eastAsia" w:ascii="宋体" w:hAnsi="宋体" w:eastAsia="宋体" w:cs="宋体"/>
          <w:sz w:val="24"/>
          <w:szCs w:val="24"/>
        </w:rPr>
        <w:t>发包人的设备和免费提供的材料</w:t>
      </w:r>
    </w:p>
    <w:p w14:paraId="5B2150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发包人应按规范中说明的细节、安排和价格，在实施工程中向承包人提供发包人的设备（如有时）。除非规范中另有规定，否则：</w:t>
      </w:r>
    </w:p>
    <w:p w14:paraId="419DAD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发包人应对发包人的设备负责，但是，</w:t>
      </w:r>
    </w:p>
    <w:p w14:paraId="05AC06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当承包人的任何人员在操作、驾驶、指导、占有或控制发包人的设备时，承包人应对每项发包人的设备负责。</w:t>
      </w:r>
    </w:p>
    <w:p w14:paraId="5F5599B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工程师应对使用发包人的设备的合适数量及应支付的款额（以上述指定价格）按照第3.5款【决定】的规定作出商定或决定。承包人应向发包人支付该项款额。</w:t>
      </w:r>
    </w:p>
    <w:p w14:paraId="0FF948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规范中规定的细则，免费提供那些“免费提供的材料”（如有时）。发包人应自担风险和自付费用按照合同中规定的时间和地点提供这些材料。然后，承包人应对材料进行目测检查，并应将这些材料的任何短缺、缺陷或损坏通知工程师。除非双方另有协议，否则发包人应立即补齐任何短缺、修复任何缺陷或损坏。</w:t>
      </w:r>
    </w:p>
    <w:p w14:paraId="5E3C388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在目测检查后，此类免费提供的材料将归承包人照管、监护和控制。承包人检查、照管、监护和控制的义务，不应解除发包人对此材料目测检查时不明显的短缺、缺陷或损坏所负有的责任。</w:t>
      </w:r>
    </w:p>
    <w:p w14:paraId="6C22218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4.21 </w:t>
      </w:r>
      <w:r>
        <w:rPr>
          <w:rFonts w:hint="eastAsia" w:ascii="宋体" w:hAnsi="宋体" w:eastAsia="宋体" w:cs="宋体"/>
          <w:sz w:val="24"/>
          <w:szCs w:val="24"/>
        </w:rPr>
        <w:tab/>
      </w:r>
      <w:r>
        <w:rPr>
          <w:rFonts w:hint="eastAsia" w:ascii="宋体" w:hAnsi="宋体" w:eastAsia="宋体" w:cs="宋体"/>
          <w:sz w:val="24"/>
          <w:szCs w:val="24"/>
        </w:rPr>
        <w:t>进度报告</w:t>
      </w:r>
    </w:p>
    <w:p w14:paraId="3ECDA0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承包人应编制月进度报告，并将6份副本提交给工程师。第一次报告所包含的期间应从开工日期起至紧随开工日期的第一个月历的最后一天止。此后每月应在该月最后一天之后的7天内提交月进度报告。</w:t>
      </w:r>
    </w:p>
    <w:p w14:paraId="1E64B0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报告应持续至承包人完成了工程接收证书上注明的完工日期时尚未完成的所有工作为止。</w:t>
      </w:r>
    </w:p>
    <w:p w14:paraId="5FFF553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每份报告应包括：</w:t>
      </w:r>
    </w:p>
    <w:p w14:paraId="1C0139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设计（如有时）、承包人的文件、采购、制造、货物运达现场、施工、安装和调试的每一阶段以及指定分包商（在第5款【指定分包商】中定义的）实施工程的这些阶段进展情况的图表与详细说明；</w:t>
      </w:r>
    </w:p>
    <w:p w14:paraId="2D7365A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表明制造和现场进展状况的照片；</w:t>
      </w:r>
    </w:p>
    <w:p w14:paraId="12DA070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与每项主要永久设备和材料制造有关的制造商名称、制造地点、进度百分比，以及以下各项的实际或预期日期：</w:t>
      </w:r>
    </w:p>
    <w:p w14:paraId="4B06755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开始制造；</w:t>
      </w:r>
    </w:p>
    <w:p w14:paraId="32392C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承包人的检查；</w:t>
      </w:r>
    </w:p>
    <w:p w14:paraId="14B380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检验；以及</w:t>
      </w:r>
    </w:p>
    <w:p w14:paraId="47B3AE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运输和到达现场</w:t>
      </w:r>
    </w:p>
    <w:p w14:paraId="6C3CE2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在第6.10款【承包人的人员和设备的记录】中描述的详细情况；</w:t>
      </w:r>
    </w:p>
    <w:p w14:paraId="2064826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若干份质量保证文件、材料的检验结果及证书；</w:t>
      </w:r>
    </w:p>
    <w:p w14:paraId="4F0836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依据第2.5款【发包人的索赔】和第20.1款【承包人的索赔】颁发的通知清单；</w:t>
      </w:r>
    </w:p>
    <w:p w14:paraId="080B1F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(g) 安全统计，包括涉及环境和公共关系方面的任何危险事件与活动的详情；以及</w:t>
      </w:r>
    </w:p>
    <w:p w14:paraId="7CA04FC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(h) 实际进度与计划进度的对比，包括可能影响按照合同完工的任何事件和情况的详情，以及为消除延误而正在（或准备）采取的措施。</w:t>
      </w:r>
    </w:p>
    <w:p w14:paraId="6A507CD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4.22 </w:t>
      </w:r>
      <w:r>
        <w:rPr>
          <w:rFonts w:hint="eastAsia" w:ascii="宋体" w:hAnsi="宋体" w:eastAsia="宋体" w:cs="宋体"/>
          <w:sz w:val="24"/>
          <w:szCs w:val="24"/>
        </w:rPr>
        <w:tab/>
      </w:r>
      <w:r>
        <w:rPr>
          <w:rFonts w:hint="eastAsia" w:ascii="宋体" w:hAnsi="宋体" w:eastAsia="宋体" w:cs="宋体"/>
          <w:sz w:val="24"/>
          <w:szCs w:val="24"/>
        </w:rPr>
        <w:t xml:space="preserve">现场保安 </w:t>
      </w:r>
    </w:p>
    <w:p w14:paraId="677C2E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w:t>
      </w:r>
    </w:p>
    <w:p w14:paraId="24B9229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承包人应负责阻止未获授权的人员进入现场；以及</w:t>
      </w:r>
    </w:p>
    <w:p w14:paraId="7E9D61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授权人员仅限于承包人的人员和发包人的人员，以及发包人的其他承包人在现场的授权人员并由发包人或工程师通知了承包人的任何其他人员。</w:t>
      </w:r>
    </w:p>
    <w:p w14:paraId="64DAB8E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4.23 </w:t>
      </w:r>
      <w:r>
        <w:rPr>
          <w:rFonts w:hint="eastAsia" w:ascii="宋体" w:hAnsi="宋体" w:eastAsia="宋体" w:cs="宋体"/>
          <w:sz w:val="24"/>
          <w:szCs w:val="24"/>
        </w:rPr>
        <w:tab/>
      </w:r>
      <w:r>
        <w:rPr>
          <w:rFonts w:hint="eastAsia" w:ascii="宋体" w:hAnsi="宋体" w:eastAsia="宋体" w:cs="宋体"/>
          <w:sz w:val="24"/>
          <w:szCs w:val="24"/>
        </w:rPr>
        <w:t>承包人的现场工作</w:t>
      </w:r>
    </w:p>
    <w:p w14:paraId="074245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承包人应将其工作限制在现场以及承包人可能得到并获得工程师同意作为工作区的任何附加区域。承包人应采取一切必要的预防措施以保证他的人员与设备处在现场及此类附加区域之内，并避免他们进入邻地。</w:t>
      </w:r>
    </w:p>
    <w:p w14:paraId="61AED40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在工程实施期间，承包人应使现场避免出现一切不必要的障碍物，存放并妥善处置承包人的任何设备或剩余材料。承包人应从现场清除并运走任何</w:t>
      </w:r>
      <w:r>
        <w:rPr>
          <w:rFonts w:hint="eastAsia" w:ascii="宋体" w:hAnsi="宋体" w:eastAsia="宋体" w:cs="宋体"/>
          <w:sz w:val="24"/>
          <w:szCs w:val="24"/>
          <w:lang w:eastAsia="zh-CN"/>
        </w:rPr>
        <w:t>残留</w:t>
      </w:r>
      <w:r>
        <w:rPr>
          <w:rFonts w:hint="eastAsia" w:ascii="宋体" w:hAnsi="宋体" w:eastAsia="宋体" w:cs="宋体"/>
          <w:sz w:val="24"/>
          <w:szCs w:val="24"/>
        </w:rPr>
        <w:t>物、垃圾或不再需要的临时工程。</w:t>
      </w:r>
    </w:p>
    <w:p w14:paraId="5C1B516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接收证书后，承包人应立即从该接收证书涉及的那部分现场和工程中清除并运走承包人的所有设备、剩余材料、残物、垃圾和临时工程。承包人应保持该部分现场和工程处于清洁和安全状况。但是，承包人可以在现场保留在缺陷责任期间内为履行合同中规定的义务所需的货物。</w:t>
      </w:r>
    </w:p>
    <w:p w14:paraId="64FEA56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4.24 </w:t>
      </w:r>
      <w:r>
        <w:rPr>
          <w:rFonts w:hint="eastAsia" w:ascii="宋体" w:hAnsi="宋体" w:eastAsia="宋体" w:cs="宋体"/>
          <w:sz w:val="24"/>
          <w:szCs w:val="24"/>
        </w:rPr>
        <w:tab/>
      </w:r>
      <w:r>
        <w:rPr>
          <w:rFonts w:hint="eastAsia" w:ascii="宋体" w:hAnsi="宋体" w:eastAsia="宋体" w:cs="宋体"/>
          <w:sz w:val="24"/>
          <w:szCs w:val="24"/>
        </w:rPr>
        <w:t>化石</w:t>
      </w:r>
    </w:p>
    <w:p w14:paraId="7AB7E0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现场发现的所有化石、硬币、有价值的物品或文物、建筑结构以及其他具有地质或考古价值的遗迹或物品应处于发包人的看管和权力之下。承包人应采取合理的预防措施防止承包人的人员或其他人员移动或损坏这些发现物。</w:t>
      </w:r>
    </w:p>
    <w:p w14:paraId="5F06FC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现此类物品，承包人应立即通知工程师，工程师可发出关于处理上述物品的指示。如果承包人由于遵守该指示而引起延误和(/或)招致了费用，则应进一步通知工程师并有权依据第20.1款【承包人的索赔】，要求：</w:t>
      </w:r>
    </w:p>
    <w:p w14:paraId="0B4701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426DD8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14:paraId="03C8142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在接到此进一步通知后，工程师应按照第3.5款【决定】的规定对此事作出商定或决定。</w:t>
      </w:r>
    </w:p>
    <w:p w14:paraId="32A0DD80">
      <w:pPr>
        <w:pStyle w:val="18"/>
        <w:kinsoku/>
        <w:wordWrap/>
        <w:overflowPunct/>
        <w:topLinePunct w:val="0"/>
        <w:bidi w:val="0"/>
        <w:spacing w:after="0" w:line="540" w:lineRule="exact"/>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4.25 农民工工资支付</w:t>
      </w:r>
    </w:p>
    <w:p w14:paraId="74FCE371">
      <w:pPr>
        <w:pStyle w:val="18"/>
        <w:kinsoku/>
        <w:wordWrap/>
        <w:overflowPunct/>
        <w:topLinePunct w:val="0"/>
        <w:bidi w:val="0"/>
        <w:spacing w:after="0" w:line="540" w:lineRule="exact"/>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承包人须严格执行《保障农民工工资支付条例》（国务院令第724号）要求，开设农民工工资专用账户，专项用于支付该项目农民工工资。若出现拖欠农民工工资产生不良影响的，由承包人承担</w:t>
      </w:r>
      <w:r>
        <w:rPr>
          <w:rFonts w:hint="eastAsia" w:ascii="宋体" w:hAnsi="宋体" w:cs="宋体"/>
          <w:sz w:val="24"/>
          <w:szCs w:val="24"/>
          <w:lang w:val="en-US" w:eastAsia="zh-CN"/>
        </w:rPr>
        <w:t>全部</w:t>
      </w:r>
      <w:r>
        <w:rPr>
          <w:rFonts w:hint="default" w:ascii="宋体" w:hAnsi="宋体" w:cs="宋体"/>
          <w:sz w:val="24"/>
          <w:szCs w:val="24"/>
          <w:lang w:val="en-US" w:eastAsia="zh-CN"/>
        </w:rPr>
        <w:t>责任</w:t>
      </w:r>
      <w:r>
        <w:rPr>
          <w:rFonts w:hint="eastAsia" w:ascii="宋体" w:hAnsi="宋体" w:cs="宋体"/>
          <w:sz w:val="24"/>
          <w:szCs w:val="24"/>
          <w:lang w:val="en-US" w:eastAsia="zh-CN"/>
        </w:rPr>
        <w:t>及后果。</w:t>
      </w:r>
    </w:p>
    <w:p w14:paraId="034D0946">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14:paraId="43E13D2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5.1 </w:t>
      </w:r>
      <w:r>
        <w:rPr>
          <w:rFonts w:hint="eastAsia" w:ascii="宋体" w:hAnsi="宋体" w:eastAsia="宋体" w:cs="宋体"/>
          <w:sz w:val="24"/>
          <w:szCs w:val="24"/>
        </w:rPr>
        <w:tab/>
      </w:r>
      <w:r>
        <w:rPr>
          <w:rFonts w:hint="eastAsia" w:ascii="宋体" w:hAnsi="宋体" w:eastAsia="宋体" w:cs="宋体"/>
          <w:sz w:val="24"/>
          <w:szCs w:val="24"/>
        </w:rPr>
        <w:t>指定分包商的定义</w:t>
      </w:r>
    </w:p>
    <w:p w14:paraId="765098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在合同中，“指定分包商”是指一个分包商：</w:t>
      </w:r>
    </w:p>
    <w:p w14:paraId="6C83779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(a)合同中指明作为指定分包商的，或</w:t>
      </w:r>
    </w:p>
    <w:p w14:paraId="3E8DD9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(b)工程师依据第13款【变更和调整】指示承包人将其作为一名分包商雇用的人员。</w:t>
      </w:r>
    </w:p>
    <w:p w14:paraId="56854EF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5.2 </w:t>
      </w:r>
      <w:r>
        <w:rPr>
          <w:rFonts w:hint="eastAsia" w:ascii="宋体" w:hAnsi="宋体" w:eastAsia="宋体" w:cs="宋体"/>
          <w:sz w:val="24"/>
          <w:szCs w:val="24"/>
        </w:rPr>
        <w:tab/>
      </w:r>
      <w:r>
        <w:rPr>
          <w:rFonts w:hint="eastAsia" w:ascii="宋体" w:hAnsi="宋体" w:eastAsia="宋体" w:cs="宋体"/>
          <w:sz w:val="24"/>
          <w:szCs w:val="24"/>
        </w:rPr>
        <w:t>对指定的反对</w:t>
      </w:r>
    </w:p>
    <w:p w14:paraId="156800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没有义务雇用一名他已通知工程师并提交具体证明资料说明其有理由反对的指定分包商。如果因为（但不限于）下述任何事宜而反对，则该反对应被认为是合理的，除非发包人同意保障承包人免于承担下述事宜的后果：</w:t>
      </w:r>
    </w:p>
    <w:p w14:paraId="3E4D6A2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有理由相信分包商没有足够的能力、资源或资金实力；</w:t>
      </w:r>
    </w:p>
    <w:p w14:paraId="2C8434B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分包合同未规定指定分包商应保障承包人免于承担由分包商、其代理人、雇员的任何疏忽或对货物的错误操作的责任；或</w:t>
      </w:r>
    </w:p>
    <w:p w14:paraId="294BAB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分包合同未规定指定分包商对所分包工程（包括设计，如有时），应该：</w:t>
      </w:r>
    </w:p>
    <w:p w14:paraId="176B8F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向承包人承担该项义务和责任以使承包人可以依照合同免除他的义务和责任，以及</w:t>
      </w:r>
    </w:p>
    <w:p w14:paraId="3A16FE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保障承包人免于按照合同或与合同有关的以及由于分包商未能履行这些义务或完成这些责任而导致的后果所具有的所有义务和责任。</w:t>
      </w:r>
    </w:p>
    <w:p w14:paraId="0745440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5.3 </w:t>
      </w:r>
      <w:r>
        <w:rPr>
          <w:rFonts w:hint="eastAsia" w:ascii="宋体" w:hAnsi="宋体" w:eastAsia="宋体" w:cs="宋体"/>
          <w:sz w:val="24"/>
          <w:szCs w:val="24"/>
        </w:rPr>
        <w:tab/>
      </w:r>
      <w:r>
        <w:rPr>
          <w:rFonts w:hint="eastAsia" w:ascii="宋体" w:hAnsi="宋体" w:eastAsia="宋体" w:cs="宋体"/>
          <w:sz w:val="24"/>
          <w:szCs w:val="24"/>
        </w:rPr>
        <w:t>对指定分包商的支付</w:t>
      </w:r>
    </w:p>
    <w:p w14:paraId="1D5192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承包人应向指定分包商支付工程师证实的依据分包合同应支付的款额。该项款额加上其他费用应按照第13.5款【暂定金额】(b)段的规定加入合同价格，但第5.4款〖支付的证据〗中说明的情况除外。</w:t>
      </w:r>
    </w:p>
    <w:p w14:paraId="783AA12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5.4 </w:t>
      </w:r>
      <w:r>
        <w:rPr>
          <w:rFonts w:hint="eastAsia" w:ascii="宋体" w:hAnsi="宋体" w:eastAsia="宋体" w:cs="宋体"/>
          <w:sz w:val="24"/>
          <w:szCs w:val="24"/>
        </w:rPr>
        <w:tab/>
      </w:r>
      <w:r>
        <w:rPr>
          <w:rFonts w:hint="eastAsia" w:ascii="宋体" w:hAnsi="宋体" w:eastAsia="宋体" w:cs="宋体"/>
          <w:sz w:val="24"/>
          <w:szCs w:val="24"/>
        </w:rPr>
        <w:t>支付的证据</w:t>
      </w:r>
    </w:p>
    <w:p w14:paraId="0664968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一份包括支付给指定分包商的款额的支付证书之前，工程师可以要求承包人提供合理的证据，证明按以前的支付证书已向指定分包商支付了所有应支付的款额（适当地扣除质量保证金或其他）。除非承包人：</w:t>
      </w:r>
    </w:p>
    <w:p w14:paraId="4B4145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向工程师提交了合理的证据，或</w:t>
      </w:r>
    </w:p>
    <w:p w14:paraId="3F5F0B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以书面材料使工程师同意他有权扣留或拒绝支付该项款额，以及</w:t>
      </w:r>
    </w:p>
    <w:p w14:paraId="26356A2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向工程师提交了合理的证据表明他已将此权力通知了指定分包商，</w:t>
      </w:r>
    </w:p>
    <w:p w14:paraId="05C9A2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否则，发包人应（自行决定）直接向指定分包商支付部分或全部已被证实应支付给他的（适当地扣除质量保证金）并且承包人不能按照上述(a)、(b)段所述提供证据的那一项款额。承包人应向发包人偿还这笔由发包人直接支付给指定分包商的款额。</w:t>
      </w:r>
    </w:p>
    <w:p w14:paraId="6F7090A9">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职员和劳工</w:t>
      </w:r>
    </w:p>
    <w:p w14:paraId="269A0E0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 </w:t>
      </w:r>
      <w:r>
        <w:rPr>
          <w:rFonts w:hint="eastAsia" w:ascii="宋体" w:hAnsi="宋体" w:eastAsia="宋体" w:cs="宋体"/>
          <w:sz w:val="24"/>
          <w:szCs w:val="24"/>
        </w:rPr>
        <w:tab/>
      </w:r>
      <w:r>
        <w:rPr>
          <w:rFonts w:hint="eastAsia" w:ascii="宋体" w:hAnsi="宋体" w:eastAsia="宋体" w:cs="宋体"/>
          <w:sz w:val="24"/>
          <w:szCs w:val="24"/>
        </w:rPr>
        <w:t>职员和劳工的雇用</w:t>
      </w:r>
    </w:p>
    <w:p w14:paraId="5BCC2E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除非规范中另有规定，承包人应安排从当地或其他地方雇用所有的职员和劳工，并负责他们的报酬、住房、膳食和交通。</w:t>
      </w:r>
    </w:p>
    <w:p w14:paraId="78AF023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6.2 </w:t>
      </w:r>
      <w:r>
        <w:rPr>
          <w:rFonts w:hint="eastAsia" w:ascii="宋体" w:hAnsi="宋体" w:eastAsia="宋体" w:cs="宋体"/>
          <w:sz w:val="24"/>
          <w:szCs w:val="24"/>
        </w:rPr>
        <w:tab/>
      </w:r>
      <w:r>
        <w:rPr>
          <w:rFonts w:hint="eastAsia" w:ascii="宋体" w:hAnsi="宋体" w:eastAsia="宋体" w:cs="宋体"/>
          <w:sz w:val="24"/>
          <w:szCs w:val="24"/>
        </w:rPr>
        <w:t>工资标准和劳动条件</w:t>
      </w:r>
    </w:p>
    <w:p w14:paraId="05F761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所付的工资标准及遵守的劳动条件应不低于其从事工作的地区同类工商业现行的标准和条件。如果没有现成的标准或条件可适用，承包人所付的工资标准及遵守的劳动条件应不低于从事类似于此承包人工作的当地工商业发包人所付的一般工资标准及遵守的劳动条件。</w:t>
      </w:r>
    </w:p>
    <w:p w14:paraId="481EFCE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6.3 </w:t>
      </w:r>
      <w:r>
        <w:rPr>
          <w:rFonts w:hint="eastAsia" w:ascii="宋体" w:hAnsi="宋体" w:eastAsia="宋体" w:cs="宋体"/>
          <w:sz w:val="24"/>
          <w:szCs w:val="24"/>
        </w:rPr>
        <w:tab/>
      </w:r>
      <w:r>
        <w:rPr>
          <w:rFonts w:hint="eastAsia" w:ascii="宋体" w:hAnsi="宋体" w:eastAsia="宋体" w:cs="宋体"/>
          <w:sz w:val="24"/>
          <w:szCs w:val="24"/>
        </w:rPr>
        <w:t>为他人提供服务的人员</w:t>
      </w:r>
    </w:p>
    <w:p w14:paraId="17D73EF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承包人不应从发包人的人员中招收或试图招收职员或劳工。</w:t>
      </w:r>
    </w:p>
    <w:p w14:paraId="3285C64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6.4 </w:t>
      </w:r>
      <w:r>
        <w:rPr>
          <w:rFonts w:hint="eastAsia" w:ascii="宋体" w:hAnsi="宋体" w:eastAsia="宋体" w:cs="宋体"/>
          <w:sz w:val="24"/>
          <w:szCs w:val="24"/>
        </w:rPr>
        <w:tab/>
      </w:r>
      <w:r>
        <w:rPr>
          <w:rFonts w:hint="eastAsia" w:ascii="宋体" w:hAnsi="宋体" w:eastAsia="宋体" w:cs="宋体"/>
          <w:sz w:val="24"/>
          <w:szCs w:val="24"/>
        </w:rPr>
        <w:t xml:space="preserve">劳动法 </w:t>
      </w:r>
    </w:p>
    <w:p w14:paraId="45EFB05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承包人应遵守所有适用于承包人的人员的相关的劳动法，包括有关此类人员的雇用、健康、安全、福利、入境和出境的法律，并保障他们享有法律规定的所有权利。</w:t>
      </w:r>
    </w:p>
    <w:p w14:paraId="184527F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承包人应要求他的雇员遵守所有适用的法律，包括与安全工作有关的法律。</w:t>
      </w:r>
    </w:p>
    <w:p w14:paraId="3085D1E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6.5 </w:t>
      </w:r>
      <w:r>
        <w:rPr>
          <w:rFonts w:hint="eastAsia" w:ascii="宋体" w:hAnsi="宋体" w:eastAsia="宋体" w:cs="宋体"/>
          <w:sz w:val="24"/>
          <w:szCs w:val="24"/>
        </w:rPr>
        <w:tab/>
      </w:r>
      <w:r>
        <w:rPr>
          <w:rFonts w:hint="eastAsia" w:ascii="宋体" w:hAnsi="宋体" w:eastAsia="宋体" w:cs="宋体"/>
          <w:sz w:val="24"/>
          <w:szCs w:val="24"/>
        </w:rPr>
        <w:t xml:space="preserve">工作时间 </w:t>
      </w:r>
    </w:p>
    <w:p w14:paraId="5A3CBB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在当地公认的休息日，或在投标函附录中规定的正常工作时间以外，不得在现场进行任何工作，除非：</w:t>
      </w:r>
    </w:p>
    <w:p w14:paraId="0E66138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合同另有规定，</w:t>
      </w:r>
    </w:p>
    <w:p w14:paraId="15C465B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工程师同意，或</w:t>
      </w:r>
    </w:p>
    <w:p w14:paraId="5C0729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为了抢救生命或财产，或为了工程的安全，该工作是无法避免的或必须进行的，在此情况下，承包人应立即通知工程师。</w:t>
      </w:r>
    </w:p>
    <w:p w14:paraId="2E82211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6.6 </w:t>
      </w:r>
      <w:r>
        <w:rPr>
          <w:rFonts w:hint="eastAsia" w:ascii="宋体" w:hAnsi="宋体" w:eastAsia="宋体" w:cs="宋体"/>
          <w:sz w:val="24"/>
          <w:szCs w:val="24"/>
        </w:rPr>
        <w:tab/>
      </w:r>
      <w:r>
        <w:rPr>
          <w:rFonts w:hint="eastAsia" w:ascii="宋体" w:hAnsi="宋体" w:eastAsia="宋体" w:cs="宋体"/>
          <w:sz w:val="24"/>
          <w:szCs w:val="24"/>
        </w:rPr>
        <w:t xml:space="preserve">为职员和劳工提供的设施 </w:t>
      </w:r>
    </w:p>
    <w:p w14:paraId="1BBEED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除非规范中另有规定，承包人应为其人员提供并维护所有必须的膳宿及福利设施。承包人还应为发包人的人员提供规范中规定的设施。</w:t>
      </w:r>
    </w:p>
    <w:p w14:paraId="616C86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承包人不得允许任何承包人的人员在构成永久工程部分的构筑物内保留任何临时或永久的居住场所。</w:t>
      </w:r>
    </w:p>
    <w:p w14:paraId="3DF58A1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6.7 </w:t>
      </w:r>
      <w:r>
        <w:rPr>
          <w:rFonts w:hint="eastAsia" w:ascii="宋体" w:hAnsi="宋体" w:eastAsia="宋体" w:cs="宋体"/>
          <w:sz w:val="24"/>
          <w:szCs w:val="24"/>
        </w:rPr>
        <w:tab/>
      </w:r>
      <w:r>
        <w:rPr>
          <w:rFonts w:hint="eastAsia" w:ascii="宋体" w:hAnsi="宋体" w:eastAsia="宋体" w:cs="宋体"/>
          <w:sz w:val="24"/>
          <w:szCs w:val="24"/>
        </w:rPr>
        <w:t xml:space="preserve">健康和安全 </w:t>
      </w:r>
    </w:p>
    <w:p w14:paraId="30F3B67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合理的预防措施以维护其人员的健康和安全。承包人应与当地卫生部门合作，自始至终在现场以及承包人和发包人的人员住地确保配备医务人员、急救设施、病房以及救护服务，并应作出适当安排提供所有必要的福利和卫生条件，并防止传染病的发生。</w:t>
      </w:r>
    </w:p>
    <w:p w14:paraId="65D747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指派一名事故预防官员负责维持安全并防止事故发生。该人员应能胜任此责任，并有权发布指示及采取预防事故发生的保护措施。在工程的整个实施过程中，承包人应提供该人员为执行职责和权力所必需的任何物品。</w:t>
      </w:r>
    </w:p>
    <w:p w14:paraId="1D5799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一旦发生事故，承包人应及时向工程师通报事故详情。承包人应按工程师的合理要求，保持有关人员的健康、安全和福利以及财产损坏的记录并写出报告。</w:t>
      </w:r>
    </w:p>
    <w:p w14:paraId="6F71DFC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6.8 </w:t>
      </w:r>
      <w:r>
        <w:rPr>
          <w:rFonts w:hint="eastAsia" w:ascii="宋体" w:hAnsi="宋体" w:eastAsia="宋体" w:cs="宋体"/>
          <w:sz w:val="24"/>
          <w:szCs w:val="24"/>
        </w:rPr>
        <w:tab/>
      </w:r>
      <w:r>
        <w:rPr>
          <w:rFonts w:hint="eastAsia" w:ascii="宋体" w:hAnsi="宋体" w:eastAsia="宋体" w:cs="宋体"/>
          <w:sz w:val="24"/>
          <w:szCs w:val="24"/>
        </w:rPr>
        <w:t>承包人的监督</w:t>
      </w:r>
    </w:p>
    <w:p w14:paraId="4130DA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只要工程师合理认为为履行承包人的义务必需时，承包人应在工程的整个实施过程中以及此后为完成承包人义务必需的期间内，提供一切对计划、安排、指示、管理、检查和检验工程必要的监督。</w:t>
      </w:r>
    </w:p>
    <w:p w14:paraId="5656CA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监督应由足够的人员执行，他们应能流利地使用日常交流语言（第1.4款【法律和语言】中指定的语言），并具有为圆满和安全地实施工程的作业所需的足够知识（包括所需的方法和技术，可能遇到的危险以及预防事故发生的方法）。</w:t>
      </w:r>
    </w:p>
    <w:p w14:paraId="360918A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6.9 </w:t>
      </w:r>
      <w:r>
        <w:rPr>
          <w:rFonts w:hint="eastAsia" w:ascii="宋体" w:hAnsi="宋体" w:eastAsia="宋体" w:cs="宋体"/>
          <w:sz w:val="24"/>
          <w:szCs w:val="24"/>
        </w:rPr>
        <w:tab/>
      </w:r>
      <w:r>
        <w:rPr>
          <w:rFonts w:hint="eastAsia" w:ascii="宋体" w:hAnsi="宋体" w:eastAsia="宋体" w:cs="宋体"/>
          <w:sz w:val="24"/>
          <w:szCs w:val="24"/>
        </w:rPr>
        <w:t xml:space="preserve">承包人的人员 </w:t>
      </w:r>
    </w:p>
    <w:p w14:paraId="09D97C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承包人的人员应是在他们各自行业或职业内具有技术和经验的合格人员。工程师可以要求承包人撤换（或使他人撤换）雇用于现场或工程中他认为有下列行为的任何人员，包括承包人项目经理（如果适用）：</w:t>
      </w:r>
    </w:p>
    <w:p w14:paraId="017C035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(a)经常行为不轨或不认真；</w:t>
      </w:r>
    </w:p>
    <w:p w14:paraId="7788117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(b)履行职责时不能胜任或玩忽职守；</w:t>
      </w:r>
    </w:p>
    <w:p w14:paraId="61B06CE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(c)不遵守合同的规定；或</w:t>
      </w:r>
    </w:p>
    <w:p w14:paraId="5B609E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(d)经常出现有损健康与安全或有损环境保护的行为。</w:t>
      </w:r>
    </w:p>
    <w:p w14:paraId="05FAA4D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承包人应随后指定（或使他人指定）合适的替代人员。</w:t>
      </w:r>
    </w:p>
    <w:p w14:paraId="1C5344A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6.10 </w:t>
      </w:r>
      <w:r>
        <w:rPr>
          <w:rFonts w:hint="eastAsia" w:ascii="宋体" w:hAnsi="宋体" w:eastAsia="宋体" w:cs="宋体"/>
          <w:sz w:val="24"/>
          <w:szCs w:val="24"/>
        </w:rPr>
        <w:tab/>
      </w:r>
      <w:r>
        <w:rPr>
          <w:rFonts w:hint="eastAsia" w:ascii="宋体" w:hAnsi="宋体" w:eastAsia="宋体" w:cs="宋体"/>
          <w:sz w:val="24"/>
          <w:szCs w:val="24"/>
        </w:rPr>
        <w:t>承包人的人员和设备的记录</w:t>
      </w:r>
    </w:p>
    <w:p w14:paraId="0451C2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承包人应向工程师提交记录详细说明现场各等级的承包人的人员及各类承包人的设备的数量。该记录</w:t>
      </w:r>
      <w:r>
        <w:rPr>
          <w:rFonts w:hint="eastAsia" w:ascii="宋体" w:hAnsi="宋体" w:cs="宋体"/>
          <w:sz w:val="24"/>
          <w:szCs w:val="24"/>
          <w:lang w:val="en-US" w:eastAsia="zh-CN"/>
        </w:rPr>
        <w:t>应当以</w:t>
      </w:r>
      <w:r>
        <w:rPr>
          <w:rFonts w:hint="eastAsia" w:ascii="宋体" w:hAnsi="宋体" w:eastAsia="宋体" w:cs="宋体"/>
          <w:sz w:val="24"/>
          <w:szCs w:val="24"/>
        </w:rPr>
        <w:t>工程师批准的格式在每个日历月提交，直至承包人完成了在工程接收证书中注明的竣工日期时尚未完成的所有工程。</w:t>
      </w:r>
    </w:p>
    <w:p w14:paraId="58D1DFC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6.11 </w:t>
      </w:r>
      <w:r>
        <w:rPr>
          <w:rFonts w:hint="eastAsia" w:ascii="宋体" w:hAnsi="宋体" w:eastAsia="宋体" w:cs="宋体"/>
          <w:sz w:val="24"/>
          <w:szCs w:val="24"/>
        </w:rPr>
        <w:tab/>
      </w:r>
      <w:r>
        <w:rPr>
          <w:rFonts w:hint="eastAsia" w:ascii="宋体" w:hAnsi="宋体" w:eastAsia="宋体" w:cs="宋体"/>
          <w:sz w:val="24"/>
          <w:szCs w:val="24"/>
        </w:rPr>
        <w:t>妨碍治安的行为</w:t>
      </w:r>
    </w:p>
    <w:p w14:paraId="6424267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承包人应始终采取各种合理的预防措施，以防止其人员发生任何非法的、制造事端以及妨碍治安的行为，并保持其人员安定，以及保证现场及邻近地区人员和财产的安全。</w:t>
      </w:r>
    </w:p>
    <w:p w14:paraId="558F0DE2">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14:paraId="1E1D0C2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7.1 </w:t>
      </w:r>
      <w:r>
        <w:rPr>
          <w:rFonts w:hint="eastAsia" w:ascii="宋体" w:hAnsi="宋体" w:eastAsia="宋体" w:cs="宋体"/>
          <w:sz w:val="24"/>
          <w:szCs w:val="24"/>
        </w:rPr>
        <w:tab/>
      </w:r>
      <w:r>
        <w:rPr>
          <w:rFonts w:hint="eastAsia" w:ascii="宋体" w:hAnsi="宋体" w:eastAsia="宋体" w:cs="宋体"/>
          <w:sz w:val="24"/>
          <w:szCs w:val="24"/>
        </w:rPr>
        <w:t>实施方式</w:t>
      </w:r>
    </w:p>
    <w:p w14:paraId="355B3C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承包人应进行永久设备的制造、材料的制造和生产，并实施所有其他工程：</w:t>
      </w:r>
    </w:p>
    <w:p w14:paraId="3948A56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以合同中规定的方法（如有时），</w:t>
      </w:r>
    </w:p>
    <w:p w14:paraId="0F14C27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按照公认的良好惯例，以恰当、熟练和谨慎的方式，</w:t>
      </w:r>
    </w:p>
    <w:p w14:paraId="3D614E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使用适当装备的设施以及安全材料，除非合同中另有规定。</w:t>
      </w:r>
    </w:p>
    <w:p w14:paraId="7C081E4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7.2 </w:t>
      </w:r>
      <w:r>
        <w:rPr>
          <w:rFonts w:hint="eastAsia" w:ascii="宋体" w:hAnsi="宋体" w:eastAsia="宋体" w:cs="宋体"/>
          <w:sz w:val="24"/>
          <w:szCs w:val="24"/>
        </w:rPr>
        <w:tab/>
      </w:r>
      <w:r>
        <w:rPr>
          <w:rFonts w:hint="eastAsia" w:ascii="宋体" w:hAnsi="宋体" w:eastAsia="宋体" w:cs="宋体"/>
          <w:sz w:val="24"/>
          <w:szCs w:val="24"/>
        </w:rPr>
        <w:t>样本</w:t>
      </w:r>
    </w:p>
    <w:p w14:paraId="7CCD78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承包人应向工程师提交以下材料的样本以及有关资料，以在工程中或为工程使用该材料之前获得同意：</w:t>
      </w:r>
    </w:p>
    <w:p w14:paraId="43B37A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制造商的材料标准样本和合同中规定的样本均由承包人自费提供，以及</w:t>
      </w:r>
    </w:p>
    <w:p w14:paraId="684FAA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工程师指示作为变更增加的样本。</w:t>
      </w:r>
    </w:p>
    <w:p w14:paraId="7DD9298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每件样本都应标明其原产地以及在工程中的预期使用部位。</w:t>
      </w:r>
    </w:p>
    <w:p w14:paraId="0C069BD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7.3 </w:t>
      </w:r>
      <w:r>
        <w:rPr>
          <w:rFonts w:hint="eastAsia" w:ascii="宋体" w:hAnsi="宋体" w:eastAsia="宋体" w:cs="宋体"/>
          <w:sz w:val="24"/>
          <w:szCs w:val="24"/>
        </w:rPr>
        <w:tab/>
      </w:r>
      <w:r>
        <w:rPr>
          <w:rFonts w:hint="eastAsia" w:ascii="宋体" w:hAnsi="宋体" w:eastAsia="宋体" w:cs="宋体"/>
          <w:sz w:val="24"/>
          <w:szCs w:val="24"/>
        </w:rPr>
        <w:t xml:space="preserve">检查 </w:t>
      </w:r>
    </w:p>
    <w:p w14:paraId="76894B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发包人的人员在一切合理的时间内：</w:t>
      </w:r>
    </w:p>
    <w:p w14:paraId="27C0B8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应完全能进入现场及进入获得自然材料的所有场所，以及</w:t>
      </w:r>
    </w:p>
    <w:p w14:paraId="607A90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有权在生产、制造和施工期间（在现场或其他地方）对材料和工艺进行审核、检查、测量与检验，并对永久设备的制造进度和材料的生产及制造进度进行审查。</w:t>
      </w:r>
    </w:p>
    <w:p w14:paraId="350B36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承包人应向发包人的人员提供一切机会执行该任务，包括提供通道、设施、许可及安全装备。但此类活动并不解除承包人的任何义务和责任。</w:t>
      </w:r>
    </w:p>
    <w:p w14:paraId="022C83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覆盖、掩蔽或包装以备储运或运输之前，无论何时，当此类工作已准备就绪，承包人应及时通知工程师。工程师应随即进行审核、检查、测量或检验，不得无故拖延，或立即通知承包人无需进行上述工作。如果承包人未发出此类通知而工程师要求时，他应打开这部分工程并随后自费恢复原状，使之完好。</w:t>
      </w:r>
    </w:p>
    <w:p w14:paraId="4E1F2E2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7.4 </w:t>
      </w:r>
      <w:r>
        <w:rPr>
          <w:rFonts w:hint="eastAsia" w:ascii="宋体" w:hAnsi="宋体" w:eastAsia="宋体" w:cs="宋体"/>
          <w:sz w:val="24"/>
          <w:szCs w:val="24"/>
        </w:rPr>
        <w:tab/>
      </w:r>
      <w:r>
        <w:rPr>
          <w:rFonts w:hint="eastAsia" w:ascii="宋体" w:hAnsi="宋体" w:eastAsia="宋体" w:cs="宋体"/>
          <w:sz w:val="24"/>
          <w:szCs w:val="24"/>
        </w:rPr>
        <w:t>检验</w:t>
      </w:r>
    </w:p>
    <w:p w14:paraId="3A717AC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本款适用于所有合同中规定的检验，竣工后的检验（如有时）除外。</w:t>
      </w:r>
    </w:p>
    <w:p w14:paraId="3C539A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供所有为有效进行检验所需的装置、协助、文件和其他资料、电、燃料、消耗品、仪器、劳工、材料与适当的有经验的合格职员。承包人应与工程师商定对任何永久设备、材料和工程其他部分进行规定检验的时间和地点。</w:t>
      </w:r>
    </w:p>
    <w:p w14:paraId="07958C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第13款【变更和调整】的规定，变更规定检验的位置或细节，或指示承包人进行附加检验。如果此变更或附加检验证明被检验的永久设备、材料或工艺不符合合同规定，则此变更费用由承包人承担，不论合同中是否有其他规定。</w:t>
      </w:r>
    </w:p>
    <w:p w14:paraId="7876FEA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工程师应提前至少24小时将其参加检验的意图通知承包人。如果工程师未在商定的时间和地点参加检验，除非工程师另有指示，承包人可着手进行检验，并且此检验应被视为是在工程师在场的情况下进行的。</w:t>
      </w:r>
    </w:p>
    <w:p w14:paraId="7387B6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如果由于遵守工程师的指示或因发包人的延误而使承包人遭受了延误和(/或)导致了费用，则承包人应通知工程师并有权依据第20.1款【承包人的索赔】要求：</w:t>
      </w:r>
    </w:p>
    <w:p w14:paraId="22ECEB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47675CB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14:paraId="237C73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14:paraId="655276E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承包人应立即向工程师提交具有有效证明的检验报告。当规定的检验通过后，工程师应对承包人的检验证书批注认可或就此向承包人颁发证书。若工程师未能参加检验，他应被视为对检验数据的准确性予以认可。</w:t>
      </w:r>
    </w:p>
    <w:p w14:paraId="2ADFAE1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7.5 </w:t>
      </w:r>
      <w:r>
        <w:rPr>
          <w:rFonts w:hint="eastAsia" w:ascii="宋体" w:hAnsi="宋体" w:eastAsia="宋体" w:cs="宋体"/>
          <w:sz w:val="24"/>
          <w:szCs w:val="24"/>
        </w:rPr>
        <w:tab/>
      </w:r>
      <w:r>
        <w:rPr>
          <w:rFonts w:hint="eastAsia" w:ascii="宋体" w:hAnsi="宋体" w:eastAsia="宋体" w:cs="宋体"/>
          <w:sz w:val="24"/>
          <w:szCs w:val="24"/>
        </w:rPr>
        <w:t>拒收</w:t>
      </w:r>
    </w:p>
    <w:p w14:paraId="6B07EA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从审核、检查、测量或检验的结果看，发现任何永久设备、材料或工艺是有缺陷的或不符合合同其他规定的，工程师可拒收此永久设备、材料或工艺，并通知承包人，同时说明理由。承包人应立即修复上述缺陷并保证使被拒收的项目符合合同规定。</w:t>
      </w:r>
    </w:p>
    <w:p w14:paraId="5FC7A48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工程师要求对此永久设备、材料或工艺再度进行检验，则检验应按相同条款和条件重新进行。如果此类拒收和再度检验致使发包人产生了附加费用，则承包人应按照第2.5款【发包人的索赔】的规定，向发包人支付这笔费用。</w:t>
      </w:r>
    </w:p>
    <w:p w14:paraId="66064E3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7.6 </w:t>
      </w:r>
      <w:r>
        <w:rPr>
          <w:rFonts w:hint="eastAsia" w:ascii="宋体" w:hAnsi="宋体" w:eastAsia="宋体" w:cs="宋体"/>
          <w:sz w:val="24"/>
          <w:szCs w:val="24"/>
        </w:rPr>
        <w:tab/>
      </w:r>
      <w:r>
        <w:rPr>
          <w:rFonts w:hint="eastAsia" w:ascii="宋体" w:hAnsi="宋体" w:eastAsia="宋体" w:cs="宋体"/>
          <w:sz w:val="24"/>
          <w:szCs w:val="24"/>
        </w:rPr>
        <w:t>补救工作</w:t>
      </w:r>
    </w:p>
    <w:p w14:paraId="7A4B1D3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不论以前是否进行了任何检验或颁发了证书，工程师仍可以指示承包人：</w:t>
      </w:r>
    </w:p>
    <w:p w14:paraId="44B39B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将工程师认为不符合合同规定的永久设备或材料从现场移走并进行替换；</w:t>
      </w:r>
    </w:p>
    <w:p w14:paraId="7D8A31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把不符合合同规定的任何其他工程移走并重建；以及</w:t>
      </w:r>
    </w:p>
    <w:p w14:paraId="0E5C46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实施任何因保护工程安全而急需的工作，无论因为事故、不可预见事件或是其他事件。</w:t>
      </w:r>
    </w:p>
    <w:p w14:paraId="2B237B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承包人应在指示规定的期限内（如有时）在一合理的时间或立即（如果依(c)段所述是急需的）执行该指示。</w:t>
      </w:r>
    </w:p>
    <w:p w14:paraId="1A75E68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如果承包人未能遵守该指示，则发包人有权雇用其他人来实施工作，并予以支付。除非承包人有权获得此类工作的付款，否则他按照第2.5款【发包人的索赔】的规定，向发包人支付因其未完成工作而导致的费用。</w:t>
      </w:r>
    </w:p>
    <w:p w14:paraId="4BDEC00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7.7 </w:t>
      </w:r>
      <w:r>
        <w:rPr>
          <w:rFonts w:hint="eastAsia" w:ascii="宋体" w:hAnsi="宋体" w:eastAsia="宋体" w:cs="宋体"/>
          <w:sz w:val="24"/>
          <w:szCs w:val="24"/>
        </w:rPr>
        <w:tab/>
      </w:r>
      <w:r>
        <w:rPr>
          <w:rFonts w:hint="eastAsia" w:ascii="宋体" w:hAnsi="宋体" w:eastAsia="宋体" w:cs="宋体"/>
          <w:sz w:val="24"/>
          <w:szCs w:val="24"/>
        </w:rPr>
        <w:t>对永久设备和材料的拥有权</w:t>
      </w:r>
    </w:p>
    <w:p w14:paraId="2A9CF42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在下述时间的较早者，符合工程所在国法律规定范围内的每项永久设备和材料均应成为发包人的财产，无任何留置权和其他限制：</w:t>
      </w:r>
    </w:p>
    <w:p w14:paraId="69CFFA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当运至现场时；</w:t>
      </w:r>
    </w:p>
    <w:p w14:paraId="6B8D98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当依据第8.10款【暂停时永久设备和材料的支付】承包人有权获得相当于永久设备和材料的价值的付款时。</w:t>
      </w:r>
    </w:p>
    <w:p w14:paraId="483C8EF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7.8 </w:t>
      </w:r>
      <w:r>
        <w:rPr>
          <w:rFonts w:hint="eastAsia" w:ascii="宋体" w:hAnsi="宋体" w:eastAsia="宋体" w:cs="宋体"/>
          <w:sz w:val="24"/>
          <w:szCs w:val="24"/>
        </w:rPr>
        <w:tab/>
      </w:r>
      <w:r>
        <w:rPr>
          <w:rFonts w:hint="eastAsia" w:ascii="宋体" w:hAnsi="宋体" w:eastAsia="宋体" w:cs="宋体"/>
          <w:sz w:val="24"/>
          <w:szCs w:val="24"/>
        </w:rPr>
        <w:t xml:space="preserve">矿区使用费 </w:t>
      </w:r>
    </w:p>
    <w:p w14:paraId="0F8CEB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除非规范中另有规定，承包人应为下列各项支付所有矿区使用费、租金或其他费用：</w:t>
      </w:r>
    </w:p>
    <w:p w14:paraId="1470837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从现场外获得的原材料；以及</w:t>
      </w:r>
    </w:p>
    <w:p w14:paraId="2B96D9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对拆除及开挖的材料和其他剩余材料（无论是天然的或合成的），但不包括合同中规定的现场内的弃土区。</w:t>
      </w:r>
    </w:p>
    <w:p w14:paraId="32A11B59">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14:paraId="17D729B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14:paraId="4EF37B0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工程师应至少提前7天通知承包人开工日期。除非专用条件中另有说明，开工日期应在承包人接到中标通知书后的42天内。</w:t>
      </w:r>
    </w:p>
    <w:p w14:paraId="6F1BB6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承包人应在开工日期后合理可行的情况下尽快开始实施工程，随后应迅速且毫不拖延地进行施工。</w:t>
      </w:r>
    </w:p>
    <w:p w14:paraId="2325AA1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8.2 </w:t>
      </w:r>
      <w:r>
        <w:rPr>
          <w:rFonts w:hint="eastAsia" w:ascii="宋体" w:hAnsi="宋体" w:eastAsia="宋体" w:cs="宋体"/>
          <w:sz w:val="24"/>
          <w:szCs w:val="24"/>
        </w:rPr>
        <w:tab/>
      </w:r>
      <w:r>
        <w:rPr>
          <w:rFonts w:hint="eastAsia" w:ascii="宋体" w:hAnsi="宋体" w:eastAsia="宋体" w:cs="宋体"/>
          <w:sz w:val="24"/>
          <w:szCs w:val="24"/>
        </w:rPr>
        <w:t>竣工时间</w:t>
      </w:r>
    </w:p>
    <w:p w14:paraId="5010103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承包人应在工程或区段（如有时）的竣工时间内完成整个工程以及每一区段（视情况而定），包括：</w:t>
      </w:r>
    </w:p>
    <w:p w14:paraId="694834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通过竣工检验，以及</w:t>
      </w:r>
    </w:p>
    <w:p w14:paraId="4B3405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完成合同中规定的所有工作，这些工作被认为是为了按照第10.1款【对工程和区段的接收】的规定，进行移交之目的而完成工程和区段所必需的工作。</w:t>
      </w:r>
    </w:p>
    <w:p w14:paraId="5533195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14:paraId="6D07CC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在按照第8.1款【工程的开工】的规定接到通知后28天内承包人应向工程师提交详细的进度计划。当原进度计划与实际进度或承包人的义务不符时，承包人还应提交一份修改的进度计划。每份进度计划应包括：</w:t>
      </w:r>
    </w:p>
    <w:p w14:paraId="06F1AC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承包人计划实施工程的次序，包括设计（如有时），承包人的文件，采购，永久设备的制造，运达现场，施工，安装和检验的各个阶段的预期时间，</w:t>
      </w:r>
    </w:p>
    <w:p w14:paraId="1FD2E77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每个指定分包商（在第5款【指定分包商】中定义的）的工程的各个阶段，</w:t>
      </w:r>
    </w:p>
    <w:p w14:paraId="58BB558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合同中规定的检查和检验的次序和时间，以及</w:t>
      </w:r>
    </w:p>
    <w:p w14:paraId="253E38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一份证明文件，内容为：</w:t>
      </w:r>
    </w:p>
    <w:p w14:paraId="7A7405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对实施工程中承包人准备采用的方法和主要阶段的总体描述，以及</w:t>
      </w:r>
    </w:p>
    <w:p w14:paraId="77F326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各主要阶段现场所需的各等级的承包人的人员和各类承包人的设备的数量的合理估算的详细说明。</w:t>
      </w:r>
    </w:p>
    <w:p w14:paraId="671284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除非工程师在接到进度计划后21天内通知承包人该计划不符合合同规定，否则承包人应按照此进度计划履行义务，但不应影响到合同中规定的其他义务。发包人的人员应有权在计划他们的活动时依据该进度计划。</w:t>
      </w:r>
    </w:p>
    <w:p w14:paraId="5EACA5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及时通知工程师，具体说明可能发生将对工程造成不利影响、使合同价格增加或延误工程施工的事件或情况。工程师可能要求承包人提交一份对将来事件或情况的预期影响的估计，和（或）按第13.3款【变更程序】提交一份建议书。</w:t>
      </w:r>
    </w:p>
    <w:p w14:paraId="6FF0EF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如果在任何时候工程师通知承包人该进度计划（规定范围内）不符合合同规定，或与实际进度及承包人说明的计划不一致，承包人应按本款规定向工程师提交一份修改的进度计划。</w:t>
      </w:r>
    </w:p>
    <w:p w14:paraId="1C7F7AE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8.4 </w:t>
      </w:r>
      <w:r>
        <w:rPr>
          <w:rFonts w:hint="eastAsia" w:ascii="宋体" w:hAnsi="宋体" w:eastAsia="宋体" w:cs="宋体"/>
          <w:sz w:val="24"/>
          <w:szCs w:val="24"/>
        </w:rPr>
        <w:tab/>
      </w:r>
      <w:r>
        <w:rPr>
          <w:rFonts w:hint="eastAsia" w:ascii="宋体" w:hAnsi="宋体" w:eastAsia="宋体" w:cs="宋体"/>
          <w:sz w:val="24"/>
          <w:szCs w:val="24"/>
        </w:rPr>
        <w:t xml:space="preserve">竣工时间的延长 </w:t>
      </w:r>
    </w:p>
    <w:p w14:paraId="3F94FD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如果由于下述任何原因致使承包人对第10.1款【对工程和区段的接收】中的竣工在一定程度上遭到或将要遭到延误，承包人可依据第20.1款【承包人的索赔】要求延长竣工时间：</w:t>
      </w:r>
    </w:p>
    <w:p w14:paraId="7A48A00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一项变更（除非已根据第13.3款【变更程序】商定对竣工时间作出调整）或其他合同中包括的任何一项工程数量上的实质性变化；</w:t>
      </w:r>
    </w:p>
    <w:p w14:paraId="2EC5CE8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导致承包人根据本合同条件的某条款有权获得延长工期的延误原因；</w:t>
      </w:r>
    </w:p>
    <w:p w14:paraId="22CE42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异常不利的气候条件；</w:t>
      </w:r>
    </w:p>
    <w:p w14:paraId="5E78DF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由于传染病或其他政府行为导致人员或货物的可获得的不可预见的短缺；或</w:t>
      </w:r>
    </w:p>
    <w:p w14:paraId="13270A5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由发包人，发包人人员或现场中发包人的其他承包人直接造成的或认为属于其责任的任何延误、干扰或阻碍。</w:t>
      </w:r>
    </w:p>
    <w:p w14:paraId="4A35AB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认为他有权获得竣工时间的延长，承包人应按第20.1款【承包人的索赔】的规定，向工程师发出通知。当依据第20.1款确定每一延长时间时，工程师应复查以前的决定并可增加（但不应减少）整个延期时间。</w:t>
      </w:r>
    </w:p>
    <w:p w14:paraId="556757B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8.5 </w:t>
      </w:r>
      <w:r>
        <w:rPr>
          <w:rFonts w:hint="eastAsia" w:ascii="宋体" w:hAnsi="宋体" w:eastAsia="宋体" w:cs="宋体"/>
          <w:sz w:val="24"/>
          <w:szCs w:val="24"/>
        </w:rPr>
        <w:tab/>
      </w:r>
      <w:r>
        <w:rPr>
          <w:rFonts w:hint="eastAsia" w:ascii="宋体" w:hAnsi="宋体" w:eastAsia="宋体" w:cs="宋体"/>
          <w:sz w:val="24"/>
          <w:szCs w:val="24"/>
        </w:rPr>
        <w:t>由公共当局引起的延误</w:t>
      </w:r>
    </w:p>
    <w:p w14:paraId="1AC2C1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如果下列条件成立，即：</w:t>
      </w:r>
    </w:p>
    <w:p w14:paraId="1F87C5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(a)承包人已努力遵守了工程所在国有关合法公共当局制定的程序；</w:t>
      </w:r>
    </w:p>
    <w:p w14:paraId="028A44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(b)这些公共当局延误或干扰了承包人的工作；以及</w:t>
      </w:r>
    </w:p>
    <w:p w14:paraId="5A77FA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(c)此延误或干扰是无法预见的，</w:t>
      </w:r>
    </w:p>
    <w:p w14:paraId="244809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则此类延误或干扰应被视为是属于第8.4款【竣工时间的延长】(b)段中规定的一种延误原因。</w:t>
      </w:r>
    </w:p>
    <w:p w14:paraId="7001DAF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8.6 </w:t>
      </w:r>
      <w:r>
        <w:rPr>
          <w:rFonts w:hint="eastAsia" w:ascii="宋体" w:hAnsi="宋体" w:eastAsia="宋体" w:cs="宋体"/>
          <w:sz w:val="24"/>
          <w:szCs w:val="24"/>
        </w:rPr>
        <w:tab/>
      </w:r>
      <w:r>
        <w:rPr>
          <w:rFonts w:hint="eastAsia" w:ascii="宋体" w:hAnsi="宋体" w:eastAsia="宋体" w:cs="宋体"/>
          <w:sz w:val="24"/>
          <w:szCs w:val="24"/>
        </w:rPr>
        <w:t>进展速度</w:t>
      </w:r>
    </w:p>
    <w:p w14:paraId="2BFB5E7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如果任何时候：</w:t>
      </w:r>
    </w:p>
    <w:p w14:paraId="3F1BA8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实际进度过于缓慢以致无法按竣工时间完工，和(/或)</w:t>
      </w:r>
    </w:p>
    <w:p w14:paraId="7C43B2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进度已经（或将要）落后于第8.3款【进度计划】中规定的现行进度计划，</w:t>
      </w:r>
    </w:p>
    <w:p w14:paraId="6A5E6F2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由于第8.4款【竣工时间的延长】中所列原因导致的落后，工程师可以指示承包人按照第8.3款【进度计划】的规定提交一份修改的进度计划以及证明文件，详细说明承包人为加快施工并在竣工时间内完工拟采取的修正方法。</w:t>
      </w:r>
    </w:p>
    <w:p w14:paraId="1F7109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另有通知，承包人应自担风险和自付费用采取这些修正方法，这些方法可能需要增加工作时间和(/或)增加承包人人员和(/或)货物。如果这些修正方法导致发包人产生了附加费用，则除第8.7款中所述的误期损害赔偿费（如有时）外，承包人还应按第2.5款【发包人的索赔】的规定向发包人支付该笔附加费用。</w:t>
      </w:r>
    </w:p>
    <w:p w14:paraId="686C04A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14:paraId="32807C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竣工时间】，承包人应依据第2.5款【发包人的索赔】为此违约向发包人支付误期损害赔偿费。这笔误期损害赔偿费是指投标函附录中注明的金额，即自相应的竣工时间起至接收证书注明的日期止的每日支付。但全部应付款额不应超过投标函附录中规定的误期损失的最高限额（如有时）。</w:t>
      </w:r>
    </w:p>
    <w:p w14:paraId="63A18D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此损失费并不解除承包人完成工程的义务或合同规定的其他职责、义务或责任。</w:t>
      </w:r>
    </w:p>
    <w:p w14:paraId="581E7FA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8.8 </w:t>
      </w:r>
      <w:r>
        <w:rPr>
          <w:rFonts w:hint="eastAsia" w:ascii="宋体" w:hAnsi="宋体" w:eastAsia="宋体" w:cs="宋体"/>
          <w:sz w:val="24"/>
          <w:szCs w:val="24"/>
        </w:rPr>
        <w:tab/>
      </w:r>
      <w:r>
        <w:rPr>
          <w:rFonts w:hint="eastAsia" w:ascii="宋体" w:hAnsi="宋体" w:eastAsia="宋体" w:cs="宋体"/>
          <w:sz w:val="24"/>
          <w:szCs w:val="24"/>
        </w:rPr>
        <w:t>工程暂停</w:t>
      </w:r>
    </w:p>
    <w:p w14:paraId="7687EE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工程师可随时指示承包人暂停进行部分或全部工程。暂停期间，承包人应保护、保管以及保障该部分或全部工程免遭任何损蚀、损失或损害。</w:t>
      </w:r>
    </w:p>
    <w:p w14:paraId="0825CF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工程师还应通知停工原因。如果且(在一定程度上)已通知了原因并认为是因为承包人的责任所导致，则下列第8.9款、第8.10款和第8.11款不适用。</w:t>
      </w:r>
    </w:p>
    <w:p w14:paraId="657B999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8.9 </w:t>
      </w:r>
      <w:r>
        <w:rPr>
          <w:rFonts w:hint="eastAsia" w:ascii="宋体" w:hAnsi="宋体" w:eastAsia="宋体" w:cs="宋体"/>
          <w:sz w:val="24"/>
          <w:szCs w:val="24"/>
        </w:rPr>
        <w:tab/>
      </w:r>
      <w:r>
        <w:rPr>
          <w:rFonts w:hint="eastAsia" w:ascii="宋体" w:hAnsi="宋体" w:eastAsia="宋体" w:cs="宋体"/>
          <w:sz w:val="24"/>
          <w:szCs w:val="24"/>
        </w:rPr>
        <w:t>暂停引起的后果</w:t>
      </w:r>
    </w:p>
    <w:p w14:paraId="1B80FC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如果承包人在遵守工程师根据第8.8款【工程暂停】所发出的指示以及/或在复工时遭受了延误和/或导致了费用，则承包人应通知工程师并有权依据第20.1款【承包人的索赔】要求：</w:t>
      </w:r>
    </w:p>
    <w:p w14:paraId="77252A9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323107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14:paraId="14BDE8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14:paraId="1EFFBE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如果以上后果是由承包人错误的设计、工艺或材料引起的，或由于承包人未能按第8.8款【工程暂停】的规定采取保护、保管及保障措施引起的，则承包人无权获得为修复上述后果所需的延期和招致的费用。</w:t>
      </w:r>
    </w:p>
    <w:p w14:paraId="0CB9A91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8.10 </w:t>
      </w:r>
      <w:r>
        <w:rPr>
          <w:rFonts w:hint="eastAsia" w:ascii="宋体" w:hAnsi="宋体" w:eastAsia="宋体" w:cs="宋体"/>
          <w:sz w:val="24"/>
          <w:szCs w:val="24"/>
        </w:rPr>
        <w:tab/>
      </w:r>
      <w:r>
        <w:rPr>
          <w:rFonts w:hint="eastAsia" w:ascii="宋体" w:hAnsi="宋体" w:eastAsia="宋体" w:cs="宋体"/>
          <w:sz w:val="24"/>
          <w:szCs w:val="24"/>
        </w:rPr>
        <w:t xml:space="preserve">暂停时对永久设备和材料的支付 </w:t>
      </w:r>
    </w:p>
    <w:p w14:paraId="51667EF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承包人有权获得未被运至现场的永久设备以及/或材料的支付，付款应为该永久设备以及/或材料在停工开始日期时的价值，如果：</w:t>
      </w:r>
    </w:p>
    <w:p w14:paraId="7FBEAE0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有关永久设备的工作或永久设备以及/或材料的运送被暂停超过28天，以及</w:t>
      </w:r>
    </w:p>
    <w:p w14:paraId="1A43D6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承包人根据工程师的指示已将这些永久设备和/或材料标记为发包人的财产。</w:t>
      </w:r>
    </w:p>
    <w:p w14:paraId="7E7844F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8.11 </w:t>
      </w:r>
      <w:r>
        <w:rPr>
          <w:rFonts w:hint="eastAsia" w:ascii="宋体" w:hAnsi="宋体" w:eastAsia="宋体" w:cs="宋体"/>
          <w:sz w:val="24"/>
          <w:szCs w:val="24"/>
        </w:rPr>
        <w:tab/>
      </w:r>
      <w:r>
        <w:rPr>
          <w:rFonts w:hint="eastAsia" w:ascii="宋体" w:hAnsi="宋体" w:eastAsia="宋体" w:cs="宋体"/>
          <w:sz w:val="24"/>
          <w:szCs w:val="24"/>
        </w:rPr>
        <w:t>持续的暂停</w:t>
      </w:r>
    </w:p>
    <w:p w14:paraId="797FAB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第8.8款【工程暂停】所述的暂停已持续84天以上，承包人可要求工程师同意继续施工。若在接到上述请求后28天内工程师未给予许可，则承包人可以通知工程师将把暂停影响到的工程视为第13款【变更和调整】所述的删减。如果此类暂停影响到整个工程，承包人可根据第16.2款【承包人提出终止】发出通知，提出终止合同。</w:t>
      </w:r>
    </w:p>
    <w:p w14:paraId="74F72D9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8.12 </w:t>
      </w:r>
      <w:r>
        <w:rPr>
          <w:rFonts w:hint="eastAsia" w:ascii="宋体" w:hAnsi="宋体" w:eastAsia="宋体" w:cs="宋体"/>
          <w:sz w:val="24"/>
          <w:szCs w:val="24"/>
        </w:rPr>
        <w:tab/>
      </w:r>
      <w:r>
        <w:rPr>
          <w:rFonts w:hint="eastAsia" w:ascii="宋体" w:hAnsi="宋体" w:eastAsia="宋体" w:cs="宋体"/>
          <w:sz w:val="24"/>
          <w:szCs w:val="24"/>
        </w:rPr>
        <w:t xml:space="preserve">复工 </w:t>
      </w:r>
    </w:p>
    <w:p w14:paraId="705525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在接到继续工作的许可或指示后，承包人应和工程师一起检查受到暂停影响的工程以及永久设备和材料。承包人应修复在暂停期间发生在工程、永久设备或材料中的任何损蚀、缺陷或损失。</w:t>
      </w:r>
    </w:p>
    <w:p w14:paraId="6AE7CEA2">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14:paraId="6C28EB5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14:paraId="21AA33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承包人在根据第4.1款【承包人的一般义务】(d)段所述提交文件后，应根据本款和第7.4款【检验】进行竣工检验。</w:t>
      </w:r>
    </w:p>
    <w:p w14:paraId="61300E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承包人应提前21天将某一确定日期通知工程师，说明在该日期后他将准备好进行竣工检验。除非另有商定，此类检验应在该日期后14天内于工程师指示的某日或数日内进行。</w:t>
      </w:r>
    </w:p>
    <w:p w14:paraId="22901C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考虑竣工检验结果时，工程师应考虑到因发包人对工程的任何使用而对工程的性能或其他特性所产生的影响。一旦工程或某一区段通过了竣工检验，承包人应向工程师提交一份有关此类检验结果并经证明的报告。</w:t>
      </w:r>
    </w:p>
    <w:p w14:paraId="0DA3D51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9.2 </w:t>
      </w:r>
      <w:r>
        <w:rPr>
          <w:rFonts w:hint="eastAsia" w:ascii="宋体" w:hAnsi="宋体" w:eastAsia="宋体" w:cs="宋体"/>
          <w:sz w:val="24"/>
          <w:szCs w:val="24"/>
        </w:rPr>
        <w:tab/>
      </w:r>
      <w:r>
        <w:rPr>
          <w:rFonts w:hint="eastAsia" w:ascii="宋体" w:hAnsi="宋体" w:eastAsia="宋体" w:cs="宋体"/>
          <w:sz w:val="24"/>
          <w:szCs w:val="24"/>
        </w:rPr>
        <w:t>延误的检验</w:t>
      </w:r>
    </w:p>
    <w:p w14:paraId="0A35B5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如果发包人无故延误竣工检验时，则第7.4款【检验】（第五段）和(/或)第10.3款【对竣工检验的干扰】将适用。</w:t>
      </w:r>
    </w:p>
    <w:p w14:paraId="6BA375B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如果承包人无故延误竣工检验，工程师可通知承包人要求他在收到该通知后21天内进行此类检验。承包人应在该期限内他可能确定的某日或数日内进行检验，并将此日期通知工程师。</w:t>
      </w:r>
    </w:p>
    <w:p w14:paraId="4DFDDB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若承包人未能在21天的期限内进行竣工检验，发包人的人员可着手进行此类检验，其风险和费用均由承包人承担。此类竣工检验应被视为是在承包人在场的情况下进行的且检验结果应被认为是准确的。</w:t>
      </w:r>
    </w:p>
    <w:p w14:paraId="19D3CEF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9.3 </w:t>
      </w:r>
      <w:r>
        <w:rPr>
          <w:rFonts w:hint="eastAsia" w:ascii="宋体" w:hAnsi="宋体" w:eastAsia="宋体" w:cs="宋体"/>
          <w:sz w:val="24"/>
          <w:szCs w:val="24"/>
        </w:rPr>
        <w:tab/>
      </w:r>
      <w:r>
        <w:rPr>
          <w:rFonts w:hint="eastAsia" w:ascii="宋体" w:hAnsi="宋体" w:eastAsia="宋体" w:cs="宋体"/>
          <w:sz w:val="24"/>
          <w:szCs w:val="24"/>
        </w:rPr>
        <w:t xml:space="preserve">重新检验 </w:t>
      </w:r>
    </w:p>
    <w:p w14:paraId="679DD44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如果工程或某区段未能通过竣工检验，则第7.5款【拒收】将适用，且工程师或承包人可要求按相同条款或条件，重复进行此类未通过的检验以及对任何相关工作的竣工检验。</w:t>
      </w:r>
    </w:p>
    <w:p w14:paraId="5A52B63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9.4 </w:t>
      </w:r>
      <w:r>
        <w:rPr>
          <w:rFonts w:hint="eastAsia" w:ascii="宋体" w:hAnsi="宋体" w:eastAsia="宋体" w:cs="宋体"/>
          <w:sz w:val="24"/>
          <w:szCs w:val="24"/>
        </w:rPr>
        <w:tab/>
      </w:r>
      <w:r>
        <w:rPr>
          <w:rFonts w:hint="eastAsia" w:ascii="宋体" w:hAnsi="宋体" w:eastAsia="宋体" w:cs="宋体"/>
          <w:sz w:val="24"/>
          <w:szCs w:val="24"/>
        </w:rPr>
        <w:t>未能通过竣工检验</w:t>
      </w:r>
    </w:p>
    <w:p w14:paraId="746FFC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当整个工程或某区段未能通过根据第9.3款【重新检验】所进行的重复竣工检验时，工程师应有权：</w:t>
      </w:r>
    </w:p>
    <w:p w14:paraId="59C756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指示按照第9.3款再进行一次重复的竣工检验；</w:t>
      </w:r>
    </w:p>
    <w:p w14:paraId="48C492A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如果由于该过失致使发包人基本上无法享用该工程或区段所带来的全部利益，拒收整个工程或区段（视情况而定），在此情况下，发包人应获得与第11.4款【未能修补缺陷】(c)段中的规定相同的补偿；或</w:t>
      </w:r>
    </w:p>
    <w:p w14:paraId="454199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颁发一份接收证书（如果发包人如此要求的话）。</w:t>
      </w:r>
    </w:p>
    <w:p w14:paraId="3BF66B5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c)段所述的情况下，承包人应根据合同中规定的所有其他义务继续工作，并且合同价格应按照可以适当弥补由于此类失误而给发包人造成的减少的价值数额予以扣除。除非合同中已规定了此类失误的有关扣除（或定义了计算方法），发包人可以要求此扣除(i)以双方商定的数额（仅限于用来弥补此类失误），并在颁发接收证书前获得支付，或(ii)依据第2.5款【发包人的索赔】和第3.5款【决定】作出决定及支付。</w:t>
      </w:r>
    </w:p>
    <w:p w14:paraId="1604A318">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发包人的接收</w:t>
      </w:r>
    </w:p>
    <w:p w14:paraId="0FECB0C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10.1 </w:t>
      </w:r>
      <w:r>
        <w:rPr>
          <w:rFonts w:hint="eastAsia" w:ascii="宋体" w:hAnsi="宋体" w:eastAsia="宋体" w:cs="宋体"/>
          <w:sz w:val="24"/>
          <w:szCs w:val="24"/>
        </w:rPr>
        <w:tab/>
      </w:r>
      <w:r>
        <w:rPr>
          <w:rFonts w:hint="eastAsia" w:ascii="宋体" w:hAnsi="宋体" w:eastAsia="宋体" w:cs="宋体"/>
          <w:sz w:val="24"/>
          <w:szCs w:val="24"/>
        </w:rPr>
        <w:t>对工程和区段的接收</w:t>
      </w:r>
    </w:p>
    <w:p w14:paraId="276DEA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第9.4款【未能通过竣工检验】所述情况外，当(i)工程根据合同已竣工，包括第8.2款【竣工时间】中所述事宜，但下面(a)段所述情况除外，且(ii)根据本款已颁发或认为已颁发工程接收证书时，发包人应接收工程。</w:t>
      </w:r>
    </w:p>
    <w:p w14:paraId="3B0D6D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承包人可在他认为工程将完工并准备移交前14天内，向工程师发出申请接收证书的通知。如果工程分为区段，则承包人应同样为每一区段申请接收证书。</w:t>
      </w:r>
    </w:p>
    <w:p w14:paraId="5378158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工程师在收到承包人的申请后28天内，应</w:t>
      </w:r>
    </w:p>
    <w:p w14:paraId="6CCFC3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向承包人颁发接收证书，说明根据合同工程或区段完工的日期，但某些不会实质影响工程或区段按其预定目的使用的扫尾工作以及缺陷除外（直到或当该工程已完成且已修补缺陷时），或</w:t>
      </w:r>
    </w:p>
    <w:p w14:paraId="6EFEA3B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驳回申请，提出理由并说明为使接收证书得以颁发承包人尚需完成的工作。随后承包人应在根据本款再一次发出申请通知前，完成此类工作。</w:t>
      </w:r>
    </w:p>
    <w:p w14:paraId="63ADD0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若在28天期限内工程师既未颁发接收证书也未驳回承包人的申请，而当工程或区段（视情况而定）基本符合合同要求时，应视为在上述期限内的最后一天已经颁发了接收证书。</w:t>
      </w:r>
    </w:p>
    <w:p w14:paraId="58C3012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10.2 </w:t>
      </w:r>
      <w:r>
        <w:rPr>
          <w:rFonts w:hint="eastAsia" w:ascii="宋体" w:hAnsi="宋体" w:eastAsia="宋体" w:cs="宋体"/>
          <w:sz w:val="24"/>
          <w:szCs w:val="24"/>
        </w:rPr>
        <w:tab/>
      </w:r>
      <w:r>
        <w:rPr>
          <w:rFonts w:hint="eastAsia" w:ascii="宋体" w:hAnsi="宋体" w:eastAsia="宋体" w:cs="宋体"/>
          <w:sz w:val="24"/>
          <w:szCs w:val="24"/>
        </w:rPr>
        <w:t xml:space="preserve">对部分工程的接收 </w:t>
      </w:r>
    </w:p>
    <w:p w14:paraId="558CBD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在发包人的决定下，工程师可以为部分永久工程颁发接收证书。</w:t>
      </w:r>
    </w:p>
    <w:p w14:paraId="3538D6F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发包人不得使用工程的任何部分（合同规定或双方协议的临时措施除外）除非且直至工程师已颁发了该部分的接收证书。但是，如果在接收证书颁发前发包人确实使用了工程的任何部分：</w:t>
      </w:r>
    </w:p>
    <w:p w14:paraId="6DABBAE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该被使用的部分自被使用之日，应视为已被发包人接收；</w:t>
      </w:r>
    </w:p>
    <w:p w14:paraId="090CBF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承包人应从使用之日起停止对该部分的照管责任，此时，责任应转给发包人；以及</w:t>
      </w:r>
    </w:p>
    <w:p w14:paraId="146BAE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当承包人要求时，工程师应为此部分颁发接收证书。</w:t>
      </w:r>
    </w:p>
    <w:p w14:paraId="3CE360B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工程师为此部分工程颁发接收证书后，应尽早给予承包人机会以使其采取可能必要的步骤完成任何尚未完成的竣工检验，承包人应在缺陷责任期期满前尽快进行此类竣工检验。</w:t>
      </w:r>
    </w:p>
    <w:p w14:paraId="4B36B66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接收和(或)使用该部分工程（合同中规定的及承包人同意的使用除外，）而使承包人招致了费用，承包人应(i)通知工程师并(ii)有权依据第20.1款【承包人的索赔】获得有关费用以及合理利润的支付，并将之加入合同价格。在接到此通知后，工程师应按照第3.5款【决定】，对此费用及利润做出商定或决定。</w:t>
      </w:r>
    </w:p>
    <w:p w14:paraId="20F7E3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对工程的任何部分（而不是区段）颁发了接收证书，对于完成该工程的剩余部分的延误损失应减少。同样，包含该部分的区段（如有时）的剩余部分的延误损失也应减少。在接收证书注明的日期之后的任何拖延期间，延误损失减少的比例应按已签发部分的价值相对于整个工程或区段（视情况而定）的总价值的比例计算。工程师应根据第3.5款【决定】，对此比例作出商定或决定。本段规定仅适用于第8.7款【延误损失】规定的延误损失的日费率，但并不对其最大限额构成影响。</w:t>
      </w:r>
    </w:p>
    <w:p w14:paraId="61724DC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10.3 </w:t>
      </w:r>
      <w:r>
        <w:rPr>
          <w:rFonts w:hint="eastAsia" w:ascii="宋体" w:hAnsi="宋体" w:eastAsia="宋体" w:cs="宋体"/>
          <w:sz w:val="24"/>
          <w:szCs w:val="24"/>
        </w:rPr>
        <w:tab/>
      </w:r>
      <w:r>
        <w:rPr>
          <w:rFonts w:hint="eastAsia" w:ascii="宋体" w:hAnsi="宋体" w:eastAsia="宋体" w:cs="宋体"/>
          <w:sz w:val="24"/>
          <w:szCs w:val="24"/>
        </w:rPr>
        <w:t>对竣工检验的干扰</w:t>
      </w:r>
    </w:p>
    <w:p w14:paraId="2B9CEA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如果由于发包人负责的原因妨碍承包人进行竣工检验已达14天以上，则应认为发包人已在本应完成竣工检验之日接收了工程或区段（视情况而定）。</w:t>
      </w:r>
    </w:p>
    <w:p w14:paraId="28C708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工程师随后应相应地颁发一份接收证书，并且承包人应在缺陷责任期期满前尽快进行竣工检验。工程师应提前14天发出通知，要求根据合同的有关规定进行竣工检验。</w:t>
      </w:r>
    </w:p>
    <w:p w14:paraId="7880B16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若延误进行竣工检验致使承包人遭受了延误和(或)导致了费用，则承包人应通知工程师并有权依据第20.1款【承包人的索赔】，要求：</w:t>
      </w:r>
    </w:p>
    <w:p w14:paraId="577192C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1924DF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支付任何有关费用加上合理的利润，并将之加入合同价格。</w:t>
      </w:r>
    </w:p>
    <w:p w14:paraId="1DD4C7B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14:paraId="26F8170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10.4 </w:t>
      </w:r>
      <w:r>
        <w:rPr>
          <w:rFonts w:hint="eastAsia" w:ascii="宋体" w:hAnsi="宋体" w:eastAsia="宋体" w:cs="宋体"/>
          <w:sz w:val="24"/>
          <w:szCs w:val="24"/>
        </w:rPr>
        <w:tab/>
      </w:r>
      <w:r>
        <w:rPr>
          <w:rFonts w:hint="eastAsia" w:ascii="宋体" w:hAnsi="宋体" w:eastAsia="宋体" w:cs="宋体"/>
          <w:sz w:val="24"/>
          <w:szCs w:val="24"/>
        </w:rPr>
        <w:t xml:space="preserve">地表需要恢复原状 </w:t>
      </w:r>
    </w:p>
    <w:p w14:paraId="22C2AB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除非接收证书中另有规定，区段或部分工程的证书并不认为可以证明任何需要恢复原状的场地或其他地表面的工作已经完成。</w:t>
      </w:r>
    </w:p>
    <w:p w14:paraId="57E782E6">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14:paraId="1522F84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完成扫尾工作和修补缺陷</w:t>
      </w:r>
    </w:p>
    <w:p w14:paraId="0EF33E9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为在相关缺陷责任期期满前或之后尽快使工作和承包人的文件以及每一区段符合合同要求的条件（合理的磨损除外），承包人应：</w:t>
      </w:r>
    </w:p>
    <w:p w14:paraId="4680A2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在工程师指定的一段合理时间内完成至接收证书注明的日期时尚未完成的任何工作；</w:t>
      </w:r>
    </w:p>
    <w:p w14:paraId="6FC94EB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按照发包人（或发包人授权的他人）指示，在工程或区段的缺陷责任期期满之日或之前（视情况而定）实施补救缺陷或损害所必需的所有工作。</w:t>
      </w:r>
    </w:p>
    <w:p w14:paraId="0FBEEF9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若出现任何此类缺陷或发生损坏的情况，发包人（或发包人授权他人）应立即通知承包人。</w:t>
      </w:r>
    </w:p>
    <w:p w14:paraId="7D44A0A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 xml:space="preserve">修补缺陷的费用 </w:t>
      </w:r>
    </w:p>
    <w:p w14:paraId="08C75E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如果所有第11.1款【完成扫尾工作和修补缺陷】(b)段中所述工作的必要性是由下列原因引起的，则所有此类工作应由承包人自担风险和费用进行：</w:t>
      </w:r>
    </w:p>
    <w:p w14:paraId="562A13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任何承包人负责的设计；</w:t>
      </w:r>
    </w:p>
    <w:p w14:paraId="7550168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永久设备、材料或工艺不符合合同要求；或</w:t>
      </w:r>
    </w:p>
    <w:p w14:paraId="34C483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承包人未履行其任何其他义务。</w:t>
      </w:r>
    </w:p>
    <w:p w14:paraId="636E84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如果且在一定程度上上述工作的必要性是由于任何其他原因引起的，发包人（或发包人授权的他人）应立即通知承包人，此时适用第13.3款【变更程序】。</w:t>
      </w:r>
    </w:p>
    <w:p w14:paraId="01409B4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 xml:space="preserve">缺陷责任期的延长 </w:t>
      </w:r>
    </w:p>
    <w:p w14:paraId="321B53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工程、区段或主要永久设备（视情况而定，并且在接收以后）由于缺陷或损害而不能按照预定的目的进行使用，则发包人有权依据第2.5款【发包人的索赔】要求延长工程或区段的缺陷责任期。但缺陷责任期</w:t>
      </w:r>
      <w:r>
        <w:rPr>
          <w:rFonts w:hint="eastAsia" w:ascii="宋体" w:hAnsi="宋体" w:cs="宋体"/>
          <w:sz w:val="24"/>
          <w:szCs w:val="24"/>
          <w:lang w:val="en-US" w:eastAsia="zh-CN"/>
        </w:rPr>
        <w:t>最长</w:t>
      </w:r>
      <w:r>
        <w:rPr>
          <w:rFonts w:hint="eastAsia" w:ascii="宋体" w:hAnsi="宋体" w:eastAsia="宋体" w:cs="宋体"/>
          <w:sz w:val="24"/>
          <w:szCs w:val="24"/>
        </w:rPr>
        <w:t>不得超过2年。</w:t>
      </w:r>
    </w:p>
    <w:p w14:paraId="3C3663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永久设备和(或)材料的运送以及(或)安装根据第8.8款【工程暂停】或第16.1款【承包人有权暂停工作】发生了暂停，则本款所规定的承包人的义务不适用于永久设备和(或)材料的缺陷责任期期满2年后发生的任何缺陷或损害的情况。</w:t>
      </w:r>
    </w:p>
    <w:p w14:paraId="62DED94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未能补救缺陷</w:t>
      </w:r>
    </w:p>
    <w:p w14:paraId="6D4C682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如果承包人未能在某一合理时间内修补任何缺陷或损害，发包人（或发包人授权的他人）可确定一日期，规定在该日或该日之前修补缺陷或损害，并且应向承包人发出一合理的通知。</w:t>
      </w:r>
    </w:p>
    <w:p w14:paraId="565386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如果承包人到该日期尚未修补好缺陷或损害，并且依据第11.2款【修补缺陷的费用】，这些修补工作应由承包人自费进行，发包人可（自行）：</w:t>
      </w:r>
    </w:p>
    <w:p w14:paraId="3B29F30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以合理的方式由自己或他人进行此项工作，并由承包人承担费用，但承包人对此项工作不负责任，并且承包人应依据第2.5款【发包人的索赔】，向发包人支付其因修补缺陷或损害导致的合理费用；</w:t>
      </w:r>
    </w:p>
    <w:p w14:paraId="565681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要求工程师依据第3.5款【决定】，对合同价格的合理减少额作出商定或决定；或</w:t>
      </w:r>
    </w:p>
    <w:p w14:paraId="24A093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该缺陷或损害致使发包人基本上无法享用全部工程或部分工程所带来的全部利益时，对整个工程或不能按期投入使用的那部分主要工程终止合同。但不影响任何其他权利，依据合同或其他规定，发包人还应有权收回为整个工程或该部分工程（视情况而定）所支付的全部费用以及融资费用、拆除工程、清理现场和将永久设备和材料退还给承包人所支付的费用。</w:t>
      </w:r>
    </w:p>
    <w:p w14:paraId="13A93B5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11.5 </w:t>
      </w:r>
      <w:r>
        <w:rPr>
          <w:rFonts w:hint="eastAsia" w:ascii="宋体" w:hAnsi="宋体" w:eastAsia="宋体" w:cs="宋体"/>
          <w:sz w:val="24"/>
          <w:szCs w:val="24"/>
        </w:rPr>
        <w:tab/>
      </w:r>
      <w:r>
        <w:rPr>
          <w:rFonts w:hint="eastAsia" w:ascii="宋体" w:hAnsi="宋体" w:eastAsia="宋体" w:cs="宋体"/>
          <w:sz w:val="24"/>
          <w:szCs w:val="24"/>
        </w:rPr>
        <w:t xml:space="preserve">清除有缺陷的部分工程 </w:t>
      </w:r>
    </w:p>
    <w:p w14:paraId="5469B49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此类缺陷或损害不能在现场迅速修复时，在发包人的同意下，承包人可将任何有缺陷或损害的永久设备移出现场进行修理。此类同意可要求承包人以该部分的重置费用增加履约保证的款额或提供其他适当的保证。</w:t>
      </w:r>
    </w:p>
    <w:p w14:paraId="617E675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11.6 </w:t>
      </w:r>
      <w:r>
        <w:rPr>
          <w:rFonts w:hint="eastAsia" w:ascii="宋体" w:hAnsi="宋体" w:eastAsia="宋体" w:cs="宋体"/>
          <w:sz w:val="24"/>
          <w:szCs w:val="24"/>
        </w:rPr>
        <w:tab/>
      </w:r>
      <w:r>
        <w:rPr>
          <w:rFonts w:hint="eastAsia" w:ascii="宋体" w:hAnsi="宋体" w:eastAsia="宋体" w:cs="宋体"/>
          <w:sz w:val="24"/>
          <w:szCs w:val="24"/>
        </w:rPr>
        <w:t>进一步的检验</w:t>
      </w:r>
    </w:p>
    <w:p w14:paraId="524856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如果任何缺陷或损害的修补工作可能影响到工程运行时，工程师可要求重新进行合同中列明的任何检验。该要求应在修补缺陷或损害后28天内通知承包人。</w:t>
      </w:r>
    </w:p>
    <w:p w14:paraId="78EC19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此类检验应按照以前的检验适用的条件进行，但是依据第11.2款【修补缺陷的费用】，此类检验的风险和费用由责任方承担，并承担修补工作的费用。</w:t>
      </w:r>
    </w:p>
    <w:p w14:paraId="1FE1E74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11.7 </w:t>
      </w:r>
      <w:r>
        <w:rPr>
          <w:rFonts w:hint="eastAsia" w:ascii="宋体" w:hAnsi="宋体" w:eastAsia="宋体" w:cs="宋体"/>
          <w:sz w:val="24"/>
          <w:szCs w:val="24"/>
        </w:rPr>
        <w:tab/>
      </w:r>
      <w:r>
        <w:rPr>
          <w:rFonts w:hint="eastAsia" w:ascii="宋体" w:hAnsi="宋体" w:eastAsia="宋体" w:cs="宋体"/>
          <w:sz w:val="24"/>
          <w:szCs w:val="24"/>
        </w:rPr>
        <w:t>进入权</w:t>
      </w:r>
    </w:p>
    <w:p w14:paraId="70B2F6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在履约证书颁发之前，承包人应有为遵守本款合理所需的进入工程的权力，但不符合发包人限定的任何合理安全措施的情况除外。</w:t>
      </w:r>
    </w:p>
    <w:p w14:paraId="11A0176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11.8 </w:t>
      </w:r>
      <w:r>
        <w:rPr>
          <w:rFonts w:hint="eastAsia" w:ascii="宋体" w:hAnsi="宋体" w:eastAsia="宋体" w:cs="宋体"/>
          <w:sz w:val="24"/>
          <w:szCs w:val="24"/>
        </w:rPr>
        <w:tab/>
      </w:r>
      <w:r>
        <w:rPr>
          <w:rFonts w:hint="eastAsia" w:ascii="宋体" w:hAnsi="宋体" w:eastAsia="宋体" w:cs="宋体"/>
          <w:sz w:val="24"/>
          <w:szCs w:val="24"/>
        </w:rPr>
        <w:t>承包人的检查</w:t>
      </w:r>
    </w:p>
    <w:p w14:paraId="2360430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要求的话，承包人应在其指导下调查产生任何缺陷的原因。除非此类缺陷已依据第11.2款【修补缺陷的费用】，由承包人支付费用进行了修补，否则调查费用及其合理的利润应由工程师依据第3.5款【决定】，作出商定或决定，并加入合同价格。</w:t>
      </w:r>
    </w:p>
    <w:p w14:paraId="08201A1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11.9 </w:t>
      </w:r>
      <w:r>
        <w:rPr>
          <w:rFonts w:hint="eastAsia" w:ascii="宋体" w:hAnsi="宋体" w:eastAsia="宋体" w:cs="宋体"/>
          <w:sz w:val="24"/>
          <w:szCs w:val="24"/>
        </w:rPr>
        <w:tab/>
      </w:r>
      <w:r>
        <w:rPr>
          <w:rFonts w:hint="eastAsia" w:ascii="宋体" w:hAnsi="宋体" w:eastAsia="宋体" w:cs="宋体"/>
          <w:sz w:val="24"/>
          <w:szCs w:val="24"/>
        </w:rPr>
        <w:t>履约证书</w:t>
      </w:r>
    </w:p>
    <w:p w14:paraId="5EA134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只有在工程师向承包人颁发了履约证书，说明承包人已依据合同履行其义务的日期之后，承包人的义务的履行才被认为已完成。</w:t>
      </w:r>
    </w:p>
    <w:p w14:paraId="6CD588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工程师应在最后一个缺陷责任期期满后28天内颁发履约证书，或在承包人已提供了全部承包人的文件并完成和检验了所有工程，包括修补了所有缺陷的日期之后尽快颁发。还应向发包人提交一份履约证书的副本。</w:t>
      </w:r>
    </w:p>
    <w:p w14:paraId="6727C08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只有履约证书才应被视为构成对工程的接受。</w:t>
      </w:r>
    </w:p>
    <w:p w14:paraId="6DBC0EC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11.10 </w:t>
      </w:r>
      <w:r>
        <w:rPr>
          <w:rFonts w:hint="eastAsia" w:ascii="宋体" w:hAnsi="宋体" w:eastAsia="宋体" w:cs="宋体"/>
          <w:sz w:val="24"/>
          <w:szCs w:val="24"/>
        </w:rPr>
        <w:tab/>
      </w:r>
      <w:r>
        <w:rPr>
          <w:rFonts w:hint="eastAsia" w:ascii="宋体" w:hAnsi="宋体" w:eastAsia="宋体" w:cs="宋体"/>
          <w:sz w:val="24"/>
          <w:szCs w:val="24"/>
        </w:rPr>
        <w:t>未履行的义务</w:t>
      </w:r>
    </w:p>
    <w:p w14:paraId="3BB0A0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在履约证书颁发之后，每一方仍应负责完成届时尚未履行的任何义务。就确定未履行的义务的性质和范围而言，合同应被认为仍然有效。</w:t>
      </w:r>
    </w:p>
    <w:p w14:paraId="31FA4E6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11.11 </w:t>
      </w:r>
      <w:r>
        <w:rPr>
          <w:rFonts w:hint="eastAsia" w:ascii="宋体" w:hAnsi="宋体" w:eastAsia="宋体" w:cs="宋体"/>
          <w:sz w:val="24"/>
          <w:szCs w:val="24"/>
        </w:rPr>
        <w:tab/>
      </w:r>
      <w:r>
        <w:rPr>
          <w:rFonts w:hint="eastAsia" w:ascii="宋体" w:hAnsi="宋体" w:eastAsia="宋体" w:cs="宋体"/>
          <w:sz w:val="24"/>
          <w:szCs w:val="24"/>
        </w:rPr>
        <w:t>现场的清理</w:t>
      </w:r>
    </w:p>
    <w:p w14:paraId="13A4C42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在接到履约证书以后，承包人应从现场运走任何剩余的承包人的设备、剩余材料、残物、垃圾或临时工程。</w:t>
      </w:r>
    </w:p>
    <w:p w14:paraId="051C11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若在发包人接到履约证书副本后28天内上述物品还未被运走，则发包人可对此留下的任何物品予以出售或另作处理。发包人应有权获得</w:t>
      </w:r>
      <w:r>
        <w:rPr>
          <w:rFonts w:hint="eastAsia" w:ascii="宋体" w:hAnsi="宋体" w:cs="宋体"/>
          <w:sz w:val="24"/>
          <w:szCs w:val="24"/>
          <w:lang w:val="en-US" w:eastAsia="zh-CN"/>
        </w:rPr>
        <w:t>承包人</w:t>
      </w:r>
      <w:r>
        <w:rPr>
          <w:rFonts w:hint="eastAsia" w:ascii="宋体" w:hAnsi="宋体" w:eastAsia="宋体" w:cs="宋体"/>
          <w:sz w:val="24"/>
          <w:szCs w:val="24"/>
        </w:rPr>
        <w:t>为此类出售或处理及整理现场所发生的或有关的费用的支付。</w:t>
      </w:r>
    </w:p>
    <w:p w14:paraId="631CEB2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此类出售的所有余额应归还承包人。若出售所得少于发包人的费用支出，则承包人应向发包人支付不足部分的款项。</w:t>
      </w:r>
    </w:p>
    <w:p w14:paraId="153C2EA4">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14:paraId="1F095B9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w:t>
      </w:r>
      <w:r>
        <w:rPr>
          <w:rFonts w:hint="eastAsia" w:ascii="宋体" w:hAnsi="宋体" w:eastAsia="宋体" w:cs="宋体"/>
          <w:sz w:val="24"/>
          <w:szCs w:val="24"/>
        </w:rPr>
        <w:tab/>
      </w:r>
      <w:r>
        <w:rPr>
          <w:rFonts w:hint="eastAsia" w:ascii="宋体" w:hAnsi="宋体" w:eastAsia="宋体" w:cs="宋体"/>
          <w:sz w:val="24"/>
          <w:szCs w:val="24"/>
        </w:rPr>
        <w:t xml:space="preserve">需测量的工程 </w:t>
      </w:r>
    </w:p>
    <w:p w14:paraId="64BA42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应对工程依据本款进行测量并确定其支付价值。</w:t>
      </w:r>
    </w:p>
    <w:p w14:paraId="06C837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当工程师要求对工程的任何部分进行测量时，他应合理地通知承包人项目经理，承包人项目经理应：</w:t>
      </w:r>
    </w:p>
    <w:p w14:paraId="6E96F2F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立即参加或派一名合格的代表协助工程师进行测量；以及</w:t>
      </w:r>
    </w:p>
    <w:p w14:paraId="1E6DBAD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提供工程师所要求的全部详细资料。</w:t>
      </w:r>
    </w:p>
    <w:p w14:paraId="4552219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如果承包人未能参加或派出一名代表，则由工程师（或工程师授权的他人）进行的测量应被视为准确地测量而接受。</w:t>
      </w:r>
    </w:p>
    <w:p w14:paraId="3D6377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除非合同中另有规定，在需用记录对任何永久工程进行计量时，工程师应对此做好准备。当承包人被要求时，他应参加审查并就此类记录与工程师达成一致，并在双方</w:t>
      </w:r>
      <w:r>
        <w:rPr>
          <w:rFonts w:hint="eastAsia" w:ascii="宋体" w:hAnsi="宋体" w:cs="宋体"/>
          <w:sz w:val="24"/>
          <w:szCs w:val="24"/>
          <w:lang w:val="en-US" w:eastAsia="zh-CN"/>
        </w:rPr>
        <w:t>达成</w:t>
      </w:r>
      <w:r>
        <w:rPr>
          <w:rFonts w:hint="eastAsia" w:ascii="宋体" w:hAnsi="宋体" w:eastAsia="宋体" w:cs="宋体"/>
          <w:sz w:val="24"/>
          <w:szCs w:val="24"/>
        </w:rPr>
        <w:t>一致时，在上述文件上签名。如果承包人没有参加审查，则应认为此类记录是准确的并被接受。</w:t>
      </w:r>
    </w:p>
    <w:p w14:paraId="7471E9E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审查之后不同意上述记录，并且(或)不签字表示同意，承包人应通知工程师并说明上述记录中被认为不准确的各个方面。在接到此类通知后，工程师应复查此类记录，或予以确认或予以修改。如果承包人在被要求对记录进行审查后14天内未向工程师发出此类通知，则认为它们是准确的并被接受。</w:t>
      </w:r>
    </w:p>
    <w:p w14:paraId="74BA810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12.2 </w:t>
      </w:r>
      <w:r>
        <w:rPr>
          <w:rFonts w:hint="eastAsia" w:ascii="宋体" w:hAnsi="宋体" w:eastAsia="宋体" w:cs="宋体"/>
          <w:sz w:val="24"/>
          <w:szCs w:val="24"/>
        </w:rPr>
        <w:tab/>
      </w:r>
      <w:r>
        <w:rPr>
          <w:rFonts w:hint="eastAsia" w:ascii="宋体" w:hAnsi="宋体" w:eastAsia="宋体" w:cs="宋体"/>
          <w:sz w:val="24"/>
          <w:szCs w:val="24"/>
        </w:rPr>
        <w:t xml:space="preserve">测量方法 </w:t>
      </w:r>
    </w:p>
    <w:p w14:paraId="6A2D4B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除非合同中另有规定，无论当地惯例如何：</w:t>
      </w:r>
    </w:p>
    <w:p w14:paraId="7B4683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测量应该是测量每部分永久工程的实际净值，以及</w:t>
      </w:r>
    </w:p>
    <w:p w14:paraId="7F0B4A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测量方法应符合工程量表或其他适用报表。</w:t>
      </w:r>
    </w:p>
    <w:p w14:paraId="3174279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12.3 </w:t>
      </w:r>
      <w:r>
        <w:rPr>
          <w:rFonts w:hint="eastAsia" w:ascii="宋体" w:hAnsi="宋体" w:eastAsia="宋体" w:cs="宋体"/>
          <w:sz w:val="24"/>
          <w:szCs w:val="24"/>
        </w:rPr>
        <w:tab/>
      </w:r>
      <w:r>
        <w:rPr>
          <w:rFonts w:hint="eastAsia" w:ascii="宋体" w:hAnsi="宋体" w:eastAsia="宋体" w:cs="宋体"/>
          <w:sz w:val="24"/>
          <w:szCs w:val="24"/>
        </w:rPr>
        <w:t>估价</w:t>
      </w:r>
    </w:p>
    <w:p w14:paraId="2B3CE8F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工程师应通过对每一项工作的估价，根据第3.5款【决定】，商定或决定合同价格。每项工作的估价是用依据上述第12.1款和第12.2款商定或决定的测量数据乘以此项工作的相应价格费率或价格得到的。</w:t>
      </w:r>
    </w:p>
    <w:p w14:paraId="61AAB9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每一项工作，该项合适的费率或价格应该是合同中对此项工作规定的费率或价格，或者如果没有该项，则为对其类似工作所规定的费率或价格。但是在下列情况下，对这一项工作规定新的费率或价格将是合适的：</w:t>
      </w:r>
    </w:p>
    <w:p w14:paraId="7E1F570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(i) 如果此项工作实际测量的工程量比工程量表或其他报表中规定的工程量的变动大于1</w:t>
      </w:r>
      <w:r>
        <w:rPr>
          <w:rFonts w:hint="eastAsia" w:ascii="宋体" w:hAnsi="宋体" w:cs="宋体"/>
          <w:sz w:val="24"/>
          <w:szCs w:val="24"/>
          <w:lang w:val="en-US" w:eastAsia="zh-CN"/>
        </w:rPr>
        <w:t>5</w:t>
      </w:r>
      <w:r>
        <w:rPr>
          <w:rFonts w:hint="eastAsia" w:ascii="宋体" w:hAnsi="宋体" w:eastAsia="宋体" w:cs="宋体"/>
          <w:sz w:val="24"/>
          <w:szCs w:val="24"/>
        </w:rPr>
        <w:t>％；</w:t>
      </w:r>
    </w:p>
    <w:p w14:paraId="116572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工程量的变更与对该项工作规定的具体费率的乘积超过了接受的合同款额的0.01％；</w:t>
      </w:r>
    </w:p>
    <w:p w14:paraId="3903EC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由此工程量的变更直接造成该项工作每单位工程量费用的变动超过1％；以及</w:t>
      </w:r>
    </w:p>
    <w:p w14:paraId="1F86C6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这项工作不是合同中规定的“固定费率项目”；</w:t>
      </w:r>
    </w:p>
    <w:p w14:paraId="36A6C4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此工作是根据第13款【变更与调整】的指示进行的；</w:t>
      </w:r>
    </w:p>
    <w:p w14:paraId="36D885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合同中对此项工作未规定费率或价格；且</w:t>
      </w:r>
    </w:p>
    <w:p w14:paraId="044FD4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由于该项工作与合同中的任何工作没有类似的性质或不在类似的条件下进行，故没有一个规定的费率或价格适用。</w:t>
      </w:r>
    </w:p>
    <w:p w14:paraId="4B4825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新的费率或价格是对合同中相关费率或价格在考虑到上述(a)、(b)段所描述的适用的事件以后作出的合理调整。如果没有相关的费率或价格，则新的费率或价格应是在考虑任何相关事件以后，从实施工作的合理费用加上合理利润中得到。</w:t>
      </w:r>
    </w:p>
    <w:p w14:paraId="3FDDC9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在商定或决定了一合适的费率或价格之前，工程师还应为期中支付证书决定一临时费率或价格。</w:t>
      </w:r>
    </w:p>
    <w:p w14:paraId="71E0371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12.4 </w:t>
      </w:r>
      <w:r>
        <w:rPr>
          <w:rFonts w:hint="eastAsia" w:ascii="宋体" w:hAnsi="宋体" w:eastAsia="宋体" w:cs="宋体"/>
          <w:sz w:val="24"/>
          <w:szCs w:val="24"/>
        </w:rPr>
        <w:tab/>
      </w:r>
      <w:r>
        <w:rPr>
          <w:rFonts w:hint="eastAsia" w:ascii="宋体" w:hAnsi="宋体" w:eastAsia="宋体" w:cs="宋体"/>
          <w:sz w:val="24"/>
          <w:szCs w:val="24"/>
        </w:rPr>
        <w:t xml:space="preserve">省略 </w:t>
      </w:r>
    </w:p>
    <w:p w14:paraId="5CDE228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当对任何工作的省略构成部分（或全部）变更且对其价值未达成一致时，如果：</w:t>
      </w:r>
    </w:p>
    <w:p w14:paraId="4432633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承包人将</w:t>
      </w:r>
      <w:r>
        <w:rPr>
          <w:rFonts w:hint="default" w:ascii="宋体" w:hAnsi="宋体" w:eastAsia="宋体" w:cs="宋体"/>
          <w:sz w:val="24"/>
          <w:szCs w:val="24"/>
          <w:lang w:val="en-US"/>
        </w:rPr>
        <w:t>招致</w:t>
      </w:r>
      <w:r>
        <w:rPr>
          <w:rFonts w:hint="eastAsia" w:ascii="宋体" w:hAnsi="宋体" w:eastAsia="宋体" w:cs="宋体"/>
          <w:sz w:val="24"/>
          <w:szCs w:val="24"/>
        </w:rPr>
        <w:t>（或已经招致）一笔费用，这笔费用应被视为是如果工作未被省略时，在构成部分接受的合同款额的一笔金额中所包含的；</w:t>
      </w:r>
    </w:p>
    <w:p w14:paraId="3EDE8C5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该工作的省略将导致（或已经导致）这笔金额不构成部分合同价格；并且</w:t>
      </w:r>
    </w:p>
    <w:p w14:paraId="2994A72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这笔费用并不被认为包含在任何替代工作的估价之中，</w:t>
      </w:r>
    </w:p>
    <w:p w14:paraId="2683D4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承包人应随即向工程师发出通知，并附具体的证明资料。在接到通知后，工程师应依据第3.5款【决定】，对此费用作出商定或决定，并将之加入合同价格。</w:t>
      </w:r>
    </w:p>
    <w:p w14:paraId="41DE45C1">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14:paraId="6B525E9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w:t>
      </w:r>
      <w:r>
        <w:rPr>
          <w:rFonts w:hint="eastAsia" w:ascii="宋体" w:hAnsi="宋体" w:eastAsia="宋体" w:cs="宋体"/>
          <w:sz w:val="24"/>
          <w:szCs w:val="24"/>
        </w:rPr>
        <w:tab/>
      </w:r>
      <w:r>
        <w:rPr>
          <w:rFonts w:hint="eastAsia" w:ascii="宋体" w:hAnsi="宋体" w:eastAsia="宋体" w:cs="宋体"/>
          <w:sz w:val="24"/>
          <w:szCs w:val="24"/>
        </w:rPr>
        <w:t xml:space="preserve">有权变更 </w:t>
      </w:r>
    </w:p>
    <w:p w14:paraId="73DB2A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在颁发工程接收证书前的任何时间，工程师可通过发布指示或以要求承包人递交建议书的方式，提出变更。</w:t>
      </w:r>
    </w:p>
    <w:p w14:paraId="412A80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承包人应执行每项变更并受每项变更的约束，除非承包人马上通知工程师（并附具体的证明资料）并说明承包人无法得到变更所需的货物。在接到此通知后，工程师应取消、确认或修改指示。</w:t>
      </w:r>
    </w:p>
    <w:p w14:paraId="464EB6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每项变更可包括：</w:t>
      </w:r>
    </w:p>
    <w:p w14:paraId="6F61A38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对合同中任何工作的工程量的改变（此类改变并不一定必然构成变更）；</w:t>
      </w:r>
    </w:p>
    <w:p w14:paraId="24CA1F1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任何工作质量或其他特性上的变更；</w:t>
      </w:r>
    </w:p>
    <w:p w14:paraId="5FDFA45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工程任何部分标高、位置和(或)尺寸上的改变；</w:t>
      </w:r>
    </w:p>
    <w:p w14:paraId="481659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省略任何工作，除非它已被他人完成；</w:t>
      </w:r>
    </w:p>
    <w:p w14:paraId="4909B6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永久工程所必需的任何附加工作、永久设备、材料或服务，包括任何联合竣工检验、钻孔和其他检验以及勘察工作，或</w:t>
      </w:r>
    </w:p>
    <w:p w14:paraId="202775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工程的实施顺序或时间安排的改变。</w:t>
      </w:r>
    </w:p>
    <w:p w14:paraId="1496BAB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承包人不应对永久工程作任何更改或修改，除非且直到工程师发出指示或同意变更。</w:t>
      </w:r>
    </w:p>
    <w:p w14:paraId="1DE55DD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13.2 </w:t>
      </w:r>
      <w:r>
        <w:rPr>
          <w:rFonts w:hint="eastAsia" w:ascii="宋体" w:hAnsi="宋体" w:eastAsia="宋体" w:cs="宋体"/>
          <w:sz w:val="24"/>
          <w:szCs w:val="24"/>
        </w:rPr>
        <w:tab/>
      </w:r>
      <w:r>
        <w:rPr>
          <w:rFonts w:hint="eastAsia" w:ascii="宋体" w:hAnsi="宋体" w:eastAsia="宋体" w:cs="宋体"/>
          <w:sz w:val="24"/>
          <w:szCs w:val="24"/>
        </w:rPr>
        <w:t>价值工程</w:t>
      </w:r>
    </w:p>
    <w:p w14:paraId="5598A16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以随时向工程师提交一份书面建议，如果该建议被采用，它（在承包人看来）将(i)加速完工，(ii)降低发包人实施、维护或运行工程的费用，(iii)对发包人而言能提高竣工工程的效率或价值，或(iv)为发包人带来其他利益。</w:t>
      </w:r>
    </w:p>
    <w:p w14:paraId="36BFBE5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承包人应自费编制此类建议书，并将其包括在第13.3款【变更程序】所列的条目中。</w:t>
      </w:r>
    </w:p>
    <w:p w14:paraId="68E83DB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w:t>
      </w:r>
      <w:r>
        <w:rPr>
          <w:rFonts w:hint="eastAsia" w:ascii="宋体" w:hAnsi="宋体" w:eastAsia="宋体" w:cs="宋体"/>
          <w:sz w:val="24"/>
          <w:szCs w:val="24"/>
        </w:rPr>
        <w:tab/>
      </w:r>
      <w:r>
        <w:rPr>
          <w:rFonts w:hint="eastAsia" w:ascii="宋体" w:hAnsi="宋体" w:eastAsia="宋体" w:cs="宋体"/>
          <w:sz w:val="24"/>
          <w:szCs w:val="24"/>
        </w:rPr>
        <w:t xml:space="preserve">变更程序 </w:t>
      </w:r>
    </w:p>
    <w:p w14:paraId="4D19FF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如果工程师在发布任何变更指示之前要求承包人提交一份建议书，则承包人应尽快作出书面反应，要么说明理由为何不能遵守指示（如果未遵守时），要么提交：</w:t>
      </w:r>
    </w:p>
    <w:p w14:paraId="4101E1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将要实施的工作的说明书以及该工作实施的进度计划，</w:t>
      </w:r>
    </w:p>
    <w:p w14:paraId="5DD10C3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承包人依据第8.3款对进度计划和竣工时间作出任何必要修改的建议书，以及</w:t>
      </w:r>
    </w:p>
    <w:p w14:paraId="5F5F49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承包人对变更估价的建议书。</w:t>
      </w:r>
    </w:p>
    <w:p w14:paraId="4AA58F4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工程师在接到上述建议后（依据第13.2款【价值工程】或其它规定），应尽快予以答复，说明批准与否或提出意见。在等待答复期间，承包人不应延误任何工作。</w:t>
      </w:r>
    </w:p>
    <w:p w14:paraId="712F69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工程师应向承包人发出每一项实施变更的指示，并要求其记录费用，承包人应确认收到该指示。</w:t>
      </w:r>
    </w:p>
    <w:p w14:paraId="28C9C5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每一项变更应依据第12款【测量与估价】进行估价，除非工程师依据本款另外作出指示或批准。</w:t>
      </w:r>
    </w:p>
    <w:p w14:paraId="103F5B3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13.4 </w:t>
      </w:r>
      <w:r>
        <w:rPr>
          <w:rFonts w:hint="eastAsia" w:ascii="宋体" w:hAnsi="宋体" w:eastAsia="宋体" w:cs="宋体"/>
          <w:sz w:val="24"/>
          <w:szCs w:val="24"/>
        </w:rPr>
        <w:tab/>
      </w:r>
      <w:r>
        <w:rPr>
          <w:rFonts w:hint="eastAsia" w:ascii="宋体" w:hAnsi="宋体" w:eastAsia="宋体" w:cs="宋体"/>
          <w:sz w:val="24"/>
          <w:szCs w:val="24"/>
        </w:rPr>
        <w:t xml:space="preserve">以适用的货币支付 </w:t>
      </w:r>
    </w:p>
    <w:p w14:paraId="70871D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规定合同价格以一种以上的货币支付，则在按上述规定已商定、批准或决定调整的同时，应规定以每种适用的货币支付的金额。在规定每种货币的金额时，应参照变更工作费用的实际或预期的货币比例以及为支付合同价格所规定的各种货币比例。</w:t>
      </w:r>
    </w:p>
    <w:p w14:paraId="4609927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13.5 </w:t>
      </w:r>
      <w:r>
        <w:rPr>
          <w:rFonts w:hint="eastAsia" w:ascii="宋体" w:hAnsi="宋体" w:eastAsia="宋体" w:cs="宋体"/>
          <w:sz w:val="24"/>
          <w:szCs w:val="24"/>
        </w:rPr>
        <w:tab/>
      </w:r>
      <w:r>
        <w:rPr>
          <w:rFonts w:hint="eastAsia" w:ascii="宋体" w:hAnsi="宋体" w:eastAsia="宋体" w:cs="宋体"/>
          <w:sz w:val="24"/>
          <w:szCs w:val="24"/>
        </w:rPr>
        <w:t xml:space="preserve">暂定金额 </w:t>
      </w:r>
    </w:p>
    <w:p w14:paraId="7DD49E0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笔暂定金额仅按照工程师的指示全部或部分地使用，并相应地调整合同价格。支付给承包人的此类总金额仅应包括工程师指示的且与暂定金额有关的工作、供货或服务的款项。对于每一笔暂定金额，工程师可指示：</w:t>
      </w:r>
    </w:p>
    <w:p w14:paraId="7E91CB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由承包人实施工作（包括提供永久设备、材料或服务），并按照第13.3款【变更程序】进行估价，和(或)</w:t>
      </w:r>
    </w:p>
    <w:p w14:paraId="67CCF5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由承包人从指定分包商（第5.1款【指定分包商】中所定义的）处或其他人处购买永久设备、材料或服务，并应加入合同价格：</w:t>
      </w:r>
    </w:p>
    <w:p w14:paraId="40636A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承包人已支付（或将支付）的实际款额，以及</w:t>
      </w:r>
    </w:p>
    <w:p w14:paraId="6CC22A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采用适用的报表中规定的相关百分比（如有时），以此实际款额的一个百分比来计算一笔金额包括上级管理费和利润。如果没有这一相关百分比，则可采用投标函附录中规定的百分比。</w:t>
      </w:r>
    </w:p>
    <w:p w14:paraId="5758B8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当工程师要求时，承包人应出示报价单、发票、凭证以及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或收据，以示证明。</w:t>
      </w:r>
    </w:p>
    <w:p w14:paraId="124C42F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13.6 </w:t>
      </w:r>
      <w:r>
        <w:rPr>
          <w:rFonts w:hint="eastAsia" w:ascii="宋体" w:hAnsi="宋体" w:eastAsia="宋体" w:cs="宋体"/>
          <w:sz w:val="24"/>
          <w:szCs w:val="24"/>
        </w:rPr>
        <w:tab/>
      </w:r>
      <w:r>
        <w:rPr>
          <w:rFonts w:hint="eastAsia" w:ascii="宋体" w:hAnsi="宋体" w:eastAsia="宋体" w:cs="宋体"/>
          <w:sz w:val="24"/>
          <w:szCs w:val="24"/>
        </w:rPr>
        <w:t xml:space="preserve">计日工 </w:t>
      </w:r>
    </w:p>
    <w:p w14:paraId="68FAEE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数量少或偶然进行的零散工作，工程师可以指示规定在计日工的基础上实施任何变更。对于此类工作应按合同中包括的计日工报表中的规定进行估价，并采用下述程序。如果合同中没有计日工报表，则本款不适用。</w:t>
      </w:r>
    </w:p>
    <w:p w14:paraId="68C2FAE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在订购工程所需货物时，承包人应向工程师提交报价。当申请支付时，承包人应提交此货物的发票、凭证以及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w:t>
      </w:r>
    </w:p>
    <w:p w14:paraId="27065D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除了计日工报表中规定的不进行支付的任何项目以外，承包人应每日向工程师提交包括下列在实施前一日工作时使用的资源的详细情况在内的准确报表，一式两份：</w:t>
      </w:r>
    </w:p>
    <w:p w14:paraId="2B2FA26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承包人的人员的姓名、工种和工时，</w:t>
      </w:r>
    </w:p>
    <w:p w14:paraId="217FDD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承包人的设备和临时工程的种类、型号以及工时，以及</w:t>
      </w:r>
    </w:p>
    <w:p w14:paraId="3ABEED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使用的永久设备和材料的数量和型号。</w:t>
      </w:r>
    </w:p>
    <w:p w14:paraId="3BB5632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如内容正确或经同意时，工程师将在每种报表的一份上签字并退还给承包人。在将它们纳入依据第14.3款【申请期中支付证书】提交的报表中之前，承包人应向工程师提交一份以上各资源的价格报表。</w:t>
      </w:r>
    </w:p>
    <w:p w14:paraId="480574C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w:t>
      </w:r>
      <w:r>
        <w:rPr>
          <w:rFonts w:hint="eastAsia" w:ascii="宋体" w:hAnsi="宋体" w:eastAsia="宋体" w:cs="宋体"/>
          <w:sz w:val="24"/>
          <w:szCs w:val="24"/>
        </w:rPr>
        <w:tab/>
      </w:r>
      <w:r>
        <w:rPr>
          <w:rFonts w:hint="eastAsia" w:ascii="宋体" w:hAnsi="宋体" w:eastAsia="宋体" w:cs="宋体"/>
          <w:sz w:val="24"/>
          <w:szCs w:val="24"/>
        </w:rPr>
        <w:t xml:space="preserve">法规变化引起的调整 </w:t>
      </w:r>
    </w:p>
    <w:p w14:paraId="5E50B4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以后，能够影响承包人履行其合同义务的工程所在国的法律（包括新法律的实施以及现有法律的废止或修改）或对此法律的司法的或官方政府的解释的变更导致费用的增减，则合同价格应作出相应调整。</w:t>
      </w:r>
    </w:p>
    <w:p w14:paraId="5B5DB2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如果承包人由于此类在基准日期后所作的法律或解释上的变更而遭受了延误（或将遭受延误）和/或承担（或将承担）额外费用，承包人应通知工程师并有权依据第20.1款【承包人的索赔】，要求：</w:t>
      </w:r>
    </w:p>
    <w:p w14:paraId="5848D5A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14:paraId="038031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14:paraId="07B3211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14:paraId="75CEE80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w:t>
      </w:r>
      <w:r>
        <w:rPr>
          <w:rFonts w:hint="eastAsia" w:ascii="宋体" w:hAnsi="宋体" w:eastAsia="宋体" w:cs="宋体"/>
          <w:sz w:val="24"/>
          <w:szCs w:val="24"/>
        </w:rPr>
        <w:tab/>
      </w:r>
      <w:r>
        <w:rPr>
          <w:rFonts w:hint="eastAsia" w:ascii="宋体" w:hAnsi="宋体" w:eastAsia="宋体" w:cs="宋体"/>
          <w:sz w:val="24"/>
          <w:szCs w:val="24"/>
        </w:rPr>
        <w:t>费用变化引起的调整</w:t>
      </w:r>
    </w:p>
    <w:p w14:paraId="33CD732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在专用合同条款中约定。</w:t>
      </w:r>
    </w:p>
    <w:p w14:paraId="0F6A679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14:paraId="6AA2BCF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14:paraId="6275BE7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w:t>
      </w:r>
    </w:p>
    <w:p w14:paraId="2FA063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合同价格应根据第12.3款【估价】来商定或决定，并应根据本合同对其进行调整；</w:t>
      </w:r>
    </w:p>
    <w:p w14:paraId="138DC3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承包人应支付根据合同他应支付的所有税费、关税和费用，而合同价格不应因此类费用进行调整（第13.17款【法规变化引起的调整】的规定除外）；</w:t>
      </w:r>
    </w:p>
    <w:p w14:paraId="5D331E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工程量清单或其他报表中可能列出的任何工程量仅为估算的工程量，不得将其视为：</w:t>
      </w:r>
    </w:p>
    <w:p w14:paraId="780C0E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要求承包人实施的工程的实际或正确的工程量，或者</w:t>
      </w:r>
    </w:p>
    <w:p w14:paraId="4BD774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（ii）用于第12条【测量和估价】的目的实际或正确的工程量；且</w:t>
      </w:r>
    </w:p>
    <w:p w14:paraId="72D1C7D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在开工日期开始后28天之内，承包人应该向工程师提交对资料表中每一项总价款项的价格分解建议表。在编写支付证书时，工程师可以将该价格分解表考虑在内，但不应受其制约。</w:t>
      </w:r>
    </w:p>
    <w:p w14:paraId="5F7524A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14.2 </w:t>
      </w:r>
      <w:r>
        <w:rPr>
          <w:rFonts w:hint="eastAsia" w:ascii="宋体" w:hAnsi="宋体" w:eastAsia="宋体" w:cs="宋体"/>
          <w:sz w:val="24"/>
          <w:szCs w:val="24"/>
        </w:rPr>
        <w:tab/>
      </w:r>
      <w:r>
        <w:rPr>
          <w:rFonts w:hint="eastAsia" w:ascii="宋体" w:hAnsi="宋体" w:eastAsia="宋体" w:cs="宋体"/>
          <w:sz w:val="24"/>
          <w:szCs w:val="24"/>
        </w:rPr>
        <w:t>预付款</w:t>
      </w:r>
    </w:p>
    <w:p w14:paraId="356B51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承包人根据本款提交了履约担保和付款申请时，发包人应向承包人支付一笔预付款，作为对承包人动员工作的无息贷款。预付款总额，分期预付的次数与时间（一次以上时），以及适用的货币与比例应符合投标函附录中的规定。</w:t>
      </w:r>
    </w:p>
    <w:p w14:paraId="5311C6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如果发包人没有收到该保函，或者投标函附录中没有规定预付款总额，则本款不再适用。</w:t>
      </w:r>
    </w:p>
    <w:p w14:paraId="50128D6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在工程师收到报表（根据第14.3款【期中支付证书的申请】），并且发包人收到了由承包人提交的 （i）根据第4.2款【履约保证】规定的履约保证后，工程师应为第一笔分期付款颁发一份期中支付证书。该保函应由发包人认可的机构和国家（或其他司法管辖区）签发，并且其格式应使用专用条件中所附的格式或业主认可的其他格式。</w:t>
      </w:r>
    </w:p>
    <w:p w14:paraId="2A093A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该预付款应在支付证书中按百分比扣减的方式偿还。除非在投标函附录中另外注明了其他百分比，否则：</w:t>
      </w:r>
    </w:p>
    <w:p w14:paraId="7C4804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此种扣减应开始于支付证书中所有被证明了的期中付款的总额（不包括预付款及质量保证金的扣减与偿还）超过接受的合同款额（减去暂定金额）的10％时；且</w:t>
      </w:r>
    </w:p>
    <w:p w14:paraId="5CC81E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按照预付款的货币的种类及其比例，分期从每份支付证书中的数额（不包括预付款及质量保证金的扣减与偿还）中扣除25％，直至还清全部预付款。</w:t>
      </w:r>
    </w:p>
    <w:p w14:paraId="2AB07D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颁发工程的接收证书前或按第15条【发包人提出终止】，第16条【承包人提出暂停和终止】，或第19条【不可抗力】（视情况而定）终止合同前，尚未偿清预付款，承包人应将届时未付债务的全部余额立即支付给发包人。</w:t>
      </w:r>
    </w:p>
    <w:p w14:paraId="6F383C8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14:paraId="7D91A8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承包人应按工程师批准的格式在每个月末之后向工程师提交一式六份报表，详细说明承包人认为自己有权得到的款额，同时提交各证明文件，包括根据第4.21款【进度报告】，提交当月进度情况的详细报告。</w:t>
      </w:r>
    </w:p>
    <w:p w14:paraId="428731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该报表应包括下列项目(如适用)，这些项目应以应付合同价格的各种货币表示，并按下列顺序排列：</w:t>
      </w:r>
    </w:p>
    <w:p w14:paraId="72BB04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（a） </w:t>
      </w:r>
      <w:r>
        <w:rPr>
          <w:rFonts w:hint="eastAsia" w:ascii="宋体" w:hAnsi="宋体" w:eastAsia="宋体" w:cs="宋体"/>
          <w:sz w:val="24"/>
          <w:szCs w:val="24"/>
          <w:lang w:eastAsia="zh-CN"/>
        </w:rPr>
        <w:t>截止到</w:t>
      </w:r>
      <w:r>
        <w:rPr>
          <w:rFonts w:hint="eastAsia" w:ascii="宋体" w:hAnsi="宋体" w:eastAsia="宋体" w:cs="宋体"/>
          <w:sz w:val="24"/>
          <w:szCs w:val="24"/>
        </w:rPr>
        <w:t>月末已实施的工程及承包人的文件的估算合同价值(包括变更，但不包括以下（b）段至（g）段中所列项目）；</w:t>
      </w:r>
    </w:p>
    <w:p w14:paraId="2ADB88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根据第13.7款【法规变化引起的调整】和第13.8款【费用变化引起的调整】，由于立法和费用变化应增加和减扣的任何款额；</w:t>
      </w:r>
    </w:p>
    <w:p w14:paraId="0347DE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作为质量保证金减扣的任何款额，质量保证金按投标函附录中标明的质量保证金百分率乘以上述款额的总额计算得出，减扣直至发包人保留的款额达到投标函附录中规定的质量保证金限额（如有时）为止；</w:t>
      </w:r>
    </w:p>
    <w:p w14:paraId="09BFB1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根据第14.2款【预付款】，为预付款的支付和偿还应增加和减扣的任何款额；</w:t>
      </w:r>
    </w:p>
    <w:p w14:paraId="1262BED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根据第14.5款【用于永久工程的永久设备和材料】，为永久设备和材料应增加和减扣的款额；</w:t>
      </w:r>
    </w:p>
    <w:p w14:paraId="20E474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根据合同或其他规定（包括第20条【索赔、争端和仲裁】的规定），应付的任何其他的增加和减扣的款额；</w:t>
      </w:r>
    </w:p>
    <w:p w14:paraId="744D10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对所有以前的支付证书中证明的款额的扣除。</w:t>
      </w:r>
    </w:p>
    <w:p w14:paraId="17AA74C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14.4 </w:t>
      </w:r>
      <w:r>
        <w:rPr>
          <w:rFonts w:hint="eastAsia" w:ascii="宋体" w:hAnsi="宋体" w:eastAsia="宋体" w:cs="宋体"/>
          <w:sz w:val="24"/>
          <w:szCs w:val="24"/>
        </w:rPr>
        <w:tab/>
      </w:r>
      <w:r>
        <w:rPr>
          <w:rFonts w:hint="eastAsia" w:ascii="宋体" w:hAnsi="宋体" w:eastAsia="宋体" w:cs="宋体"/>
          <w:sz w:val="24"/>
          <w:szCs w:val="24"/>
        </w:rPr>
        <w:t>支付表</w:t>
      </w:r>
    </w:p>
    <w:p w14:paraId="6AF6D5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若合同包括支付表，其中规定了合同价格的分期付款数额，除非在此支付表中另有规定，否则：</w:t>
      </w:r>
    </w:p>
    <w:p w14:paraId="40245C0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在此支付表中所报的分期支付额即为第14.3款【期中支付证书的申请】（a）段所述的合同价值；</w:t>
      </w:r>
    </w:p>
    <w:p w14:paraId="52414A0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第14.5款【用于永久工程的永久设备和材料】将不再适用；并且</w:t>
      </w:r>
    </w:p>
    <w:p w14:paraId="60CF470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如果分期支付额不是参照工程实施所达到的实际进度制定的，且如果实际进度落后于支付表中分期支付所依据的进度状况，则工程师可通过考虑所达到的实际进度落后于分期支付所依据的进度的情况，根据第3.5款【决定】来商定或决定修正分期支付额。</w:t>
      </w:r>
    </w:p>
    <w:p w14:paraId="5B74047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中没有支付表，则每个季度承包人应就其到期应得的款额向发包人提交一份不具约束力的估价单。第一份估价单应在开工日期后42天之内提交，修正的估价单应按季度提交，直到工程的接收证书已经颁发。</w:t>
      </w:r>
    </w:p>
    <w:p w14:paraId="1B2D759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14.5 </w:t>
      </w:r>
      <w:r>
        <w:rPr>
          <w:rFonts w:hint="eastAsia" w:ascii="宋体" w:hAnsi="宋体" w:eastAsia="宋体" w:cs="宋体"/>
          <w:sz w:val="24"/>
          <w:szCs w:val="24"/>
        </w:rPr>
        <w:tab/>
      </w:r>
      <w:r>
        <w:rPr>
          <w:rFonts w:hint="eastAsia" w:ascii="宋体" w:hAnsi="宋体" w:eastAsia="宋体" w:cs="宋体"/>
          <w:sz w:val="24"/>
          <w:szCs w:val="24"/>
        </w:rPr>
        <w:t>用于永久工程的永久设备和材料</w:t>
      </w:r>
    </w:p>
    <w:p w14:paraId="4FBDF0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本款适用，则根据第14.3款（e）段的规定，期中支付证书应包括，（i）已运至现场为永久工程配套的永久设备与材料的预支款额；以及（ii）当此类永久设备与材料的合同价值已构成永久工程的一部分时的扣除款额（根据第14.3款【期中支付证书的申请】（a）段）。</w:t>
      </w:r>
    </w:p>
    <w:p w14:paraId="77AF404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如果在投标函附录中没有下述（b）（i）段或（c）（i）段提到的列表，本款将不适用。</w:t>
      </w:r>
    </w:p>
    <w:p w14:paraId="0E2464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如果工程师认为下列条件已经得到满足，他应该决定并证明每一项预支款额：</w:t>
      </w:r>
    </w:p>
    <w:p w14:paraId="6928C0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承包人已经：</w:t>
      </w:r>
    </w:p>
    <w:p w14:paraId="10A7B92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完整保存了各种记录（包括有关永久设备和材料的订单、收据、费用及使用），且此类记录可供随时检查；以及</w:t>
      </w:r>
    </w:p>
    <w:p w14:paraId="0CE6E7E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提交了购买永久设备和材料并将其运至现场的费用报表，同时提交了有关的证明文件；</w:t>
      </w:r>
    </w:p>
    <w:p w14:paraId="1822DC8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以及：</w:t>
      </w:r>
    </w:p>
    <w:p w14:paraId="6233BB2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相关的永久设备和材料：</w:t>
      </w:r>
    </w:p>
    <w:p w14:paraId="1C1927A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均属投标函附录中所列的在装运时应支付款额的项目；</w:t>
      </w:r>
    </w:p>
    <w:p w14:paraId="78A3ED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按照合同的要求已经运至工程所在国，并正在运往现场的途中；并且</w:t>
      </w:r>
    </w:p>
    <w:p w14:paraId="3BEEDB1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是清洁装船提单或其他装运证明中声明的。该提单或证明，与运输费和保险费的支付证明、其他可能合理要求的文件以及由发包人接受的银行按发包人接受的格式开具的无条件银行保函（保函开具的各笔用不同货币表示的金额应等同于根据本款规定应付的总额）应该已一同提交给了工程师。该保函的格式可以同第14.2款【预付款】中所提到的格式相类似，且其有效期应一直持续到此类永久设备和材料已适当地存放在现场并得到防失、防损、防腐之保护为止；</w:t>
      </w:r>
    </w:p>
    <w:p w14:paraId="6C2DED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w:t>
      </w:r>
    </w:p>
    <w:p w14:paraId="7A2A5FA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相关的永久设备和材料：</w:t>
      </w:r>
    </w:p>
    <w:p w14:paraId="0D2FB2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均属投标函附录中所列在运至现场时应支付款额的项目；并且</w:t>
      </w:r>
    </w:p>
    <w:p w14:paraId="2D73C0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已经运至现场，适当地存放在现场，得到防失、防损、防腐之保护，并完全符合合同的要求。</w:t>
      </w:r>
    </w:p>
    <w:p w14:paraId="1500EA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工程师应该确定永久设备和材料（包括运至现场）的费用，支付证书中应增加或扣除的款额为该费用的80％，此时他应将本款中所涉及到的文件以及永久设备和材料的合同价值考虑在内。</w:t>
      </w:r>
    </w:p>
    <w:p w14:paraId="3CEDB00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每笔预支款额，其货币种类应为第14.3款【期中支付证书的申请】（a）段中涉及的合同价值最终支付时所应采用的货币种类。支付证书应该包括适当的扣除款额，该扣除款额应与相关的永久设备和材料的预支款额相等，并采用相同的货币种类。</w:t>
      </w:r>
    </w:p>
    <w:p w14:paraId="0172F77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14.6 </w:t>
      </w:r>
      <w:r>
        <w:rPr>
          <w:rFonts w:hint="eastAsia" w:ascii="宋体" w:hAnsi="宋体" w:eastAsia="宋体" w:cs="宋体"/>
          <w:sz w:val="24"/>
          <w:szCs w:val="24"/>
        </w:rPr>
        <w:tab/>
      </w:r>
      <w:r>
        <w:rPr>
          <w:rFonts w:hint="eastAsia" w:ascii="宋体" w:hAnsi="宋体" w:eastAsia="宋体" w:cs="宋体"/>
          <w:sz w:val="24"/>
          <w:szCs w:val="24"/>
        </w:rPr>
        <w:t>期中支付证书的颁发</w:t>
      </w:r>
    </w:p>
    <w:p w14:paraId="5A46B45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收到并批准了履约保证之后，工程师才能为任何付款开具支付证书。此后，在收到承包人的报表和证明文件后28天内，工程师应向发包人签发期中支付证书，列出他认为应支付承包人的金额，并提交详细证明资料。</w:t>
      </w:r>
    </w:p>
    <w:p w14:paraId="3ACA2F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在颁发工程的接收证书之前，若被开具证书的净金额（在扣除质量保证金及其他应扣款额之后）少于投标函附录中规定的期中支付证书的最低限额（如有此规定时），则工程师没有义务为任何付款开具支付证书。在这种情况下，工程师应相应地通知承包人。</w:t>
      </w:r>
    </w:p>
    <w:p w14:paraId="75851E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除以下情况外，期中支付证书不得由于任何原因而被扣发：</w:t>
      </w:r>
    </w:p>
    <w:p w14:paraId="454273B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如果承包人所提供的物品或已完成的工作不符合合同要求，则可扣发修正或重置的费用，直至修正或重置工作完成；以及（或者）</w:t>
      </w:r>
    </w:p>
    <w:p w14:paraId="7C09797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如果承包人未能按照合同规定，进行工作或履行义务，并且工程师已经通知承包人，则可扣留该工作或义务的价值，直至该工作或义务被履行为止。</w:t>
      </w:r>
    </w:p>
    <w:p w14:paraId="7E8BE9F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工程师可在任何支付证书中对任何以前的证书给予恰当的改正或修正。支付证书不应被视为是工程师的接受、批准、同意或满意的意思表示。</w:t>
      </w:r>
    </w:p>
    <w:p w14:paraId="745E7F9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14.7 </w:t>
      </w:r>
      <w:r>
        <w:rPr>
          <w:rFonts w:hint="eastAsia" w:ascii="宋体" w:hAnsi="宋体" w:eastAsia="宋体" w:cs="宋体"/>
          <w:sz w:val="24"/>
          <w:szCs w:val="24"/>
        </w:rPr>
        <w:tab/>
      </w:r>
      <w:r>
        <w:rPr>
          <w:rFonts w:hint="eastAsia" w:ascii="宋体" w:hAnsi="宋体" w:eastAsia="宋体" w:cs="宋体"/>
          <w:sz w:val="24"/>
          <w:szCs w:val="24"/>
        </w:rPr>
        <w:t>支付</w:t>
      </w:r>
    </w:p>
    <w:p w14:paraId="4AAD60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发包人应向承包人支付：</w:t>
      </w:r>
    </w:p>
    <w:p w14:paraId="0BDFE2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首次分期预付款额，时间是在中标通知书颁发之日起42天内，或在根据第4.2款【履约保证】以及第14.2款【预付款】的规定，收到相关的文件之日起21天内，二者中取较晚者；</w:t>
      </w:r>
    </w:p>
    <w:p w14:paraId="09A387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期中支付证书中开具的款额，时间是在工程师收到报表及证明文件之日起56天内；以及</w:t>
      </w:r>
    </w:p>
    <w:p w14:paraId="492C40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最终支付证书中开具的款额，时间是在发包人收到该支付证书之日起56天内。</w:t>
      </w:r>
    </w:p>
    <w:p w14:paraId="3F4D49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每种货币支付的款项应被转入承包人在合同中指定的对该种货币的付款国的指定银行</w:t>
      </w:r>
      <w:r>
        <w:rPr>
          <w:rFonts w:hint="eastAsia" w:ascii="宋体" w:hAnsi="宋体" w:eastAsia="宋体" w:cs="宋体"/>
          <w:sz w:val="24"/>
          <w:szCs w:val="24"/>
          <w:lang w:val="en-US" w:eastAsia="zh-CN"/>
        </w:rPr>
        <w:t>账户</w:t>
      </w:r>
      <w:r>
        <w:rPr>
          <w:rFonts w:hint="eastAsia" w:ascii="宋体" w:hAnsi="宋体" w:eastAsia="宋体" w:cs="宋体"/>
          <w:sz w:val="24"/>
          <w:szCs w:val="24"/>
        </w:rPr>
        <w:t>。</w:t>
      </w:r>
    </w:p>
    <w:p w14:paraId="294095C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14.8 </w:t>
      </w:r>
      <w:r>
        <w:rPr>
          <w:rFonts w:hint="eastAsia" w:ascii="宋体" w:hAnsi="宋体" w:eastAsia="宋体" w:cs="宋体"/>
          <w:sz w:val="24"/>
          <w:szCs w:val="24"/>
        </w:rPr>
        <w:tab/>
      </w:r>
      <w:r>
        <w:rPr>
          <w:rFonts w:hint="eastAsia" w:ascii="宋体" w:hAnsi="宋体" w:eastAsia="宋体" w:cs="宋体"/>
          <w:sz w:val="24"/>
          <w:szCs w:val="24"/>
        </w:rPr>
        <w:t>延误的支付</w:t>
      </w:r>
    </w:p>
    <w:p w14:paraId="38A63D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没有收到根据第14.7款【支付】应获得的任何款额，承包人应有权就未付款额收取延误期的融资费。延误期应认为是从第14.7款【支付】规定的支付日期开始计算的，而不考虑（当（b）段的情况发生时）期中支付证书颁发的日期。</w:t>
      </w:r>
    </w:p>
    <w:p w14:paraId="2E2FCF4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除非在专用条件中另有规定，此融资费应以年利率为支付货币所在国中央银行的贴现率加上三个百分点进行计算，并用这种货币进行支付。</w:t>
      </w:r>
    </w:p>
    <w:p w14:paraId="090225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承包人有权得到此类付款而无需正式通知或证明，并且不损害他的任何其他权利或补偿。</w:t>
      </w:r>
    </w:p>
    <w:p w14:paraId="640DB17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14:paraId="381BD6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已经颁发了整个工程的接收证书时，工程师应开具证书将质量保证金的前一半支付给承包人。如果颁发的接收证书只是限于一个区段或工程的一部分，则应就相应百分比的质量保证金开具证书并给予支付。这个百分数应该是将估算的区段或部分的合同价值除以最终合同价格的估算值计算得出的比例的40％。</w:t>
      </w:r>
    </w:p>
    <w:p w14:paraId="515AE7D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期满时，工程师应立即开具证书将质量保证金尚未支付的部分支付给承包人。如果颁发的接收证书只限于一个区段，则在这个区段的缺陷责任期期满后，应立即就质量保证金的后一半的相应百分比开具证书并给予支付。这个百分数应该是将估算的区段或部分的合同价值除以最终合同价格的估算值计算得出的比例的40％。</w:t>
      </w:r>
    </w:p>
    <w:p w14:paraId="588102D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但如果在此时根据第11条【缺陷责任】，尚有任何工作仍需完成，工程师有权在此类工作完成之前扣发与完成工作所需费用相应的质量保证金余额的支付证书。</w:t>
      </w:r>
    </w:p>
    <w:p w14:paraId="2F064D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在计算上述的各项百分比时，不考虑根据第13.7款【法规变化引起的调整】和第13.8款【费用变化引起的调整】所进行的任何调整。</w:t>
      </w:r>
    </w:p>
    <w:p w14:paraId="6BB524F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14.10 </w:t>
      </w:r>
      <w:r>
        <w:rPr>
          <w:rFonts w:hint="eastAsia" w:ascii="宋体" w:hAnsi="宋体" w:eastAsia="宋体" w:cs="宋体"/>
          <w:sz w:val="24"/>
          <w:szCs w:val="24"/>
        </w:rPr>
        <w:tab/>
      </w:r>
      <w:r>
        <w:rPr>
          <w:rFonts w:hint="eastAsia" w:ascii="宋体" w:hAnsi="宋体" w:eastAsia="宋体" w:cs="宋体"/>
          <w:sz w:val="24"/>
          <w:szCs w:val="24"/>
        </w:rPr>
        <w:t>竣工报表</w:t>
      </w:r>
    </w:p>
    <w:p w14:paraId="052B5BE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在收到工程的接收证书后84天内，承包人应向工程师提交按其批准的格式编制的竣工报表一式六份，并附第14.3款【期中支付证书的申请】要求的证明文件，详细说明：</w:t>
      </w:r>
    </w:p>
    <w:p w14:paraId="14DAA1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到工程的接收证书注明的日期为止，根据合同所完成的所有工作的价值，</w:t>
      </w:r>
    </w:p>
    <w:p w14:paraId="0E012F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承包人认为应进一步支付给他的任何款项，以及</w:t>
      </w:r>
    </w:p>
    <w:p w14:paraId="5F52FD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承包人认为根据合同将应支付给他的任何其他估算款额。估算款额应在此竣工报表中单独列出。</w:t>
      </w:r>
    </w:p>
    <w:p w14:paraId="7161A5C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工程师应根据第14.6款【期中支付证书的颁发】开具支付证书。</w:t>
      </w:r>
    </w:p>
    <w:p w14:paraId="006C5D8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14.11 </w:t>
      </w:r>
      <w:r>
        <w:rPr>
          <w:rFonts w:hint="eastAsia" w:ascii="宋体" w:hAnsi="宋体" w:eastAsia="宋体" w:cs="宋体"/>
          <w:sz w:val="24"/>
          <w:szCs w:val="24"/>
        </w:rPr>
        <w:tab/>
      </w:r>
      <w:r>
        <w:rPr>
          <w:rFonts w:hint="eastAsia" w:ascii="宋体" w:hAnsi="宋体" w:eastAsia="宋体" w:cs="宋体"/>
          <w:sz w:val="24"/>
          <w:szCs w:val="24"/>
        </w:rPr>
        <w:t>申请最终支付证书</w:t>
      </w:r>
    </w:p>
    <w:p w14:paraId="179B15A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在颁发履约证书56天内，承包人应向工程师提交按其批准的格式编制的最终报表草案一式六份，并附证明文件，详细说明以下内容：</w:t>
      </w:r>
    </w:p>
    <w:p w14:paraId="7483AF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根据合同所完成的所有工作的价值，以及</w:t>
      </w:r>
    </w:p>
    <w:p w14:paraId="794ADF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承包人认为根据合同或其他规定应进一步支付给他的任何款项。</w:t>
      </w:r>
    </w:p>
    <w:p w14:paraId="712671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不同意或不能证实该最终报表草案中的某一部分，承包人应根据工程师的合理要求提交进一步的资料，并就双方所达成的一致意见对草案进行修改。随后，承包人应编制并向工程师提交双方同意的最终报表。在本条件中，该双方同意的报表被称为“最终报表”。</w:t>
      </w:r>
    </w:p>
    <w:p w14:paraId="674933C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和承包人讨论并对最终报表草案进行了双方同意的修改后，仍明显存在争议，工程师应向发包人送交一份最终报表中双方协商一致的期中支付证书，同时将一副本送交承包人。此后，如果存在的争议最终根据第20.4款【获得争端裁决委员会的决定】或第20.5款【友好解决】得到解决，承包人随后应根据争议解决的结果编制一份最终报表提交给发包人（同时将一副本送交工程师）。</w:t>
      </w:r>
    </w:p>
    <w:p w14:paraId="52075C9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14.12 </w:t>
      </w:r>
      <w:r>
        <w:rPr>
          <w:rFonts w:hint="eastAsia" w:ascii="宋体" w:hAnsi="宋体" w:eastAsia="宋体" w:cs="宋体"/>
          <w:sz w:val="24"/>
          <w:szCs w:val="24"/>
        </w:rPr>
        <w:tab/>
      </w:r>
      <w:r>
        <w:rPr>
          <w:rFonts w:hint="eastAsia" w:ascii="宋体" w:hAnsi="宋体" w:eastAsia="宋体" w:cs="宋体"/>
          <w:sz w:val="24"/>
          <w:szCs w:val="24"/>
        </w:rPr>
        <w:t>结清单</w:t>
      </w:r>
    </w:p>
    <w:p w14:paraId="4DA2A4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提交最终报表时，承包人应提交一份书面结清单，确认最终报表的总额为根据或参照合同应支付给他的所有款项的全部和最终的结算额。该结清单可注明，只有在全部未支付的余额得到支付且履约保证退还给承包人当日起，该结清单才能生效。</w:t>
      </w:r>
    </w:p>
    <w:p w14:paraId="2B460CE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14.13 </w:t>
      </w:r>
      <w:r>
        <w:rPr>
          <w:rFonts w:hint="eastAsia" w:ascii="宋体" w:hAnsi="宋体" w:eastAsia="宋体" w:cs="宋体"/>
          <w:sz w:val="24"/>
          <w:szCs w:val="24"/>
        </w:rPr>
        <w:tab/>
      </w:r>
      <w:r>
        <w:rPr>
          <w:rFonts w:hint="eastAsia" w:ascii="宋体" w:hAnsi="宋体" w:eastAsia="宋体" w:cs="宋体"/>
          <w:sz w:val="24"/>
          <w:szCs w:val="24"/>
        </w:rPr>
        <w:t>最终支付证书的颁发</w:t>
      </w:r>
    </w:p>
    <w:p w14:paraId="35BD0BB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根据第14.11款【最终支付证书的申请】和第14.12款【结清单】，在收到最终报表及书面结清单单后28天内，工程师应向发包人发出一份最终支付证书，说明：</w:t>
      </w:r>
    </w:p>
    <w:p w14:paraId="33589D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最终应支付的款额，以及</w:t>
      </w:r>
    </w:p>
    <w:p w14:paraId="0AAE52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在对发包人以前支付过的款额与发包人有权得到的全部金额加以核算后，发包人还应支付给承包人，或承包人还应支付给发包人（视情况而定）的余额（如有时）。</w:t>
      </w:r>
    </w:p>
    <w:p w14:paraId="1859980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根据第14.11款【最终支付证书的申请】和第14.12款【结清单】，申请最终支付证书，工程师应要求承包人提出申请。如果承包人未能在28天期限内提交此类申请，工程师应对其公正决定的应支付的此类款额颁发最终支付证书。</w:t>
      </w:r>
    </w:p>
    <w:p w14:paraId="0239EF8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14.14 </w:t>
      </w:r>
      <w:r>
        <w:rPr>
          <w:rFonts w:hint="eastAsia" w:ascii="宋体" w:hAnsi="宋体" w:eastAsia="宋体" w:cs="宋体"/>
          <w:sz w:val="24"/>
          <w:szCs w:val="24"/>
        </w:rPr>
        <w:tab/>
      </w:r>
      <w:r>
        <w:rPr>
          <w:rFonts w:hint="eastAsia" w:ascii="宋体" w:hAnsi="宋体" w:eastAsia="宋体" w:cs="宋体"/>
          <w:sz w:val="24"/>
          <w:szCs w:val="24"/>
        </w:rPr>
        <w:t>发包人责任的终止</w:t>
      </w:r>
    </w:p>
    <w:p w14:paraId="3C52BCE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对于由合同或工程实施引起的（或与之相关的）任何问题和事件，发包人不对承包人负有责任，除非承包人在下述文件中明确地包括了有关金额；</w:t>
      </w:r>
    </w:p>
    <w:p w14:paraId="2879B2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最终报表，以及</w:t>
      </w:r>
    </w:p>
    <w:p w14:paraId="08CDE81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（工程的接收证书颁发后发生的问题或事件除外）第14.10款【竣工报表】提及的竣工报表。</w:t>
      </w:r>
    </w:p>
    <w:p w14:paraId="44347B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但是，本款将不限定由于发包人的损害赔偿义务引起的责任，或者发包人的欺诈、故意违约或管理不善而造成的发包人的责任。</w:t>
      </w:r>
    </w:p>
    <w:p w14:paraId="2BD43B2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14.15 </w:t>
      </w:r>
      <w:r>
        <w:rPr>
          <w:rFonts w:hint="eastAsia" w:ascii="宋体" w:hAnsi="宋体" w:eastAsia="宋体" w:cs="宋体"/>
          <w:sz w:val="24"/>
          <w:szCs w:val="24"/>
        </w:rPr>
        <w:tab/>
      </w:r>
      <w:r>
        <w:rPr>
          <w:rFonts w:hint="eastAsia" w:ascii="宋体" w:hAnsi="宋体" w:eastAsia="宋体" w:cs="宋体"/>
          <w:sz w:val="24"/>
          <w:szCs w:val="24"/>
        </w:rPr>
        <w:t>支付的货币</w:t>
      </w:r>
    </w:p>
    <w:p w14:paraId="4B08FF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合同价格应以投标函附录中指定的一种或几种货币支付。除非在专用条件中另有规定，如果指定的货币不限于一种，则应按下述规定进行支付：</w:t>
      </w:r>
    </w:p>
    <w:p w14:paraId="597DAE5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如果接受的合同款额仅以当地货币表示：</w:t>
      </w:r>
    </w:p>
    <w:p w14:paraId="4C67B1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则支付当地货币与外币的比例或数额，以及计算该款额所用的固定汇率应按投标函附录中的规定执行，双方另有协议的情况除外；</w:t>
      </w:r>
    </w:p>
    <w:p w14:paraId="303E1B1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根据第13.5款【暂定金额】和第13.7款【法规变化引起的调整】，应付款项和减扣款项应以适用的货币种类和比例进行支付和减扣；以及</w:t>
      </w:r>
    </w:p>
    <w:p w14:paraId="4804C3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（iii）根据第14.3款【期中支付证书的申请】（a）段至（d）段的要求的其他应付款项和减扣款项，应以上述（a）段（i）中规定的货币种类和比例进行支付和减扣；</w:t>
      </w:r>
    </w:p>
    <w:p w14:paraId="464FED4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投标函附录中规定的损害赔偿费应按投标函附录中规定的货币种类和比例进行支付；</w:t>
      </w:r>
    </w:p>
    <w:p w14:paraId="41FC0E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承包人应该支付给发包人的其他款项应以发包人支付时使用的货币种类支付，或以双方协议使用的货币支付；</w:t>
      </w:r>
    </w:p>
    <w:p w14:paraId="0DF3BDA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如果承包人以某种特殊货币向发包人支付时的金额，超过了发包人以同种货币向承包人支付时的金额，发包人可从以其他货币进行支付的金额中弥补上述金额的余额；以及</w:t>
      </w:r>
    </w:p>
    <w:p w14:paraId="31C062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如果在投标函附录中未注明汇率，所采用的汇率应为工程所在国中央银行规定的在基准日期通行的汇率。</w:t>
      </w:r>
    </w:p>
    <w:p w14:paraId="78CD44BD">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rPr>
        <w:tab/>
      </w:r>
      <w:r>
        <w:rPr>
          <w:rFonts w:hint="eastAsia" w:ascii="宋体" w:hAnsi="宋体" w:eastAsia="宋体" w:cs="宋体"/>
          <w:sz w:val="24"/>
          <w:szCs w:val="24"/>
        </w:rPr>
        <w:t>发包人提出终止</w:t>
      </w:r>
    </w:p>
    <w:p w14:paraId="7364B15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15.1 </w:t>
      </w:r>
      <w:r>
        <w:rPr>
          <w:rFonts w:hint="eastAsia" w:ascii="宋体" w:hAnsi="宋体" w:eastAsia="宋体" w:cs="宋体"/>
          <w:sz w:val="24"/>
          <w:szCs w:val="24"/>
        </w:rPr>
        <w:tab/>
      </w:r>
      <w:r>
        <w:rPr>
          <w:rFonts w:hint="eastAsia" w:ascii="宋体" w:hAnsi="宋体" w:eastAsia="宋体" w:cs="宋体"/>
          <w:sz w:val="24"/>
          <w:szCs w:val="24"/>
        </w:rPr>
        <w:t>通知改正</w:t>
      </w:r>
    </w:p>
    <w:p w14:paraId="41E708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如果承包人未能根据合同履行任何义务，工程师可通知承包人，要求他在一规定的合理时间内改正此类过失。</w:t>
      </w:r>
    </w:p>
    <w:p w14:paraId="12D6E96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15.2 </w:t>
      </w:r>
      <w:r>
        <w:rPr>
          <w:rFonts w:hint="eastAsia" w:ascii="宋体" w:hAnsi="宋体" w:eastAsia="宋体" w:cs="宋体"/>
          <w:sz w:val="24"/>
          <w:szCs w:val="24"/>
        </w:rPr>
        <w:tab/>
      </w:r>
      <w:r>
        <w:rPr>
          <w:rFonts w:hint="eastAsia" w:ascii="宋体" w:hAnsi="宋体" w:eastAsia="宋体" w:cs="宋体"/>
          <w:sz w:val="24"/>
          <w:szCs w:val="24"/>
        </w:rPr>
        <w:t>发包人提出终止</w:t>
      </w:r>
    </w:p>
    <w:p w14:paraId="5F5D66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发包人有权终止合同，如果承包人：</w:t>
      </w:r>
    </w:p>
    <w:p w14:paraId="0DE6911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未能遵守第4.2款【履约保证】或根据第15.1款【通知改正】发出的通知，</w:t>
      </w:r>
    </w:p>
    <w:p w14:paraId="34D935C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放弃工程或证明他不愿继续按照合同履行义务，</w:t>
      </w:r>
    </w:p>
    <w:p w14:paraId="2BD8E7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无正当理由而未能：</w:t>
      </w:r>
    </w:p>
    <w:p w14:paraId="6999F84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按第8条【开工、延误和暂停】实施工程，或</w:t>
      </w:r>
    </w:p>
    <w:p w14:paraId="5ABD128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在接到通知后28天内，遵守根据第7.5款【拒收】或第7.6款【补救工作】颁发的通知，</w:t>
      </w:r>
    </w:p>
    <w:p w14:paraId="3DA8320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未按要求经过许可便擅自将整个工程分包出去或转让合同，</w:t>
      </w:r>
    </w:p>
    <w:p w14:paraId="6430F56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或</w:t>
      </w:r>
    </w:p>
    <w:p w14:paraId="41DAEA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给予或提出给予（直接或间接）任何人以任何贿赂、礼品、小费、佣金或其他有价值的物品，作为引诱或报酬；</w:t>
      </w:r>
    </w:p>
    <w:p w14:paraId="6BDD40A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使该人员采取或不采取与该合同有关的任何行动，或</w:t>
      </w:r>
    </w:p>
    <w:p w14:paraId="308CACB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使该人员对与该合同有关的任何人员表示赞同或不赞同，</w:t>
      </w:r>
    </w:p>
    <w:p w14:paraId="637A29A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或者，如果任何承包人的人员、代理商或分包商如（f）段所述的那样给予或提出给予（直接或间接）任何人以任何此类引诱或报酬。但是，给予承包人的人员的合法奖励和报酬应不会导致合同终止。</w:t>
      </w:r>
    </w:p>
    <w:p w14:paraId="674B4F2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如果发生上述事件或情况，则发包人可在向承包人发出通知14天后，终止本合同，并将承包人逐出现场。另外，如果发生（e）段或（f）段的情况，发包人可通知承包人立即终止合同。</w:t>
      </w:r>
    </w:p>
    <w:p w14:paraId="3B69130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发包人选择终止合同不应影响他根据合同或其他规定享有的发包人的任何其他权利。</w:t>
      </w:r>
    </w:p>
    <w:p w14:paraId="4B3740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随后应离开现场，并将任何要求的货物，所有他自己编制的或他人为其编制的承包人的文件以及其他设计文件转交给工程师。此外，承包人还应尽其最大努力立即遵守下述通知中所包含的合理指示：（i）为任何分包合同的转让，以及（ii）为保护生命或财产或工程的安全。</w:t>
      </w:r>
    </w:p>
    <w:p w14:paraId="569881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在此类终止之后，发包人可以安排由任何其他实体完成工程，或安排由任何其他实体和自己一起完成工程。发包人和此类实体可使用任何货物、承包人编制的或以其名义编制的承包人的文件以及其他设计文件。</w:t>
      </w:r>
    </w:p>
    <w:p w14:paraId="455169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随后发出通知，说明承包人的设备和临时工程将在现场或现场附近退还给承包人。承包人应以自己的费用及自担风险安排上述设备和临时工程的撤离，不得拖延。此外，如果此时承包人还有应支付给发包人的款额未支付，为了获取这笔款额，发包人可以出售上述设备和临时工程。此类收益的所有余额应归还承包人。</w:t>
      </w:r>
    </w:p>
    <w:p w14:paraId="412B5F6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15.3 </w:t>
      </w:r>
      <w:r>
        <w:rPr>
          <w:rFonts w:hint="eastAsia" w:ascii="宋体" w:hAnsi="宋体" w:eastAsia="宋体" w:cs="宋体"/>
          <w:sz w:val="24"/>
          <w:szCs w:val="24"/>
        </w:rPr>
        <w:tab/>
      </w:r>
      <w:r>
        <w:rPr>
          <w:rFonts w:hint="eastAsia" w:ascii="宋体" w:hAnsi="宋体" w:eastAsia="宋体" w:cs="宋体"/>
          <w:sz w:val="24"/>
          <w:szCs w:val="24"/>
        </w:rPr>
        <w:t>终止日期时的估价</w:t>
      </w:r>
    </w:p>
    <w:p w14:paraId="5A0F01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在根据第15.2款【发包人提出终止】发出的终止通知生效后，工程师应尽快根据第3.5款【决定】，商定或决定工程、货物和承包人的文件的价值，以及就其根据合同实施的工作承包人应得到的所有款项。</w:t>
      </w:r>
    </w:p>
    <w:p w14:paraId="5937863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15.4 </w:t>
      </w:r>
      <w:r>
        <w:rPr>
          <w:rFonts w:hint="eastAsia" w:ascii="宋体" w:hAnsi="宋体" w:eastAsia="宋体" w:cs="宋体"/>
          <w:sz w:val="24"/>
          <w:szCs w:val="24"/>
        </w:rPr>
        <w:tab/>
      </w:r>
      <w:r>
        <w:rPr>
          <w:rFonts w:hint="eastAsia" w:ascii="宋体" w:hAnsi="宋体" w:eastAsia="宋体" w:cs="宋体"/>
          <w:sz w:val="24"/>
          <w:szCs w:val="24"/>
        </w:rPr>
        <w:t>终止后的支付</w:t>
      </w:r>
    </w:p>
    <w:p w14:paraId="70686E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在根据第15.2款【发包人提出终止】发出的终止通知生效后，发包人可以：</w:t>
      </w:r>
    </w:p>
    <w:p w14:paraId="6B420A0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按照第2.5款【发包人的索赔】的要求执行，</w:t>
      </w:r>
    </w:p>
    <w:p w14:paraId="390E7C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扣留向承包人支付的进一步款项，直至发包人确定了施工、竣工和修补任何工程缺陷的费用、误期损害赔偿费（如有时），以及发包人花费的所有其它费用，以及（或者）</w:t>
      </w:r>
    </w:p>
    <w:p w14:paraId="30C556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考虑根据第15.3款【终止日期时的估价】应支付承包人的任何金额后，自承包人处收回发包人由此招致的任何损失以及为完成工程所导致的超支费用。在收回此类损失和超支费用后，发包人应向承包人支付任何结存金额。</w:t>
      </w:r>
    </w:p>
    <w:p w14:paraId="5690E44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15.5 </w:t>
      </w:r>
      <w:r>
        <w:rPr>
          <w:rFonts w:hint="eastAsia" w:ascii="宋体" w:hAnsi="宋体" w:eastAsia="宋体" w:cs="宋体"/>
          <w:sz w:val="24"/>
          <w:szCs w:val="24"/>
        </w:rPr>
        <w:tab/>
      </w:r>
      <w:r>
        <w:rPr>
          <w:rFonts w:hint="eastAsia" w:ascii="宋体" w:hAnsi="宋体" w:eastAsia="宋体" w:cs="宋体"/>
          <w:sz w:val="24"/>
          <w:szCs w:val="24"/>
        </w:rPr>
        <w:t>发包人终止合同的权力</w:t>
      </w:r>
    </w:p>
    <w:p w14:paraId="62B6ADB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任何发包人认为适宜时，发包人有权向承包人发出终止通知，终止合同。此类终止应在下述日期较晚者后28天生效：（i）收到该终止通知的日期，或（ii）发包人退还履约保证的日期。如果发包人为了自己实施工程或为了安排由其他承包人实施工程，则他将无权根据本款终止合同。</w:t>
      </w:r>
    </w:p>
    <w:p w14:paraId="5685766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在此类终止之后，承包人应按照第16.3款【通知工作及承包人的设备的撤离】的要求执行，并应按照第19.6款【可选择的终止、支付和返回】从发包人处得到支付。</w:t>
      </w:r>
    </w:p>
    <w:p w14:paraId="4D05664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eastAsia="宋体" w:cs="宋体"/>
          <w:sz w:val="24"/>
          <w:szCs w:val="24"/>
        </w:rPr>
        <w:tab/>
      </w:r>
      <w:r>
        <w:rPr>
          <w:rFonts w:hint="eastAsia" w:ascii="宋体" w:hAnsi="宋体" w:eastAsia="宋体" w:cs="宋体"/>
          <w:sz w:val="24"/>
          <w:szCs w:val="24"/>
        </w:rPr>
        <w:t>承包人提出暂停和终止</w:t>
      </w:r>
    </w:p>
    <w:p w14:paraId="2401135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16.1 </w:t>
      </w:r>
      <w:r>
        <w:rPr>
          <w:rFonts w:hint="eastAsia" w:ascii="宋体" w:hAnsi="宋体" w:eastAsia="宋体" w:cs="宋体"/>
          <w:sz w:val="24"/>
          <w:szCs w:val="24"/>
        </w:rPr>
        <w:tab/>
      </w:r>
      <w:r>
        <w:rPr>
          <w:rFonts w:hint="eastAsia" w:ascii="宋体" w:hAnsi="宋体" w:eastAsia="宋体" w:cs="宋体"/>
          <w:sz w:val="24"/>
          <w:szCs w:val="24"/>
        </w:rPr>
        <w:t>承包人有权暂停工作</w:t>
      </w:r>
    </w:p>
    <w:p w14:paraId="76E821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未能按照第14.6款【期中支付证书的颁发】开具支付证书，或者发包人未能按照第2.4款【发包人的资金安排】或第14.7款【支付】的规定执行，则承包人可在提前21天以上通知发包人，暂停工作（或降低工作速度），除非并且直到承包人收到了支付证书，合理的证明或支付（视情况而定并且遵守通知的指示）。</w:t>
      </w:r>
    </w:p>
    <w:p w14:paraId="000344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此行为不应影响承包人根据第14.8款【延误的支付】得到融资费和根据第16.2款【承包人提出终止】终止合同的权利。</w:t>
      </w:r>
    </w:p>
    <w:p w14:paraId="7EDADC4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如果在发出终止通知之前，承包人随即收到了此类支付证书、证明或支付（如相关条款和上述通知中所述），则承包人应尽快恢复正常工作。</w:t>
      </w:r>
    </w:p>
    <w:p w14:paraId="12ACAF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如果承包人根据本款规定暂停工作或降低工作速度而造成拖期和（或）导致发生费用，则承包人应通知工程师，并根据第20.1款【承包人的索赔】承包人有权：</w:t>
      </w:r>
    </w:p>
    <w:p w14:paraId="38EAC2E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14:paraId="1BAB13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获得任何此类费用加上合理的利润，并将之加入在合同价格。</w:t>
      </w:r>
    </w:p>
    <w:p w14:paraId="165E4D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14:paraId="2FC9CF4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16.2 </w:t>
      </w:r>
      <w:r>
        <w:rPr>
          <w:rFonts w:hint="eastAsia" w:ascii="宋体" w:hAnsi="宋体" w:eastAsia="宋体" w:cs="宋体"/>
          <w:sz w:val="24"/>
          <w:szCs w:val="24"/>
        </w:rPr>
        <w:tab/>
      </w:r>
      <w:r>
        <w:rPr>
          <w:rFonts w:hint="eastAsia" w:ascii="宋体" w:hAnsi="宋体" w:eastAsia="宋体" w:cs="宋体"/>
          <w:sz w:val="24"/>
          <w:szCs w:val="24"/>
        </w:rPr>
        <w:t>承包人提出终止</w:t>
      </w:r>
    </w:p>
    <w:p w14:paraId="0E6E1E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如果发生下述情况，承包人应有权终止合同：</w:t>
      </w:r>
    </w:p>
    <w:p w14:paraId="4F14AD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在根据第16.1款【承包人有权暂停工作】发出通知（有关于发包人未能按照第2.4款【发包人的资金安排】的规定执行）后42天内，承包人没有收到合理的证明，</w:t>
      </w:r>
    </w:p>
    <w:p w14:paraId="699BC8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在收到报表和证明文件后56天内，工程师未能颁发相应的支付证书，</w:t>
      </w:r>
    </w:p>
    <w:p w14:paraId="26B6B4D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在第14.7款【支付】规定的支付时间期满后42天内，承包人没有收到按开具的期中支付证书应向其支付的应付款额（根据第2.5款【发包人的索赔】进行扣除的金额除外），</w:t>
      </w:r>
    </w:p>
    <w:p w14:paraId="7C899C2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发包人基本上没有执行合同规定的义务，</w:t>
      </w:r>
    </w:p>
    <w:p w14:paraId="1BF3A9E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发包人未能按照第1.6款【合同协议书】或第1.7款【转让】的规定执行，</w:t>
      </w:r>
    </w:p>
    <w:p w14:paraId="29D5C57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第8.11款【持续的暂停】所述的持续的暂时停工影响到整个工程，或</w:t>
      </w:r>
    </w:p>
    <w:p w14:paraId="050F5A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发包人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w:t>
      </w:r>
    </w:p>
    <w:p w14:paraId="1EEA779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如果发生上述事件或情况，则承包人可在向发包人发出通知14天后，终止本合同。此外，如果发生（f）段或（g）段的情况，承包人可通知发包人立即终止合同。</w:t>
      </w:r>
    </w:p>
    <w:p w14:paraId="5EDD05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承包人选择终止合同不应影响他根据合同或其他规定享有的承包人的任何其他权利。</w:t>
      </w:r>
    </w:p>
    <w:p w14:paraId="4637CCF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16.3 </w:t>
      </w:r>
      <w:r>
        <w:rPr>
          <w:rFonts w:hint="eastAsia" w:ascii="宋体" w:hAnsi="宋体" w:eastAsia="宋体" w:cs="宋体"/>
          <w:sz w:val="24"/>
          <w:szCs w:val="24"/>
        </w:rPr>
        <w:tab/>
      </w:r>
      <w:r>
        <w:rPr>
          <w:rFonts w:hint="eastAsia" w:ascii="宋体" w:hAnsi="宋体" w:eastAsia="宋体" w:cs="宋体"/>
          <w:sz w:val="24"/>
          <w:szCs w:val="24"/>
        </w:rPr>
        <w:t>停止工作及承包人的设备的撤离</w:t>
      </w:r>
    </w:p>
    <w:p w14:paraId="07373A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在根据第15.5款【发包人终止合同的权力】，或第16.2款【承包人提出终止】或第19.6款【可选择的终止、支付和返回】发出的终止通知生效后，承包人应尽快：</w:t>
      </w:r>
    </w:p>
    <w:p w14:paraId="5AE6A3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停止一切进一步的工作，但应负责工程师为保护生命或财产或为了工程的安全可能指示进行的此类工作，</w:t>
      </w:r>
    </w:p>
    <w:p w14:paraId="0167F0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移交承包人已得到付款的承包人的文件、永久设备、材料及其他工作，以及</w:t>
      </w:r>
    </w:p>
    <w:p w14:paraId="52D79F2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撤离现场上所有其他的货物（为了安全所需的货物除外），而后离开现场。</w:t>
      </w:r>
    </w:p>
    <w:p w14:paraId="1314E77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sz w:val="24"/>
          <w:szCs w:val="24"/>
        </w:rPr>
        <w:tab/>
      </w:r>
      <w:r>
        <w:rPr>
          <w:rFonts w:hint="eastAsia" w:ascii="宋体" w:hAnsi="宋体" w:eastAsia="宋体" w:cs="宋体"/>
          <w:sz w:val="24"/>
          <w:szCs w:val="24"/>
        </w:rPr>
        <w:t>终止时的支付</w:t>
      </w:r>
    </w:p>
    <w:p w14:paraId="0F8555E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在根据第16.2款【承包人提出终止】发出的终止通知生效后，发包人应尽快：</w:t>
      </w:r>
    </w:p>
    <w:p w14:paraId="77B4BE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将履约保证退还承包人，</w:t>
      </w:r>
    </w:p>
    <w:p w14:paraId="345859F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根据第19.6款【可选择的终止、支付和返回】向承包人进行支付，以及</w:t>
      </w:r>
    </w:p>
    <w:p w14:paraId="19E5EEE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向承包人支付因终止合同承包人遭受的任何利润的损失或其他损失或损害的款额。</w:t>
      </w:r>
    </w:p>
    <w:p w14:paraId="66083929">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z w:val="24"/>
          <w:szCs w:val="24"/>
        </w:rPr>
        <w:tab/>
      </w:r>
      <w:r>
        <w:rPr>
          <w:rFonts w:hint="eastAsia" w:ascii="宋体" w:hAnsi="宋体" w:eastAsia="宋体" w:cs="宋体"/>
          <w:sz w:val="24"/>
          <w:szCs w:val="24"/>
        </w:rPr>
        <w:t>风险和责任</w:t>
      </w:r>
    </w:p>
    <w:p w14:paraId="3E31CB6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17.1 </w:t>
      </w:r>
      <w:r>
        <w:rPr>
          <w:rFonts w:hint="eastAsia" w:ascii="宋体" w:hAnsi="宋体" w:eastAsia="宋体" w:cs="宋体"/>
          <w:sz w:val="24"/>
          <w:szCs w:val="24"/>
        </w:rPr>
        <w:tab/>
      </w:r>
      <w:r>
        <w:rPr>
          <w:rFonts w:hint="eastAsia" w:ascii="宋体" w:hAnsi="宋体" w:eastAsia="宋体" w:cs="宋体"/>
          <w:sz w:val="24"/>
          <w:szCs w:val="24"/>
        </w:rPr>
        <w:t>保障</w:t>
      </w:r>
    </w:p>
    <w:p w14:paraId="361826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承包人应保障和保护发包人，发包人的人员，以及他们各自的代理人免遭与下述有关的一切索赔、损害、损失和开支（包括法律费用和开支）：</w:t>
      </w:r>
    </w:p>
    <w:p w14:paraId="4C7D20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的设计（如有时），施工、竣工以及任何缺陷的修补导致的任何人员的身体伤害、生病、病疫或死亡，由于发包人、发包人的人员或他们各自的代理人的任何渎职、恶意行为或违反合同而造成的除外，以及</w:t>
      </w:r>
    </w:p>
    <w:p w14:paraId="78090FA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物资财产，即不动产或私人财产（工程除外）的损伤或毁坏，当此类损伤或毁坏是：</w:t>
      </w:r>
    </w:p>
    <w:p w14:paraId="2E52F1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由于承包人的设计（如有时），施工、竣工以及任何缺陷的修补导致的，以及</w:t>
      </w:r>
    </w:p>
    <w:p w14:paraId="34182F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（ii）由于承包人、承包人的人员，他们各自的代理人，或由他们直接或间接雇用的任何人的任何渎职、恶意行为或违反合同而造成的。</w:t>
      </w:r>
    </w:p>
    <w:p w14:paraId="03EDA1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承包人的人员，以及他们各自的代理人免遭与下述有关的一切索赔、损害、损失和开支（包括法律费用和开支）：（1）由于发包人、发包人的人员或他们各自的代理人的任何渎职、恶意行为或违反合同而造成的身体伤害、生病、病疫或死亡，（2）没有承保的责任，如第18.3款【人员伤亡和财产损害的保险】第（d）段（i），（ii）及（iii） 中所述的。</w:t>
      </w:r>
    </w:p>
    <w:p w14:paraId="1157F42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17.2 </w:t>
      </w:r>
      <w:r>
        <w:rPr>
          <w:rFonts w:hint="eastAsia" w:ascii="宋体" w:hAnsi="宋体" w:eastAsia="宋体" w:cs="宋体"/>
          <w:sz w:val="24"/>
          <w:szCs w:val="24"/>
        </w:rPr>
        <w:tab/>
      </w:r>
      <w:r>
        <w:rPr>
          <w:rFonts w:hint="eastAsia" w:ascii="宋体" w:hAnsi="宋体" w:eastAsia="宋体" w:cs="宋体"/>
          <w:sz w:val="24"/>
          <w:szCs w:val="24"/>
        </w:rPr>
        <w:t>承包人对工程的照管</w:t>
      </w:r>
    </w:p>
    <w:p w14:paraId="4B4D6C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从工程开工日期起直到颁发（或认为根据第10.1款【对工程和区段的接收】已颁发）接收证书的日期为止，承包人应对工程的照管负全部责任。此后，照管工程的责任移交给发包人。如果就工程的某区段或部分颁发了接收证书（或认为已颁发），则该区段或部分工程的照管责任即移交给发包人。</w:t>
      </w:r>
    </w:p>
    <w:p w14:paraId="74F7A7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在责任相应地移交给发包人后，承包人仍有责任照管任何在接收证书上注明的日期内应完成而尚未完成的工作，直至此类扫尾工作已经完成。</w:t>
      </w:r>
    </w:p>
    <w:p w14:paraId="65C7B3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负责照管期间，如果工程、货物或承包人的文件发生的任何损失或损害不是由于第17.3款【发包人的风险】所列的发包人的风险所致，则承包人应自担风险和费用弥补此类损失或修补损害，以使工程、货物或承包人的文件符合合同的要求。</w:t>
      </w:r>
    </w:p>
    <w:p w14:paraId="1C2556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承包人还应为在接收证书颁发后由于他的任何行为导致的任何损失或损害负责。同时，对于接收证书颁发后出现，并且是由于在此之前承包人的责任而导致的任何损失或损害，承包人也应负有责任。</w:t>
      </w:r>
    </w:p>
    <w:p w14:paraId="0A83495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17.3 </w:t>
      </w:r>
      <w:r>
        <w:rPr>
          <w:rFonts w:hint="eastAsia" w:ascii="宋体" w:hAnsi="宋体" w:eastAsia="宋体" w:cs="宋体"/>
          <w:sz w:val="24"/>
          <w:szCs w:val="24"/>
        </w:rPr>
        <w:tab/>
      </w:r>
      <w:r>
        <w:rPr>
          <w:rFonts w:hint="eastAsia" w:ascii="宋体" w:hAnsi="宋体" w:eastAsia="宋体" w:cs="宋体"/>
          <w:sz w:val="24"/>
          <w:szCs w:val="24"/>
        </w:rPr>
        <w:t>发包人的风险</w:t>
      </w:r>
    </w:p>
    <w:p w14:paraId="5BECA29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与下述第17.4款有关的风险如下：</w:t>
      </w:r>
    </w:p>
    <w:p w14:paraId="6B75BFA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战争、敌对行动（不论宣战与否）、入侵、外敌行动，</w:t>
      </w:r>
    </w:p>
    <w:p w14:paraId="4E258B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工程所在国内的叛乱、恐怖活动、革命、暴动、军事政变或篡夺政权，或内战，</w:t>
      </w:r>
    </w:p>
    <w:p w14:paraId="7BB2B85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暴乱、骚乱或混乱，完全局限于承包人的人员以及承包人和分包商的其他雇用人员中间的事件除外，</w:t>
      </w:r>
    </w:p>
    <w:p w14:paraId="38B18B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工程所在国的军火、爆炸性物质、离子辐射或放射性污染，由于承包人使用此类军火、爆炸性物质、辐射或放射性活动的情况除外，</w:t>
      </w:r>
    </w:p>
    <w:p w14:paraId="54809D0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以音速或超音速飞行的飞机或其他飞行装置产生的压力波，</w:t>
      </w:r>
    </w:p>
    <w:p w14:paraId="73F517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发包人使用或占用永久工程的任何部分，合同中另有规定的除外，</w:t>
      </w:r>
    </w:p>
    <w:p w14:paraId="667BC5D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因工程任何部分设计不当而造成的，而此类设计是由发包人的人员提供的，或由发包人所负责的其他人员提供的，以及</w:t>
      </w:r>
    </w:p>
    <w:p w14:paraId="7F3607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 一个有经验的承包人不可预见且无法合理防范的自然力的作用。</w:t>
      </w:r>
    </w:p>
    <w:p w14:paraId="1B2EC27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17.4 </w:t>
      </w:r>
      <w:r>
        <w:rPr>
          <w:rFonts w:hint="eastAsia" w:ascii="宋体" w:hAnsi="宋体" w:eastAsia="宋体" w:cs="宋体"/>
          <w:sz w:val="24"/>
          <w:szCs w:val="24"/>
        </w:rPr>
        <w:tab/>
      </w:r>
      <w:r>
        <w:rPr>
          <w:rFonts w:hint="eastAsia" w:ascii="宋体" w:hAnsi="宋体" w:eastAsia="宋体" w:cs="宋体"/>
          <w:sz w:val="24"/>
          <w:szCs w:val="24"/>
        </w:rPr>
        <w:t>发包人的风险造成的后果</w:t>
      </w:r>
    </w:p>
    <w:p w14:paraId="3D3FA17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如果上述第17.3款所列的发包人的风险导致了工程、货物或承包人的文件的损失或损害，则承包人应尽快通知工程师，并且应按工程师的要求弥补此类损失或修复此类损害。</w:t>
      </w:r>
    </w:p>
    <w:p w14:paraId="56F461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如果为了弥补此类损失或修复此类损害使承包人延误工期和（或）承担了费用，则承包人应进一步通知工程师，并且根据第20.1款【承包人的索赔】，有权：</w:t>
      </w:r>
    </w:p>
    <w:p w14:paraId="2ECFCB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14:paraId="48B90A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获得任何此类费用，并将之加在合同价格中。如果第17.3款【发包人的风险】（f）段及（g）段的情况发生，上述费用应加上合理的利润。</w:t>
      </w:r>
    </w:p>
    <w:p w14:paraId="4FC08E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14:paraId="1267A76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17.5 </w:t>
      </w:r>
      <w:r>
        <w:rPr>
          <w:rFonts w:hint="eastAsia" w:ascii="宋体" w:hAnsi="宋体" w:eastAsia="宋体" w:cs="宋体"/>
          <w:sz w:val="24"/>
          <w:szCs w:val="24"/>
        </w:rPr>
        <w:tab/>
      </w:r>
      <w:r>
        <w:rPr>
          <w:rFonts w:hint="eastAsia" w:ascii="宋体" w:hAnsi="宋体" w:eastAsia="宋体" w:cs="宋体"/>
          <w:sz w:val="24"/>
          <w:szCs w:val="24"/>
        </w:rPr>
        <w:t>知识产权和工业产权</w:t>
      </w:r>
    </w:p>
    <w:p w14:paraId="0D778D4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侵权”的含义是指对与工程有关的任何专利权，已注册的设计、版权、商标、商品名称、商业秘密或其他知识产权的侵权（或声称的侵权）；“索赔”的含义是指声称侵权的索赔（或为索赔进行的诉讼活动）。</w:t>
      </w:r>
    </w:p>
    <w:p w14:paraId="5AF1123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如果一方在收到此类索赔后28天内未向任何索赔事件的另一方发出通知，则认为前者已经放弃了根据本款得到保障的一切权利。</w:t>
      </w:r>
    </w:p>
    <w:p w14:paraId="6613A4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发包人应保障和保护承包人免遭由于下述情况（或以前发生的情况）导致的任何对于声称的侵权的索赔：</w:t>
      </w:r>
    </w:p>
    <w:p w14:paraId="678573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由于承包人遵循合同而必然引起的结果，或者</w:t>
      </w:r>
    </w:p>
    <w:p w14:paraId="50038E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由于发包人使用任何工程引起的结果：</w:t>
      </w:r>
    </w:p>
    <w:p w14:paraId="351F46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不是为合同中指明或可合理推论出来的目的，或</w:t>
      </w:r>
    </w:p>
    <w:p w14:paraId="244E1E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（ii）与非承包人提供的任何事物联合使用，除非此类使用在基准日期之前已向承包人公开说明或在合同中指出。</w:t>
      </w:r>
    </w:p>
    <w:p w14:paraId="565BD2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承包人应保障和保护发包人免遭由于下述情况导致的或与下述情况相关的任何其他索赔：</w:t>
      </w:r>
    </w:p>
    <w:p w14:paraId="44BE46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所有货物的制造、使用、出售或进口，或</w:t>
      </w:r>
    </w:p>
    <w:p w14:paraId="3AEB4A8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承包人负责进行的设计。</w:t>
      </w:r>
    </w:p>
    <w:p w14:paraId="2602D4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有权根据本款得到保障，则保障方可以（自费）为解决该索赔进行谈判和进行由此索赔而引起的任何诉讼或仲裁。应保障方的要求并在由其负担费用的情况下，被保障方应协助对此类索赔进行争辩。该被保障方（包括其人员）不应承认任何有损于保障方的谈判、诉讼或仲裁，除非保障方未能按照被保障方的要求进行谈判、诉讼或仲裁。</w:t>
      </w:r>
    </w:p>
    <w:p w14:paraId="7B9F43D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17.6 </w:t>
      </w:r>
      <w:r>
        <w:rPr>
          <w:rFonts w:hint="eastAsia" w:ascii="宋体" w:hAnsi="宋体" w:eastAsia="宋体" w:cs="宋体"/>
          <w:sz w:val="24"/>
          <w:szCs w:val="24"/>
        </w:rPr>
        <w:tab/>
      </w:r>
      <w:r>
        <w:rPr>
          <w:rFonts w:hint="eastAsia" w:ascii="宋体" w:hAnsi="宋体" w:eastAsia="宋体" w:cs="宋体"/>
          <w:sz w:val="24"/>
          <w:szCs w:val="24"/>
        </w:rPr>
        <w:t>责任限度</w:t>
      </w:r>
    </w:p>
    <w:p w14:paraId="06CB4AC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一方均不向另一方负责赔偿另一方可能遭受的与合同有关的任何工程的使用损失、利润损失、任何其它合同损失，或任何间接或由之引起的损失或损害，根据第16.4款【终止时的支付】和第17.1款【保障】规定的情况除外。</w:t>
      </w:r>
    </w:p>
    <w:p w14:paraId="338C9290">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14:paraId="5E2619C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18.1 </w:t>
      </w:r>
      <w:r>
        <w:rPr>
          <w:rFonts w:hint="eastAsia" w:ascii="宋体" w:hAnsi="宋体" w:eastAsia="宋体" w:cs="宋体"/>
          <w:sz w:val="24"/>
          <w:szCs w:val="24"/>
        </w:rPr>
        <w:tab/>
      </w:r>
      <w:r>
        <w:rPr>
          <w:rFonts w:hint="eastAsia" w:ascii="宋体" w:hAnsi="宋体" w:eastAsia="宋体" w:cs="宋体"/>
          <w:sz w:val="24"/>
          <w:szCs w:val="24"/>
        </w:rPr>
        <w:t>有关保险的总体要求</w:t>
      </w:r>
    </w:p>
    <w:p w14:paraId="4BD4C5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在本条中，“保险方”的含义是指根据相关条款的规定投保各种类型的保险并保持其有效的一方。</w:t>
      </w:r>
    </w:p>
    <w:p w14:paraId="368346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当承包人作为保险方时，他应按照发包人批准的承保人及条件办理保险。这些条件应与中标通知书颁发日期前达成的条件保持一致，且此达成一致的条件优先于本条的各项规定。</w:t>
      </w:r>
    </w:p>
    <w:p w14:paraId="5C3810E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当发包人作为保险方时，他应按照专用条件后所附详细说明的承保人及条件办理保险。</w:t>
      </w:r>
    </w:p>
    <w:p w14:paraId="569CB67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如果某一保险单被要求对联合被</w:t>
      </w:r>
      <w:r>
        <w:rPr>
          <w:rFonts w:hint="eastAsia" w:ascii="宋体" w:hAnsi="宋体" w:cs="宋体"/>
          <w:sz w:val="24"/>
          <w:szCs w:val="24"/>
          <w:lang w:val="en-US" w:eastAsia="zh-CN"/>
        </w:rPr>
        <w:t>保险</w:t>
      </w:r>
      <w:r>
        <w:rPr>
          <w:rFonts w:hint="eastAsia" w:ascii="宋体" w:hAnsi="宋体" w:eastAsia="宋体" w:cs="宋体"/>
          <w:sz w:val="24"/>
          <w:szCs w:val="24"/>
        </w:rPr>
        <w:t>人进行保障，则该保险应适用于每一单独的被</w:t>
      </w:r>
      <w:r>
        <w:rPr>
          <w:rFonts w:hint="eastAsia" w:ascii="宋体" w:hAnsi="宋体" w:cs="宋体"/>
          <w:sz w:val="24"/>
          <w:szCs w:val="24"/>
          <w:lang w:val="en-US" w:eastAsia="zh-CN"/>
        </w:rPr>
        <w:t>保险</w:t>
      </w:r>
      <w:r>
        <w:rPr>
          <w:rFonts w:hint="eastAsia" w:ascii="宋体" w:hAnsi="宋体" w:eastAsia="宋体" w:cs="宋体"/>
          <w:sz w:val="24"/>
          <w:szCs w:val="24"/>
        </w:rPr>
        <w:t>人，其效力应和向每一联合被</w:t>
      </w:r>
      <w:r>
        <w:rPr>
          <w:rFonts w:hint="eastAsia" w:ascii="宋体" w:hAnsi="宋体" w:cs="宋体"/>
          <w:sz w:val="24"/>
          <w:szCs w:val="24"/>
          <w:lang w:val="en-US" w:eastAsia="zh-CN"/>
        </w:rPr>
        <w:t>保险</w:t>
      </w:r>
      <w:r>
        <w:rPr>
          <w:rFonts w:hint="eastAsia" w:ascii="宋体" w:hAnsi="宋体" w:eastAsia="宋体" w:cs="宋体"/>
          <w:sz w:val="24"/>
          <w:szCs w:val="24"/>
        </w:rPr>
        <w:t>人颁发了一张保险单的效力一致。如果某一保险单保障了另外的联合被</w:t>
      </w:r>
      <w:r>
        <w:rPr>
          <w:rFonts w:hint="eastAsia" w:ascii="宋体" w:hAnsi="宋体" w:cs="宋体"/>
          <w:sz w:val="24"/>
          <w:szCs w:val="24"/>
          <w:lang w:val="en-US" w:eastAsia="zh-CN"/>
        </w:rPr>
        <w:t>保险</w:t>
      </w:r>
      <w:r>
        <w:rPr>
          <w:rFonts w:hint="eastAsia" w:ascii="宋体" w:hAnsi="宋体" w:eastAsia="宋体" w:cs="宋体"/>
          <w:sz w:val="24"/>
          <w:szCs w:val="24"/>
        </w:rPr>
        <w:t>人，即本条款规定的被</w:t>
      </w:r>
      <w:r>
        <w:rPr>
          <w:rFonts w:hint="eastAsia" w:ascii="宋体" w:hAnsi="宋体" w:cs="宋体"/>
          <w:sz w:val="24"/>
          <w:szCs w:val="24"/>
          <w:lang w:val="en-US" w:eastAsia="zh-CN"/>
        </w:rPr>
        <w:t>保险</w:t>
      </w:r>
      <w:r>
        <w:rPr>
          <w:rFonts w:hint="eastAsia" w:ascii="宋体" w:hAnsi="宋体" w:eastAsia="宋体" w:cs="宋体"/>
          <w:sz w:val="24"/>
          <w:szCs w:val="24"/>
        </w:rPr>
        <w:t>人以外的被</w:t>
      </w:r>
      <w:r>
        <w:rPr>
          <w:rFonts w:hint="eastAsia" w:ascii="宋体" w:hAnsi="宋体" w:cs="宋体"/>
          <w:sz w:val="24"/>
          <w:szCs w:val="24"/>
          <w:lang w:val="en-US" w:eastAsia="zh-CN"/>
        </w:rPr>
        <w:t>保险</w:t>
      </w:r>
      <w:r>
        <w:rPr>
          <w:rFonts w:hint="eastAsia" w:ascii="宋体" w:hAnsi="宋体" w:eastAsia="宋体" w:cs="宋体"/>
          <w:sz w:val="24"/>
          <w:szCs w:val="24"/>
        </w:rPr>
        <w:t>人，则（i）承包人应代表此类另外的联合被</w:t>
      </w:r>
      <w:r>
        <w:rPr>
          <w:rFonts w:hint="eastAsia" w:ascii="宋体" w:hAnsi="宋体" w:cs="宋体"/>
          <w:sz w:val="24"/>
          <w:szCs w:val="24"/>
          <w:lang w:val="en-US" w:eastAsia="zh-CN"/>
        </w:rPr>
        <w:t>保险</w:t>
      </w:r>
      <w:r>
        <w:rPr>
          <w:rFonts w:hint="eastAsia" w:ascii="宋体" w:hAnsi="宋体" w:eastAsia="宋体" w:cs="宋体"/>
          <w:sz w:val="24"/>
          <w:szCs w:val="24"/>
        </w:rPr>
        <w:t>人根据保险单行动（发包人代表发包人的人员行动的情况除外），（ii）另外的联合被</w:t>
      </w:r>
      <w:r>
        <w:rPr>
          <w:rFonts w:hint="eastAsia" w:ascii="宋体" w:hAnsi="宋体" w:cs="宋体"/>
          <w:sz w:val="24"/>
          <w:szCs w:val="24"/>
          <w:lang w:val="en-US" w:eastAsia="zh-CN"/>
        </w:rPr>
        <w:t>保险</w:t>
      </w:r>
      <w:r>
        <w:rPr>
          <w:rFonts w:hint="eastAsia" w:ascii="宋体" w:hAnsi="宋体" w:eastAsia="宋体" w:cs="宋体"/>
          <w:sz w:val="24"/>
          <w:szCs w:val="24"/>
        </w:rPr>
        <w:t>人应无权直接从承保人处获得支付，或者直接与承保人办理任何业务，以及（iii）保险方应要求所有另外的联合被</w:t>
      </w:r>
      <w:r>
        <w:rPr>
          <w:rFonts w:hint="eastAsia" w:ascii="宋体" w:hAnsi="宋体" w:cs="宋体"/>
          <w:sz w:val="24"/>
          <w:szCs w:val="24"/>
          <w:lang w:val="en-US" w:eastAsia="zh-CN"/>
        </w:rPr>
        <w:t>保险</w:t>
      </w:r>
      <w:r>
        <w:rPr>
          <w:rFonts w:hint="eastAsia" w:ascii="宋体" w:hAnsi="宋体" w:eastAsia="宋体" w:cs="宋体"/>
          <w:sz w:val="24"/>
          <w:szCs w:val="24"/>
        </w:rPr>
        <w:t>人遵循保险单规定的条件。</w:t>
      </w:r>
    </w:p>
    <w:p w14:paraId="6328B3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为防范损失或损害，对于所办理的每份保险单应规定按照修复损失或损害所需的货币种类进行补偿。从承保人处得到的赔偿金应用于修复和弥补上述损失或损害。</w:t>
      </w:r>
    </w:p>
    <w:p w14:paraId="2275FE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在投标函附录中规定的各个期限内（从开工日期算起），相应的保险方应向另一方提交：</w:t>
      </w:r>
    </w:p>
    <w:p w14:paraId="223DED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本条所述的保险已生效的证明，以及</w:t>
      </w:r>
    </w:p>
    <w:p w14:paraId="02B07B7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第18.2款【工程和承包人的设备的保险】和第18.3款【人员伤亡和财产损害的保险】所述的保险单的副本。</w:t>
      </w:r>
    </w:p>
    <w:p w14:paraId="5898E08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保险方在支付每一笔保险费后，应将支付证明提交给另一方。在提交此类证明或投保单的同时，保险方还应将此类提交事宜通知工程师。</w:t>
      </w:r>
    </w:p>
    <w:p w14:paraId="4F00403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每一方都应遵守每份保险单规定的条件。保险方应将工程实施过程中发生的任何有关的变动通知给承保人，并确保保险条件与本条的规定一致。</w:t>
      </w:r>
    </w:p>
    <w:p w14:paraId="533B8C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没有另一方的事先批准，任一方都不得对保险条款作出实质性的变动。如果承保人作出（或欲作出）任何实质性的变动，承保人先行通知的一方应立即通知另一方。</w:t>
      </w:r>
    </w:p>
    <w:p w14:paraId="59A577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保险方未能按合同要求办理保险并使之保持有效，或未能按本款要求提供令另一方满意的证明和保险单的副本，则另一方可以（按他自己的决定且不影响任何其他权利或补救的情况下）为此类违约相关的险别办理保险并支付应交的保险费。保险方应向另一方支付此类保险费的款额，同时合同价格应做相应的调整。</w:t>
      </w:r>
    </w:p>
    <w:p w14:paraId="08EB4CC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条规定不限制合同的其余条款或其他文件所规定的承包人或发包人的义务、职责或责任。任何未保险或未能从承保人处收回的款额，应由承包人和（或）发包人根据上述义务、职责或责任相应负担。但是，如果保险方未能按合同要求办理保险并使之保持有效（且该保险是可以办理的），并且另一方没有批准将其作为一项工作的删减，也没有为此类违约相关的险别办理保险，则任何通过此类保险本可收回的款项应由保险方支付给另一方。</w:t>
      </w:r>
    </w:p>
    <w:p w14:paraId="67BA169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一方向另一方进行的支付必须遵循第2.5款【发包人的索赔】或第20.1款【承包人的索赔】（如适用）的规定。</w:t>
      </w:r>
    </w:p>
    <w:p w14:paraId="1E10C0E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18.2 </w:t>
      </w:r>
      <w:r>
        <w:rPr>
          <w:rFonts w:hint="eastAsia" w:ascii="宋体" w:hAnsi="宋体" w:eastAsia="宋体" w:cs="宋体"/>
          <w:sz w:val="24"/>
          <w:szCs w:val="24"/>
        </w:rPr>
        <w:tab/>
      </w:r>
      <w:r>
        <w:rPr>
          <w:rFonts w:hint="eastAsia" w:ascii="宋体" w:hAnsi="宋体" w:eastAsia="宋体" w:cs="宋体"/>
          <w:sz w:val="24"/>
          <w:szCs w:val="24"/>
        </w:rPr>
        <w:t>工程和承包人的设备的保险</w:t>
      </w:r>
    </w:p>
    <w:p w14:paraId="3DB094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工程、永久设备、材料以及承包人的文件投保，该保险的最低限额应不少于全部复原成本，包括补偿拆除和移走废弃物以及专业服务费和利润。此类保险应自根据第18.1款【有关保险的总体要求】提交证明之日起，至颁发工程的接收证书之日止保持有效。</w:t>
      </w:r>
    </w:p>
    <w:p w14:paraId="003C902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对于颁发接收证书前发生的由承包人负责的原因以及承包人在进行任何其他作业（包括第11条【缺陷责任】所规定的作业）过程中造成的损失或损坏，保险方应将此类保险的有效期延至履约证书颁发的日期。</w:t>
      </w:r>
    </w:p>
    <w:p w14:paraId="74F09D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承包人的设备投保，该保险的最低限额应不少于全部重置价值（包括运至现场）。对于每项承包人的设备，该保险应保证其运往现场的过程中以及设备停留在现场或附近期间，均处于被保险之中，直至不再将其作为承包人的设备使用为止。</w:t>
      </w:r>
    </w:p>
    <w:p w14:paraId="64D32F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除非专用条件中另有规定，否则本款规定的保险：</w:t>
      </w:r>
    </w:p>
    <w:p w14:paraId="03A22E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14:paraId="2AA0B5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应以合同双方联合的名义投保，联合的合同双方均有权从承保人处得到支付，仅为修复损失或损害的目的，该支付的款额由合同双方共同占有或在各方</w:t>
      </w:r>
      <w:r>
        <w:rPr>
          <w:rFonts w:hint="eastAsia" w:ascii="宋体" w:hAnsi="宋体" w:cs="宋体"/>
          <w:sz w:val="24"/>
          <w:szCs w:val="24"/>
          <w:lang w:eastAsia="zh-CN"/>
        </w:rPr>
        <w:t>之间</w:t>
      </w:r>
      <w:r>
        <w:rPr>
          <w:rFonts w:hint="eastAsia" w:ascii="宋体" w:hAnsi="宋体" w:eastAsia="宋体" w:cs="宋体"/>
          <w:sz w:val="24"/>
          <w:szCs w:val="24"/>
        </w:rPr>
        <w:t>进行分配，</w:t>
      </w:r>
    </w:p>
    <w:p w14:paraId="779CCE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应补偿除第17.3款【发包人的风险】所列发包人的风险之外的任何原因所导致的所有损失和损害，</w:t>
      </w:r>
    </w:p>
    <w:p w14:paraId="5BA3B7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还应补偿由于发包人使用或占用工程的另一部分而对工程的某一部分造成的损失或损害，以及第17.3款【发包人的风险】（c）、（g）及（h）段所列发包人的风险所导致的损失或损害（对于每种情况，不包括那些根据商业合理条款不能进行保险的风险），每次发生事故的扣减不大于投标函附录中注明的款额（如果没有注明此类款额，（d）段将不适用），以及</w:t>
      </w:r>
    </w:p>
    <w:p w14:paraId="0240996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将不包括下述情况导致的损失、损害，以及将其恢复原状：</w:t>
      </w:r>
    </w:p>
    <w:p w14:paraId="45EA7D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(i)工程的某一部分由于其设计、材料或工艺的缺陷而处于不完善的状态（但是保险应包括直接由此类不完善的状态（下述（ii）段中的情况除外）导致的工程的任何其他部分的损失和损害），</w:t>
      </w:r>
    </w:p>
    <w:p w14:paraId="34E1089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(ii)工程的某一部分所遭受的损失或损害是为了修复工程的任何其他部分所致，而此类其他部分由于其设计、材料或工艺的缺陷而处于不完善的状态，</w:t>
      </w:r>
    </w:p>
    <w:p w14:paraId="5AFF4F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工程的某一部分已移交给发包人，但承包人负责的损失或损害除外，以及</w:t>
      </w:r>
    </w:p>
    <w:p w14:paraId="34B6371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(iv)根据第14.5款【用于永久工程的永久设备和材料】，货物还未运抵工程所在国时。</w:t>
      </w:r>
    </w:p>
    <w:p w14:paraId="3BF49F1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后超过一年时间，上述（d）段所述保险由于商业合理条件而无法再获得，则承包人（作为保险方）应通知发包人，并提交详细证明文件。发包人应该随即（i）有权根据第2.5款【发包人的索赔】，获得款额与此类商业合理条件相等的支付，作为承包人为此类保险本应作出的支付，以及（ii）被认为（除非他依据商业合理条件办理了保险）已经根据第18.1款【有关保险的总体要求】，批准了此类工作的删减。</w:t>
      </w:r>
    </w:p>
    <w:p w14:paraId="126BF20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18.3 </w:t>
      </w:r>
      <w:r>
        <w:rPr>
          <w:rFonts w:hint="eastAsia" w:ascii="宋体" w:hAnsi="宋体" w:eastAsia="宋体" w:cs="宋体"/>
          <w:sz w:val="24"/>
          <w:szCs w:val="24"/>
        </w:rPr>
        <w:tab/>
      </w:r>
      <w:r>
        <w:rPr>
          <w:rFonts w:hint="eastAsia" w:ascii="宋体" w:hAnsi="宋体" w:eastAsia="宋体" w:cs="宋体"/>
          <w:sz w:val="24"/>
          <w:szCs w:val="24"/>
        </w:rPr>
        <w:t>人员伤亡和财产损害的保险</w:t>
      </w:r>
    </w:p>
    <w:p w14:paraId="4493A2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履行合同引起的，并在履约证书颁发之前发生的任何物资财产（第18.2款【工程和承包人的设备的保险】的规定被投保的物品除外）的损失或损害，或任何人员（根据第18.4款【承包人人员的保险】规定的被投保的人员除外）的伤亡引起的每一方的责任办理保险。</w:t>
      </w:r>
    </w:p>
    <w:p w14:paraId="334DE8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该保险每一次事故的最低限额应不少于投标函附录中规定的数额，对于事故的数目并无限制。如果在投标函附录中没有注明此类金额，则本款将不再适用。</w:t>
      </w:r>
    </w:p>
    <w:p w14:paraId="16AD49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除非专用条件中另有规定，本款中规定的保险：</w:t>
      </w:r>
    </w:p>
    <w:p w14:paraId="1C72AD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14:paraId="6F4F17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w:t>
      </w:r>
    </w:p>
    <w:p w14:paraId="5367AF9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应保证弥补由于承包人履行合同而导致的发包人的财产的一切损失和损害（根据第18.2款的规定被投保的物品除外），以及</w:t>
      </w:r>
    </w:p>
    <w:p w14:paraId="32EAA0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不承保下述情况引起的责任：</w:t>
      </w:r>
    </w:p>
    <w:p w14:paraId="249EE02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(i)发包人有权在任何土地上，越过该土地，在该土地之下、之内或穿过其间实施永久工程，并为永久工程占有该土地，</w:t>
      </w:r>
    </w:p>
    <w:p w14:paraId="686346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(ii)承包人履行实施工程并修补缺陷而导致的无法避免的损害，以及</w:t>
      </w:r>
    </w:p>
    <w:p w14:paraId="6942743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第17.3款【发包人的风险】所列发包人的风险所导致的情况，根据商业合理条件可以投保的除外。</w:t>
      </w:r>
    </w:p>
    <w:p w14:paraId="3CBB64F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18.4 </w:t>
      </w:r>
      <w:r>
        <w:rPr>
          <w:rFonts w:hint="eastAsia" w:ascii="宋体" w:hAnsi="宋体" w:eastAsia="宋体" w:cs="宋体"/>
          <w:sz w:val="24"/>
          <w:szCs w:val="24"/>
        </w:rPr>
        <w:tab/>
      </w:r>
      <w:r>
        <w:rPr>
          <w:rFonts w:hint="eastAsia" w:ascii="宋体" w:hAnsi="宋体" w:eastAsia="宋体" w:cs="宋体"/>
          <w:sz w:val="24"/>
          <w:szCs w:val="24"/>
        </w:rPr>
        <w:t>承包人的人员的保险</w:t>
      </w:r>
    </w:p>
    <w:p w14:paraId="721170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承包人应为由于承包人或任何其他承包人的人员雇用的任何人员的伤害、疾病、病疫或死亡所导致的一切索赔、损害、损失和开支（包括法律费用和开支）的责任投保，并使之保持有效。</w:t>
      </w:r>
    </w:p>
    <w:p w14:paraId="07F4D2D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发包人和工程师也应能够依此保险单得到保障，但此类保险不承保由发包人或发包人的人员的任何行为或疏忽造成的损失和索赔。</w:t>
      </w:r>
    </w:p>
    <w:p w14:paraId="2D3C69B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该保险此类人员协助实施工程的整个期间都要保持完全有效。对于分包商的雇员，此类保险可由分包商来办理，但承包人应负责使分包商遵循本条的要求。</w:t>
      </w:r>
    </w:p>
    <w:p w14:paraId="43DE3B91">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rPr>
        <w:tab/>
      </w:r>
      <w:r>
        <w:rPr>
          <w:rFonts w:hint="eastAsia" w:ascii="宋体" w:hAnsi="宋体" w:eastAsia="宋体" w:cs="宋体"/>
          <w:sz w:val="24"/>
          <w:szCs w:val="24"/>
        </w:rPr>
        <w:t>不可抗力</w:t>
      </w:r>
    </w:p>
    <w:p w14:paraId="74356AB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19.1 </w:t>
      </w:r>
      <w:r>
        <w:rPr>
          <w:rFonts w:hint="eastAsia" w:ascii="宋体" w:hAnsi="宋体" w:eastAsia="宋体" w:cs="宋体"/>
          <w:sz w:val="24"/>
          <w:szCs w:val="24"/>
        </w:rPr>
        <w:tab/>
      </w:r>
      <w:r>
        <w:rPr>
          <w:rFonts w:hint="eastAsia" w:ascii="宋体" w:hAnsi="宋体" w:eastAsia="宋体" w:cs="宋体"/>
          <w:sz w:val="24"/>
          <w:szCs w:val="24"/>
        </w:rPr>
        <w:t>不可抗力的定义</w:t>
      </w:r>
    </w:p>
    <w:p w14:paraId="42DA54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在本条中，“不可抗力”的含义是指如下所述的特殊事件或情况：</w:t>
      </w:r>
    </w:p>
    <w:p w14:paraId="2D2ABC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一方无法控制的，</w:t>
      </w:r>
    </w:p>
    <w:p w14:paraId="618D88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在签订合同前该方无法合理防范的，</w:t>
      </w:r>
    </w:p>
    <w:p w14:paraId="67E532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情况发生时，该方无法合理回避或克服的，以及</w:t>
      </w:r>
    </w:p>
    <w:p w14:paraId="351171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主要不是由于另一方造成的。</w:t>
      </w:r>
    </w:p>
    <w:p w14:paraId="023EE5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只要满足上述（a）至（d）段所述的条件，不可抗力可包括（但不限于）下列特殊事件或情况：</w:t>
      </w:r>
    </w:p>
    <w:p w14:paraId="577372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战争、敌对行动（不论宣战与否）、入侵、外敌行动，</w:t>
      </w:r>
    </w:p>
    <w:p w14:paraId="07CF374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叛乱、恐怖活动、革命、暴动、军事政变或篡夺政权，或内战，</w:t>
      </w:r>
    </w:p>
    <w:p w14:paraId="3F1A15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暴乱、骚乱、混乱、罢工或停业，完全局限于承包人的人员以及承包人和分包商的其它雇员中间的事件除外，</w:t>
      </w:r>
    </w:p>
    <w:p w14:paraId="3F88BB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（iv） 军火，炸药，离子辐射或放射性污染，由于承包人使用此类军火，炸药，辐射或放射性的情况除外，</w:t>
      </w:r>
    </w:p>
    <w:p w14:paraId="7B3878A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（v） 自然灾害，如地震、飓风、台风或火山爆发。</w:t>
      </w:r>
    </w:p>
    <w:p w14:paraId="12FD260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19.2 </w:t>
      </w:r>
      <w:r>
        <w:rPr>
          <w:rFonts w:hint="eastAsia" w:ascii="宋体" w:hAnsi="宋体" w:eastAsia="宋体" w:cs="宋体"/>
          <w:sz w:val="24"/>
          <w:szCs w:val="24"/>
        </w:rPr>
        <w:tab/>
      </w:r>
      <w:r>
        <w:rPr>
          <w:rFonts w:hint="eastAsia" w:ascii="宋体" w:hAnsi="宋体" w:eastAsia="宋体" w:cs="宋体"/>
          <w:sz w:val="24"/>
          <w:szCs w:val="24"/>
        </w:rPr>
        <w:t>不可抗力的通知</w:t>
      </w:r>
    </w:p>
    <w:p w14:paraId="32B2AC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一方已经或将要无法依据合同履行他的任何义务，则该方应将构成不可抗力的事件或情况通知另一方，并具体说明已经无法或将要无法履行的义务、工作。该方应在注意到（或应该开始注意到）构成不可抗力的相应事件或情况发生后14天内发出通知。</w:t>
      </w:r>
    </w:p>
    <w:p w14:paraId="792027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在发出通知后，该方应在此类不可抗力持续期间免除此类义务的履行。</w:t>
      </w:r>
    </w:p>
    <w:p w14:paraId="647520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不论本条中其它款作何规定，不可抗力的规定不适用于任一方依据合同向另一方进行支付的义务。</w:t>
      </w:r>
    </w:p>
    <w:p w14:paraId="4A49243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19.3 </w:t>
      </w:r>
      <w:r>
        <w:rPr>
          <w:rFonts w:hint="eastAsia" w:ascii="宋体" w:hAnsi="宋体" w:eastAsia="宋体" w:cs="宋体"/>
          <w:sz w:val="24"/>
          <w:szCs w:val="24"/>
        </w:rPr>
        <w:tab/>
      </w:r>
      <w:r>
        <w:rPr>
          <w:rFonts w:hint="eastAsia" w:ascii="宋体" w:hAnsi="宋体" w:eastAsia="宋体" w:cs="宋体"/>
          <w:sz w:val="24"/>
          <w:szCs w:val="24"/>
        </w:rPr>
        <w:t>减少延误的责任</w:t>
      </w:r>
    </w:p>
    <w:p w14:paraId="4BA426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只要合理，自始至终，每一方都应尽力履行合同规定的义务，以减少由于不可抗力导致的任何延误。</w:t>
      </w:r>
    </w:p>
    <w:p w14:paraId="4231892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当不可抗力的影响终止时，一方应通知另一方。</w:t>
      </w:r>
    </w:p>
    <w:p w14:paraId="5938A1C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19.4 </w:t>
      </w:r>
      <w:r>
        <w:rPr>
          <w:rFonts w:hint="eastAsia" w:ascii="宋体" w:hAnsi="宋体" w:eastAsia="宋体" w:cs="宋体"/>
          <w:sz w:val="24"/>
          <w:szCs w:val="24"/>
        </w:rPr>
        <w:tab/>
      </w:r>
      <w:r>
        <w:rPr>
          <w:rFonts w:hint="eastAsia" w:ascii="宋体" w:hAnsi="宋体" w:eastAsia="宋体" w:cs="宋体"/>
          <w:sz w:val="24"/>
          <w:szCs w:val="24"/>
        </w:rPr>
        <w:t>不可抗力引起的后果</w:t>
      </w:r>
    </w:p>
    <w:p w14:paraId="1B5414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承包人无法依据合同履行他的任何义务，而且已经根据第19.2款【不可抗力的通知】，发出了相应的通知，并且由于承包人无法履行此类义务而使其遭受工期的延误和（或）费用的增加，则根据第20.1款【承包人的索赔】，承包人有权：</w:t>
      </w:r>
    </w:p>
    <w:p w14:paraId="37174E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14:paraId="3BE3CC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获得任何此类费用的支付款额，如果发生了如第19.1款【不可抗力的定义】中（i）至(iv)段所描述的事件或情况，以及如果在工程所在国发生了如（ii）至(iv)段中所述的事件或情况。</w:t>
      </w:r>
    </w:p>
    <w:p w14:paraId="7EAD7B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14:paraId="71ABB37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19.5 </w:t>
      </w:r>
      <w:r>
        <w:rPr>
          <w:rFonts w:hint="eastAsia" w:ascii="宋体" w:hAnsi="宋体" w:eastAsia="宋体" w:cs="宋体"/>
          <w:sz w:val="24"/>
          <w:szCs w:val="24"/>
        </w:rPr>
        <w:tab/>
      </w:r>
      <w:r>
        <w:rPr>
          <w:rFonts w:hint="eastAsia" w:ascii="宋体" w:hAnsi="宋体" w:eastAsia="宋体" w:cs="宋体"/>
          <w:sz w:val="24"/>
          <w:szCs w:val="24"/>
        </w:rPr>
        <w:t>不可抗力对分包商的影响</w:t>
      </w:r>
    </w:p>
    <w:p w14:paraId="1BEB88F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根据有关工程的任何合同或协议，分包商有权在附加的或超出本款规定范围之外的不可抗力发生时解除其义务，则在此类附加的或超出的不可抗力事件或情况发生时，承包人应继续工作，且他无权根据本款解除其履约义务。</w:t>
      </w:r>
    </w:p>
    <w:p w14:paraId="658A825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19.6 </w:t>
      </w:r>
      <w:r>
        <w:rPr>
          <w:rFonts w:hint="eastAsia" w:ascii="宋体" w:hAnsi="宋体" w:eastAsia="宋体" w:cs="宋体"/>
          <w:sz w:val="24"/>
          <w:szCs w:val="24"/>
        </w:rPr>
        <w:tab/>
      </w:r>
      <w:r>
        <w:rPr>
          <w:rFonts w:hint="eastAsia" w:ascii="宋体" w:hAnsi="宋体" w:eastAsia="宋体" w:cs="宋体"/>
          <w:sz w:val="24"/>
          <w:szCs w:val="24"/>
        </w:rPr>
        <w:t>可选择的终止、支付和返回</w:t>
      </w:r>
    </w:p>
    <w:p w14:paraId="493D1A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导致整个工程的施工无法进行已经持续了84天，且已根据第19.2款【不可抗力的通知】发出了相应的通知，或如果由于同样原因停工时间的总和已经超过了140天，则任一方可向另一方发出终止合同的通知。在这种情况下，合同将在通知发出后7天终止，同时承包人应按照第16.3款【停止工作及承包人的设备的撤离】的规定执行。</w:t>
      </w:r>
    </w:p>
    <w:p w14:paraId="492968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一旦发生此类终止，工程师应决定已完成的工作的价值，并颁发包括下列内容的支付证书：</w:t>
      </w:r>
    </w:p>
    <w:p w14:paraId="62EE92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已完成的且其价格在合同中有规定的任何工作的应付款额；</w:t>
      </w:r>
    </w:p>
    <w:p w14:paraId="45B8D9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为工程订购的，且已交付给承包人或承包人有责任去接受交货的永久设备和材料的费用：当发包人为之付款后，此类永久设备和材料应成为发包人的财产（发包人亦为之承担风险），并且承包人应将此类永久设备和材料交由发包人处置；</w:t>
      </w:r>
    </w:p>
    <w:p w14:paraId="1207DD4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为完成整个工程，承包人在某些情况合理导致的任何其他费用或负债；</w:t>
      </w:r>
    </w:p>
    <w:p w14:paraId="2AAB36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将临时工程和承包人的设备撤离现场并运回承包人本国设备基地的合理费用（或运回其他目的地的费用，但不能超过运回本国基地的费用）；以及</w:t>
      </w:r>
    </w:p>
    <w:p w14:paraId="0722C6B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在合同终止日期将完全是为工程雇用的承包人的职员和劳工遣返回国的费用。</w:t>
      </w:r>
    </w:p>
    <w:p w14:paraId="75BFE76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19.7 </w:t>
      </w:r>
      <w:r>
        <w:rPr>
          <w:rFonts w:hint="eastAsia" w:ascii="宋体" w:hAnsi="宋体" w:eastAsia="宋体" w:cs="宋体"/>
          <w:sz w:val="24"/>
          <w:szCs w:val="24"/>
        </w:rPr>
        <w:tab/>
      </w:r>
      <w:r>
        <w:rPr>
          <w:rFonts w:hint="eastAsia" w:ascii="宋体" w:hAnsi="宋体" w:eastAsia="宋体" w:cs="宋体"/>
          <w:sz w:val="24"/>
          <w:szCs w:val="24"/>
        </w:rPr>
        <w:t>根据法律解除履约</w:t>
      </w:r>
    </w:p>
    <w:p w14:paraId="2F4BAA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本条另有规定，如果合同双方无法控制的任何事件或情况（包括，但不限于不可抗力）的发生使任一方（或合同双方）履行他（或他们）的合同义务已变为不可能或非法，或者根据本合同适用的法律，合同双方均被解除进一步的履约，那么在任一方向另一方发出此类事件或情况的通知的条件下：</w:t>
      </w:r>
    </w:p>
    <w:p w14:paraId="7FAC00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合同双方应被解除进一步的履约，但是不影响由于任何以前的违约任一方享有的权利，以及</w:t>
      </w:r>
    </w:p>
    <w:p w14:paraId="27565C0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如果合同是依据第19.6款的规定终止的，发包人支付给承包人的金额应与根据第19.6款【可选择的终止、支付和返回】终止合同时支付给承包人的金额相同。</w:t>
      </w:r>
    </w:p>
    <w:p w14:paraId="6C637C82">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14:paraId="42952ED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20.1 </w:t>
      </w:r>
      <w:r>
        <w:rPr>
          <w:rFonts w:hint="eastAsia" w:ascii="宋体" w:hAnsi="宋体" w:eastAsia="宋体" w:cs="宋体"/>
          <w:sz w:val="24"/>
          <w:szCs w:val="24"/>
        </w:rPr>
        <w:tab/>
      </w:r>
      <w:r>
        <w:rPr>
          <w:rFonts w:hint="eastAsia" w:ascii="宋体" w:hAnsi="宋体" w:eastAsia="宋体" w:cs="宋体"/>
          <w:sz w:val="24"/>
          <w:szCs w:val="24"/>
        </w:rPr>
        <w:t>承包人的索赔</w:t>
      </w:r>
    </w:p>
    <w:p w14:paraId="6996E4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合同条件的任何条款或参照合同的其他规定，认为他有权获得任何竣工时间的延长和（或）任何附加款项，他应通知工程师，说明引起索赔的事件或情况。该通知应尽快发出，并应不迟于承包人开始注意到或应该开始注意到这种事件或情况之后28天。</w:t>
      </w:r>
    </w:p>
    <w:p w14:paraId="3C43C3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如果承包人未能在28天内发出索赔通知，竣工时间将不被延长，承包人将无权得到附加款项，并且发包人将被解除有关索赔的一切责任。否则本款以下规定应适用。</w:t>
      </w:r>
    </w:p>
    <w:p w14:paraId="7676B3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承包人还应提交一切与此类事件或情况有关的任何其他通知（如果合同要求），以及索赔的详细证明报告。</w:t>
      </w:r>
    </w:p>
    <w:p w14:paraId="677A66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或工程师可接受的另一地点保持用以证明任何索赔可能需要的同期记录。工程师在收到根据本款发出的上述通知后，在不必事先承认发包人责任的情况下，监督此类记录的进行，并（或）可指示承包人保持进一步的同期记录。承包人应允许工程师审查所有此类记录，并应向工程师提供复印件（如果工程师指示的话）。</w:t>
      </w:r>
    </w:p>
    <w:p w14:paraId="6BB2F2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开始注意到，或应该开始注意到，引起索赔的事件或情况之日起42天内，或在承包人可能建议且由工程师批准的此类其他时间内，承包人应向工程师提交一份足够详细的索赔，包括一份完整的证明报告，详细说明索赔的依据以及索赔的工期和（或）索赔的金额。如果引起索赔的事件或情况具有连续影响：</w:t>
      </w:r>
    </w:p>
    <w:p w14:paraId="52B0699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该全面详细的索赔应被认为是临时的；</w:t>
      </w:r>
    </w:p>
    <w:p w14:paraId="2630B6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承包人应该按月提交进一步的临时索赔，说明累计索赔工期和（或）索赔款额，以及工程师可能合理要求的此类进一步的详细报告；以及</w:t>
      </w:r>
    </w:p>
    <w:p w14:paraId="7B55C5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在索赔事件所产生的影响结束后的28天内（或在承包人可能建议且由工程师批准的此类其他时间内），承包人应提交一份最终索赔报告。</w:t>
      </w:r>
    </w:p>
    <w:p w14:paraId="676EB3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索赔报告或该索赔的任何进一步的详细证明报告后42天内（或在工程师可能建议且由承包人批准的此类其他时间内），工程师应表示批准或不批准，不批准时要给予详细的评价。他可能会要求任何必要的进一步的详细报告，但他应在这段时间内就索赔的原则作出反应。</w:t>
      </w:r>
    </w:p>
    <w:p w14:paraId="420FF4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每一份支付证明应将根据相关合同条款应支付并已被合理证实的此类索赔金额纳入其中。如果承包人提供的详细报告不足以证明全部的索赔，则承包人仅有权得到已被证实的那部分索赔。</w:t>
      </w:r>
    </w:p>
    <w:p w14:paraId="25BB881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3.5款【决定】，表示同意或作出决定：（i）根据第8.4款【竣工时间的延长】的规定延长竣工时间（在其终止时间之前或之后）（如果有的话），以及（或者）（ii）根据合同承包人有权获得的附加款项（如果有的话）。</w:t>
      </w:r>
    </w:p>
    <w:p w14:paraId="244885D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本款的规定外，还有许多其他条款适用于索赔。如果承包人未能遵循本款或其他有关索赔的条款的规定，则在决定竣工时间的延长和（或）额外款项时，要考虑这种未遵循（如果有的话）已妨碍或影响索赔调查的程度，除非根据本款第二段该索赔已被排除。</w:t>
      </w:r>
    </w:p>
    <w:p w14:paraId="701659B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w:t>
      </w:r>
      <w:r>
        <w:rPr>
          <w:rFonts w:hint="eastAsia" w:ascii="宋体" w:hAnsi="宋体" w:eastAsia="宋体" w:cs="宋体"/>
          <w:sz w:val="24"/>
          <w:szCs w:val="24"/>
        </w:rPr>
        <w:tab/>
      </w:r>
      <w:r>
        <w:rPr>
          <w:rFonts w:hint="eastAsia" w:ascii="宋体" w:hAnsi="宋体" w:eastAsia="宋体" w:cs="宋体"/>
          <w:sz w:val="24"/>
          <w:szCs w:val="24"/>
        </w:rPr>
        <w:t>争端裁决委员会的委任</w:t>
      </w:r>
    </w:p>
    <w:p w14:paraId="3489FE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争端应由争端裁决委员会根据第20.4款【获得争端裁决委员会的决定】进行裁决。合同双方应在投标函附录规定的日期内，共同任命一争端裁决委员会。</w:t>
      </w:r>
    </w:p>
    <w:p w14:paraId="567290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争端裁决委员会应由具有恰当资格的成员组成，成员的数目可为一名或三名（“成员”），具体情况按投标函附录中的规定。如果投标函附录中没有注明成员的数目，且合同双方没有其他的协议，则争端裁决委员会应包含三名成员。</w:t>
      </w:r>
    </w:p>
    <w:p w14:paraId="165616F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如果争端裁决委员会由三名成员组成，则合同每一方应提名一位成员，由对方批准。合同双方应与这两名成员协商，并应商定第三位成员（作为主席）。</w:t>
      </w:r>
    </w:p>
    <w:p w14:paraId="061ED6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但是，如果合同中包含了意向性成员的名单，则成员应从该名单中选出，除非他不能或不愿接受争端裁决委员会的任命。</w:t>
      </w:r>
    </w:p>
    <w:p w14:paraId="014685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合同双方与唯一的成员（“裁决人”）或三个成员中的每一个人的协议书（包括各方之间达成的此类修正）应编入附在通用条件后的争端裁决协议书的通用条件中。</w:t>
      </w:r>
    </w:p>
    <w:p w14:paraId="06DC71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关于唯一成员或三个成员中的每一个人（包括争端裁决委员会向其征求建议的任何专家）的报酬的支付条件，应由合同双方在协商上述任命条件时共同商定。每一方应负责支付此类酬金的一半。</w:t>
      </w:r>
    </w:p>
    <w:p w14:paraId="0E7457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在合同双方同意的任何时候，他们可以共同将事宜提交给争端裁决委员会，使其给出意见。没有另一方的同意，任一方不得就任何事宜向争端裁决委员会征求建议。</w:t>
      </w:r>
    </w:p>
    <w:p w14:paraId="23C133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任命一合格人选（或多个合格人选）替代（或备有人选替代）争端裁决委员会的任何一个或多个成员。除非合同双方另有协议，只要某一成员拒绝履行其职责或由于死亡、伤残、辞职或其委任终止而不能尽其职责，该任命即告生效。</w:t>
      </w:r>
    </w:p>
    <w:p w14:paraId="52EA55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如果发生了上述情况，而没有可替换的人员，委任替换人员的方式与本款中规定的任命或商定被替换人员的方式相同。</w:t>
      </w:r>
    </w:p>
    <w:p w14:paraId="689C752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成员的委任只有在合同双方同意的情况下才能终止，发包人或承包人各自的行动将不能终止此类委任。除非双方另有协议，在第14.12款【结清单】提及的结清单单即将生效时，争端裁决委员会（包括每一个成员）的任期即告期满。</w:t>
      </w:r>
    </w:p>
    <w:p w14:paraId="19B0929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20.3 </w:t>
      </w:r>
      <w:r>
        <w:rPr>
          <w:rFonts w:hint="eastAsia" w:ascii="宋体" w:hAnsi="宋体" w:eastAsia="宋体" w:cs="宋体"/>
          <w:sz w:val="24"/>
          <w:szCs w:val="24"/>
        </w:rPr>
        <w:tab/>
      </w:r>
      <w:r>
        <w:rPr>
          <w:rFonts w:hint="eastAsia" w:ascii="宋体" w:hAnsi="宋体" w:eastAsia="宋体" w:cs="宋体"/>
          <w:sz w:val="24"/>
          <w:szCs w:val="24"/>
        </w:rPr>
        <w:t>未能同意争端裁决委员会的委任</w:t>
      </w:r>
    </w:p>
    <w:p w14:paraId="01775C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如果下列条件中任一条件适用，即：</w:t>
      </w:r>
    </w:p>
    <w:p w14:paraId="1B096C7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合同双方未能在第20.2款第一段说明的日期就争端裁决委员会的唯一成员的委任达成一致意见，</w:t>
      </w:r>
    </w:p>
    <w:p w14:paraId="782778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合同中任一方未能在此日期，为由三名成员组成的争端裁决委员会提名一名人员（可为另一方接受的），</w:t>
      </w:r>
    </w:p>
    <w:p w14:paraId="0404143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合同双方未能在此日期，就第三位成员（担任主席）的委任达成一致意见，或者</w:t>
      </w:r>
    </w:p>
    <w:p w14:paraId="4E3653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合同双方在唯一成员或三名成员中的一名成员拒绝履行其职责，或由于死亡、伤残、辞职或其委任终止而不能尽其职责之日后42天内，未能就替代人选的任命达成一致意见，</w:t>
      </w:r>
    </w:p>
    <w:p w14:paraId="7D317B0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专用条件中指定的机构或官方应根据合同一方或双方的要求，并在与合同双方适当协商后，提名该争端裁决委员会成员。该任命应是最终的和具有决定性的。每一方应负责支付该指定的机构或官方的酬金的一半。</w:t>
      </w:r>
    </w:p>
    <w:p w14:paraId="329F447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20.4 </w:t>
      </w:r>
      <w:r>
        <w:rPr>
          <w:rFonts w:hint="eastAsia" w:ascii="宋体" w:hAnsi="宋体" w:eastAsia="宋体" w:cs="宋体"/>
          <w:sz w:val="24"/>
          <w:szCs w:val="24"/>
        </w:rPr>
        <w:tab/>
      </w:r>
      <w:r>
        <w:rPr>
          <w:rFonts w:hint="eastAsia" w:ascii="宋体" w:hAnsi="宋体" w:eastAsia="宋体" w:cs="宋体"/>
          <w:sz w:val="24"/>
          <w:szCs w:val="24"/>
        </w:rPr>
        <w:t>获得争端裁决委员会的决定</w:t>
      </w:r>
    </w:p>
    <w:p w14:paraId="5A666E3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双方之间产生起因于合同或实施过程或与之相关的任何争端（任何种类），包括对工程师的任何证书的签发、决定、指示、意见或估价的任何争端，任一方可以将此类争端事宜以书面形式提交争端裁决委员会，供其裁定，并将副本送交另一方和工程师。应说明争端的提交是根据本款作出的。</w:t>
      </w:r>
    </w:p>
    <w:p w14:paraId="14DBA0F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对于由三名成员组成的争端裁决委员会，当争端裁决委员会的主席收到此类提交时即认为争端裁决委员会收到了此类提交。</w:t>
      </w:r>
    </w:p>
    <w:p w14:paraId="0FF52B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合同双方应立即向争端裁决委员会提供为对此类争端进行裁决的目的而可能要求的所有此类附加资料、进一步的现场通道和适当的设施。争端裁决委员不应被视为作为仲裁人。</w:t>
      </w:r>
    </w:p>
    <w:p w14:paraId="79D44A5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争端裁决委员会收到上述争端事宜的提交后84天内，或在争端裁决委员会建议并由双方批准的此类其他时间内，争端裁决委员会应作出决定，该决定应是合理的，并应声明该决定是根据本款作出的。该决定对双方都有约束力，合同双方应立即执行争端裁决委员会作出的每项决定，除非此类决定按下文规定在友好解决或仲裁裁决中得以修改。除非合同已被放弃、</w:t>
      </w:r>
      <w:r>
        <w:rPr>
          <w:rFonts w:hint="eastAsia" w:ascii="宋体" w:hAnsi="宋体" w:cs="宋体"/>
          <w:sz w:val="24"/>
          <w:szCs w:val="24"/>
          <w:lang w:eastAsia="zh-CN"/>
        </w:rPr>
        <w:t>撤销</w:t>
      </w:r>
      <w:r>
        <w:rPr>
          <w:rFonts w:hint="eastAsia" w:ascii="宋体" w:hAnsi="宋体" w:eastAsia="宋体" w:cs="宋体"/>
          <w:sz w:val="24"/>
          <w:szCs w:val="24"/>
        </w:rPr>
        <w:t>或终止，否则承包人应继续按照合同实施工程。</w:t>
      </w:r>
    </w:p>
    <w:p w14:paraId="4E023D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中任一方对争端裁决委员会的裁决不满意，则他可在收到该决定的通知后第28天内或此前将其不满通知对方。如果争端裁决委员会未能在其收到此类不满通知后84天（或其他批准的时间）内作出决定，那么合同双方中的任一方均可在上述期限期满后28天之内将其不满通知对方。</w:t>
      </w:r>
    </w:p>
    <w:p w14:paraId="2A685D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上述任一情况下，表示不满的通知应说明是根据本款发出的，且该通知应指明争端事宜及不满的理由。除非依据本款发出此类通知，否则将不能对争端进行仲裁，但第20.7款【未能遵守争端裁决委员会的决定】和第20.8款【争端裁决委员会的委任期满】所述的情况除外。任何一方若未按本款发出表示不满的通知，均无权就该争端要求开始仲裁。</w:t>
      </w:r>
    </w:p>
    <w:p w14:paraId="5B8FEF6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如果争端裁决委员会已将其对争端作出的决定通知了合同双方，而双方中的任一方在收到争端裁决委员会的决定的第28天或此前未将其不满事宜通知对方，则该决定应被视为最终决定并对合同双方均具有约束力。</w:t>
      </w:r>
    </w:p>
    <w:p w14:paraId="0C3D94D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20.5 </w:t>
      </w:r>
      <w:r>
        <w:rPr>
          <w:rFonts w:hint="eastAsia" w:ascii="宋体" w:hAnsi="宋体" w:eastAsia="宋体" w:cs="宋体"/>
          <w:sz w:val="24"/>
          <w:szCs w:val="24"/>
        </w:rPr>
        <w:tab/>
      </w:r>
      <w:r>
        <w:rPr>
          <w:rFonts w:hint="eastAsia" w:ascii="宋体" w:hAnsi="宋体" w:eastAsia="宋体" w:cs="宋体"/>
          <w:sz w:val="24"/>
          <w:szCs w:val="24"/>
        </w:rPr>
        <w:t>友好解决</w:t>
      </w:r>
    </w:p>
    <w:p w14:paraId="522E133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按上述第20.4款规定已发出表示不满的通知后，合同双方在仲裁开始前应尽力以友好的方式解决争端。规定，除非合同双方另有协议，否则，仲裁将在表示不满的通知发出后第56天或此后开始，即使双方未曾作过友好解决的努力。</w:t>
      </w:r>
    </w:p>
    <w:p w14:paraId="1897DF1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20.6 </w:t>
      </w:r>
      <w:r>
        <w:rPr>
          <w:rFonts w:hint="eastAsia" w:ascii="宋体" w:hAnsi="宋体" w:eastAsia="宋体" w:cs="宋体"/>
          <w:sz w:val="24"/>
          <w:szCs w:val="24"/>
        </w:rPr>
        <w:tab/>
      </w:r>
      <w:r>
        <w:rPr>
          <w:rFonts w:hint="eastAsia" w:ascii="宋体" w:hAnsi="宋体" w:eastAsia="宋体" w:cs="宋体"/>
          <w:sz w:val="24"/>
          <w:szCs w:val="24"/>
        </w:rPr>
        <w:t>仲裁</w:t>
      </w:r>
    </w:p>
    <w:p w14:paraId="547F0D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除非通过友好解决，否则如果争端裁决委员会有关争端的决定（如有时）未能成为最终决定并具有约束力，那么此类争端应由国际仲裁机构最终裁决。除非合同双方另有协议，否则：</w:t>
      </w:r>
    </w:p>
    <w:p w14:paraId="718852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该争端应根据国际商会的仲裁规则被最终解决，</w:t>
      </w:r>
    </w:p>
    <w:p w14:paraId="1E10B7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该争端应由按本规则指定的三位仲裁人裁决，以及</w:t>
      </w:r>
    </w:p>
    <w:p w14:paraId="5CFB39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该仲裁应以第1.4款【法律和语言】规定的日常交流语言作为仲裁语言。</w:t>
      </w:r>
    </w:p>
    <w:p w14:paraId="54D297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仲裁人应有全权公开、审查和修改工程师的任何证书的签发、决定、指示、意见或估价，以及任何争端裁决委员会有关争端事宜的决定。无论如何，工程师都不会失去被作为证人以及向仲裁人提供任何与争端有关的证据的资格。</w:t>
      </w:r>
    </w:p>
    <w:p w14:paraId="49924B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合同双方的任一方在上述仲裁人的仲裁过程中均不受以前为取得争端裁决委员会的决定而提供的证据或论据或其不满意通知中提出的不满理由的限制。在仲裁过程中，可将争端裁决委员会的决定作为一项证据。</w:t>
      </w:r>
    </w:p>
    <w:p w14:paraId="32FE31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工程竣工之前或之后均可开始仲裁。但在工程进行过程中，合同双方、工程师以及争端裁决委员会的各自义务不得因任何仲裁正在进行而改变。</w:t>
      </w:r>
    </w:p>
    <w:p w14:paraId="24BA53C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20.7 </w:t>
      </w:r>
      <w:r>
        <w:rPr>
          <w:rFonts w:hint="eastAsia" w:ascii="宋体" w:hAnsi="宋体" w:eastAsia="宋体" w:cs="宋体"/>
          <w:sz w:val="24"/>
          <w:szCs w:val="24"/>
        </w:rPr>
        <w:tab/>
      </w:r>
      <w:r>
        <w:rPr>
          <w:rFonts w:hint="eastAsia" w:ascii="宋体" w:hAnsi="宋体" w:eastAsia="宋体" w:cs="宋体"/>
          <w:sz w:val="24"/>
          <w:szCs w:val="24"/>
        </w:rPr>
        <w:t>未能遵守争端裁决委员会的决定</w:t>
      </w:r>
    </w:p>
    <w:p w14:paraId="3EB044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如果下述情况发生：</w:t>
      </w:r>
    </w:p>
    <w:p w14:paraId="06E57B2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合同双方中的任一方均未在第20.4款【获得争端裁决委员会的决定】规定的期限内向争端裁决委员会发出表示不满的通知，</w:t>
      </w:r>
    </w:p>
    <w:p w14:paraId="7DBEE7C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该争端裁决委员会的有关决定（如有时）已成为最终决定并且具有约束力，以及</w:t>
      </w:r>
    </w:p>
    <w:p w14:paraId="03B467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合同一方未遵守此类决定，</w:t>
      </w:r>
    </w:p>
    <w:p w14:paraId="383316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则合同的另一方在不损害其拥有的其他权利的情况下，可将不执行决定的行为提交第20.6款【仲裁】中规定的仲裁。并且此时，第20.4款【获得争端裁决委员会的决定】和第20.5款【友好解决】的各项规定均不适用。</w:t>
      </w:r>
    </w:p>
    <w:p w14:paraId="5076597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20.8 </w:t>
      </w:r>
      <w:r>
        <w:rPr>
          <w:rFonts w:hint="eastAsia" w:ascii="宋体" w:hAnsi="宋体" w:eastAsia="宋体" w:cs="宋体"/>
          <w:sz w:val="24"/>
          <w:szCs w:val="24"/>
        </w:rPr>
        <w:tab/>
      </w:r>
      <w:r>
        <w:rPr>
          <w:rFonts w:hint="eastAsia" w:ascii="宋体" w:hAnsi="宋体" w:eastAsia="宋体" w:cs="宋体"/>
          <w:sz w:val="24"/>
          <w:szCs w:val="24"/>
        </w:rPr>
        <w:t>争端裁决委员会的委任期满</w:t>
      </w:r>
    </w:p>
    <w:p w14:paraId="0248B1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如果合同双方之间产生了起因于或相关于合同或工程的实施过程的某一争端，而此时不存在一个争端裁决委员会（there is no DAB in place）（无论是因为争端裁决委员会的任命已到期还是因为其他原因）：</w:t>
      </w:r>
    </w:p>
    <w:p w14:paraId="3C89024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第20.4款【获得争端裁决委员会的决定】和第20.5款【友好解决】的各项规定均不适用，以及</w:t>
      </w:r>
    </w:p>
    <w:p w14:paraId="60A8CB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该争端应根据第20.6款【仲裁】，直接通过仲裁最终解决。</w:t>
      </w:r>
    </w:p>
    <w:p w14:paraId="4142F4BC">
      <w:pPr>
        <w:kinsoku/>
        <w:wordWrap/>
        <w:overflowPunct/>
        <w:topLinePunct w:val="0"/>
        <w:autoSpaceDE w:val="0"/>
        <w:autoSpaceDN w:val="0"/>
        <w:bidi w:val="0"/>
        <w:adjustRightInd w:val="0"/>
        <w:spacing w:line="540" w:lineRule="exact"/>
        <w:rPr>
          <w:rFonts w:hint="eastAsia" w:ascii="宋体" w:hAnsi="宋体" w:eastAsia="宋体" w:cs="宋体"/>
          <w:sz w:val="24"/>
          <w:szCs w:val="24"/>
        </w:rPr>
      </w:pPr>
    </w:p>
    <w:p w14:paraId="4EC2B380">
      <w:pPr>
        <w:pStyle w:val="5"/>
        <w:pageBreakBefore/>
        <w:widowControl/>
        <w:kinsoku/>
        <w:wordWrap/>
        <w:overflowPunct/>
        <w:topLinePunct w:val="0"/>
        <w:bidi w:val="0"/>
        <w:spacing w:before="0" w:after="0" w:line="540" w:lineRule="exact"/>
        <w:ind w:firstLine="482" w:firstLineChars="200"/>
        <w:jc w:val="center"/>
        <w:rPr>
          <w:rFonts w:hint="eastAsia" w:ascii="宋体" w:hAnsi="宋体" w:eastAsia="宋体" w:cs="宋体"/>
          <w:sz w:val="24"/>
          <w:szCs w:val="24"/>
        </w:rPr>
      </w:pPr>
      <w:bookmarkStart w:id="4" w:name="_Toc20644922"/>
      <w:bookmarkStart w:id="5" w:name="_Toc244412952"/>
      <w:bookmarkStart w:id="6" w:name="_Toc296719073"/>
      <w:r>
        <w:rPr>
          <w:rFonts w:hint="eastAsia" w:ascii="宋体" w:hAnsi="宋体" w:eastAsia="宋体" w:cs="宋体"/>
          <w:sz w:val="24"/>
          <w:szCs w:val="24"/>
        </w:rPr>
        <w:t>第三节 专用合同条款</w:t>
      </w:r>
      <w:bookmarkEnd w:id="4"/>
      <w:bookmarkEnd w:id="5"/>
      <w:bookmarkEnd w:id="6"/>
    </w:p>
    <w:p w14:paraId="00F711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
    <w:p w14:paraId="582CBE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以下专用合同条款将作为通用条款的补充，当两者出现矛盾时，专用合同条款的优先级高于通用条款。与通用条款对应的附加条款用括号标示。</w:t>
      </w:r>
    </w:p>
    <w:p w14:paraId="620EBA51">
      <w:pPr>
        <w:pStyle w:val="18"/>
        <w:kinsoku/>
        <w:wordWrap/>
        <w:overflowPunct/>
        <w:topLinePunct w:val="0"/>
        <w:bidi w:val="0"/>
        <w:spacing w:after="0" w:line="540" w:lineRule="exact"/>
        <w:ind w:left="0" w:leftChars="0" w:firstLine="480" w:firstLineChars="200"/>
        <w:outlineLvl w:val="2"/>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一般规定</w:t>
      </w:r>
    </w:p>
    <w:p w14:paraId="148B88C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1.1定义</w:t>
      </w:r>
    </w:p>
    <w:p w14:paraId="056BA2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14:paraId="4C6B5CD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增加以下内容到第1.1.1款：</w:t>
      </w:r>
    </w:p>
    <w:p w14:paraId="64A93F0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1.1.1.11 “单价合同”是指合同当事人约定以工程量清单及其综合单价进行合同价格计算、调整和确认的建设工程施工合同，在约定的范围内合同单价不作调整。</w:t>
      </w:r>
    </w:p>
    <w:p w14:paraId="1AC1F1F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1.1.1.12 “总价合同”总价合同是指合同当事人约定以施工图、已标价工程量清单或预算书及有关条件进行合同价格计算、调整和确认的建设工程施工合同，在约定的范围内合同总价不作调整。</w:t>
      </w:r>
    </w:p>
    <w:p w14:paraId="16D522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14:paraId="7329B6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增加以下内容到第1.1.2款：</w:t>
      </w:r>
    </w:p>
    <w:p w14:paraId="08ED955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1.1.2.11  “总监理工程师”是指由工程师的法定代表人书面授权，全面负责履行本合同、主持项目监理机构工作的注册监理工程师。</w:t>
      </w:r>
    </w:p>
    <w:p w14:paraId="121EE2B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1.1.2.12 “设计单位”指由发包人聘请的具有相应资质与能力的负责对本工程实施设计的当事人。</w:t>
      </w:r>
    </w:p>
    <w:p w14:paraId="667154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1.1.2.13“项目建设单位”由发包人委托执行本项目的单位。</w:t>
      </w:r>
    </w:p>
    <w:p w14:paraId="7B0C0CB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1.1.2.14“业主项目部”：由项目建设单位组建，代表建设单位开展项目过程管理各项具体工作。</w:t>
      </w:r>
    </w:p>
    <w:p w14:paraId="79B91D3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1.1.2.15“业主项目分部”：由项目建设单位组建，业主项目部统一管理，代表项目部负责开展项目</w:t>
      </w:r>
      <w:r>
        <w:rPr>
          <w:rFonts w:hint="eastAsia" w:ascii="宋体" w:hAnsi="宋体" w:cs="宋体"/>
          <w:sz w:val="24"/>
          <w:szCs w:val="24"/>
          <w:lang w:eastAsia="zh-CN"/>
        </w:rPr>
        <w:t>现场</w:t>
      </w:r>
      <w:r>
        <w:rPr>
          <w:rFonts w:hint="eastAsia" w:ascii="宋体" w:hAnsi="宋体" w:eastAsia="宋体" w:cs="宋体"/>
          <w:sz w:val="24"/>
          <w:szCs w:val="24"/>
        </w:rPr>
        <w:t>过程管理的各项具体工作。</w:t>
      </w:r>
    </w:p>
    <w:p w14:paraId="072683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1.1.2.16本合同“工程师”特指本项目的工程监理。</w:t>
      </w:r>
    </w:p>
    <w:p w14:paraId="2656BF8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替换第1.1.6.5款的内容：</w:t>
      </w:r>
    </w:p>
    <w:p w14:paraId="74D12C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 “法律”是指中华人民共和国法律、行政法规、部门规章，以及工程所在地的地方性法规、自治条例、单行条例和地方政府规章等。</w:t>
      </w:r>
    </w:p>
    <w:p w14:paraId="0EA6B0B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 通讯联络</w:t>
      </w:r>
    </w:p>
    <w:p w14:paraId="20B9133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增加以下内容到第1.3款：</w:t>
      </w:r>
    </w:p>
    <w:p w14:paraId="610F648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为提高效率，合同各方可在通用合同条款规定的通知方式以外约定一种或几种电子传输方式，如电子信箱。</w:t>
      </w:r>
    </w:p>
    <w:p w14:paraId="661584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合同各方应本着便于和高效履行合同的原则，约定各自的通讯地址。</w:t>
      </w:r>
    </w:p>
    <w:p w14:paraId="2F99EF3C">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在经对方同意的情况下，一方可通过电子信箱向对方发送相关文件或其他信息。其中，发包人的电子信箱为：【</w:t>
      </w:r>
      <w:sdt>
        <w:sdtPr>
          <w:rPr>
            <w:rFonts w:hint="eastAsia" w:ascii="宋体" w:hAnsi="宋体" w:eastAsia="宋体" w:cs="宋体"/>
            <w:kern w:val="2"/>
            <w:sz w:val="24"/>
            <w:szCs w:val="24"/>
            <w:lang w:val="en-US" w:eastAsia="zh-CN" w:bidi="ar-SA"/>
          </w:rPr>
          <w:alias w:val="甲方联系人电子邮箱"/>
          <w:tag w:val="甲方联系人电子邮箱"/>
          <w:id w:val="147465619"/>
          <w:placeholder>
            <w:docPart w:val="{d29a4f49-ebab-417c-8546-fa8cd7502349}"/>
          </w:placeholder>
          <w:text/>
        </w:sdtPr>
        <w:sdtEndPr>
          <w:rPr>
            <w:rFonts w:hint="eastAsia" w:ascii="宋体" w:hAnsi="宋体" w:eastAsia="宋体" w:cs="宋体"/>
            <w:kern w:val="2"/>
            <w:sz w:val="24"/>
            <w:szCs w:val="24"/>
            <w:lang w:val="en-US" w:eastAsia="zh-CN" w:bidi="ar-SA"/>
          </w:rPr>
        </w:sdtEndPr>
        <w:sdtContent>
          <w:permStart w:id="62" w:edGrp="everyone"/>
          <w:r>
            <w:rPr>
              <w:rFonts w:hint="eastAsia" w:ascii="宋体" w:hAnsi="宋体" w:eastAsia="宋体" w:cs="宋体"/>
              <w:kern w:val="2"/>
              <w:sz w:val="24"/>
              <w:szCs w:val="24"/>
              <w:lang w:val="en-US" w:eastAsia="zh-CN" w:bidi="ar-SA"/>
            </w:rPr>
            <w:t xml:space="preserve">       </w:t>
          </w:r>
          <w:permEnd w:id="62"/>
        </w:sdtContent>
      </w:sdt>
      <w:r>
        <w:rPr>
          <w:rFonts w:hint="eastAsia" w:ascii="宋体" w:hAnsi="宋体" w:eastAsia="宋体" w:cs="宋体"/>
          <w:sz w:val="24"/>
          <w:szCs w:val="24"/>
        </w:rPr>
        <w:t>】；承包人的电子信箱为：【</w:t>
      </w:r>
      <w:sdt>
        <w:sdtPr>
          <w:rPr>
            <w:rFonts w:hint="eastAsia" w:ascii="宋体" w:hAnsi="宋体" w:eastAsia="宋体" w:cs="宋体"/>
            <w:kern w:val="2"/>
            <w:sz w:val="24"/>
            <w:szCs w:val="24"/>
            <w:lang w:val="en-US" w:eastAsia="zh-CN" w:bidi="ar-SA"/>
          </w:rPr>
          <w:alias w:val="乙方联系人电子邮箱"/>
          <w:tag w:val="乙方联系人电子邮箱"/>
          <w:id w:val="649007314"/>
          <w:placeholder>
            <w:docPart w:val="{ddb38fdc-3ae1-4b6d-8114-ccbf2b1778b2}"/>
          </w:placeholder>
          <w:text/>
        </w:sdtPr>
        <w:sdtEndPr>
          <w:rPr>
            <w:rFonts w:hint="eastAsia" w:ascii="宋体" w:hAnsi="宋体" w:eastAsia="宋体" w:cs="宋体"/>
            <w:kern w:val="2"/>
            <w:sz w:val="24"/>
            <w:szCs w:val="24"/>
            <w:lang w:val="en-US" w:eastAsia="zh-CN" w:bidi="ar-SA"/>
          </w:rPr>
        </w:sdtEndPr>
        <w:sdtContent>
          <w:permStart w:id="63" w:edGrp="everyone"/>
          <w:r>
            <w:rPr>
              <w:rFonts w:hint="eastAsia" w:ascii="宋体" w:hAnsi="宋体" w:eastAsia="宋体" w:cs="宋体"/>
              <w:kern w:val="2"/>
              <w:sz w:val="24"/>
              <w:szCs w:val="24"/>
              <w:lang w:val="en-US" w:eastAsia="zh-CN" w:bidi="ar-SA"/>
            </w:rPr>
            <w:t xml:space="preserve">      </w:t>
          </w:r>
          <w:permEnd w:id="63"/>
        </w:sdtContent>
      </w:sdt>
      <w:r>
        <w:rPr>
          <w:rFonts w:hint="eastAsia" w:ascii="宋体" w:hAnsi="宋体" w:eastAsia="宋体" w:cs="宋体"/>
          <w:sz w:val="24"/>
          <w:szCs w:val="24"/>
        </w:rPr>
        <w:t>】。</w:t>
      </w:r>
    </w:p>
    <w:p w14:paraId="2C7B5C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合同各方在本合同下的通讯地址分别为：</w:t>
      </w:r>
    </w:p>
    <w:p w14:paraId="4BC4430F">
      <w:pPr>
        <w:kinsoku/>
        <w:wordWrap/>
        <w:overflowPunct/>
        <w:topLinePunct w:val="0"/>
        <w:bidi w:val="0"/>
        <w:spacing w:line="540" w:lineRule="exact"/>
        <w:rPr>
          <w:rFonts w:hint="eastAsia" w:ascii="宋体" w:hAnsi="宋体" w:eastAsia="宋体" w:cs="宋体"/>
          <w:sz w:val="24"/>
          <w:szCs w:val="24"/>
        </w:rPr>
      </w:pPr>
      <w:permStart w:id="64" w:edGrp="everyone"/>
      <w:r>
        <w:rPr>
          <w:rFonts w:hint="eastAsia" w:ascii="宋体" w:hAnsi="宋体" w:eastAsia="宋体" w:cs="宋体"/>
          <w:sz w:val="24"/>
          <w:szCs w:val="24"/>
        </w:rPr>
        <w:t>发包人：</w:t>
      </w:r>
      <w:sdt>
        <w:sdtPr>
          <w:rPr>
            <w:rFonts w:hint="eastAsia" w:ascii="宋体" w:hAnsi="宋体" w:eastAsia="宋体" w:cs="宋体"/>
            <w:kern w:val="2"/>
            <w:sz w:val="24"/>
            <w:szCs w:val="24"/>
            <w:lang w:val="en-US" w:eastAsia="zh-CN" w:bidi="ar-SA"/>
          </w:rPr>
          <w:alias w:val="甲方当事人全称"/>
          <w:tag w:val="甲方当事人全称"/>
          <w:id w:val="147467539"/>
          <w:placeholder>
            <w:docPart w:val="{a98e34f5-3396-40ea-8da0-080982dd8b26}"/>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承包人：</w:t>
      </w:r>
      <w:sdt>
        <w:sdtPr>
          <w:rPr>
            <w:rFonts w:hint="eastAsia" w:ascii="宋体" w:hAnsi="宋体" w:eastAsia="宋体" w:cs="宋体"/>
            <w:kern w:val="2"/>
            <w:sz w:val="24"/>
            <w:szCs w:val="24"/>
            <w:lang w:val="en-US" w:eastAsia="zh-CN" w:bidi="ar-SA"/>
          </w:rPr>
          <w:alias w:val="乙方当事人全称"/>
          <w:tag w:val="乙方当事人全称"/>
          <w:id w:val="589461863"/>
          <w:placeholder>
            <w:docPart w:val="{2e27e38d-a9a7-454f-91f7-00dbf9991142}"/>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14:paraId="69E74807">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甲方办公通讯地址"/>
          <w:tag w:val="甲方办公通讯地址"/>
          <w:id w:val="147467376"/>
          <w:placeholder>
            <w:docPart w:val="{32d11245-faf2-4039-be21-2ab39401b3a3}"/>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地址：</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办公通讯地址"/>
          <w:tag w:val="乙方办公通讯地址"/>
          <w:id w:val="536446408"/>
          <w:placeholder>
            <w:docPart w:val="{66305872-23f0-41d3-956b-c1146a41573e}"/>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14:paraId="1024441F">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邮政编码：                        邮政编码：</w:t>
      </w:r>
    </w:p>
    <w:p w14:paraId="1F227BA1">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电话： </w:t>
      </w:r>
      <w:sdt>
        <w:sdtPr>
          <w:rPr>
            <w:rFonts w:hint="eastAsia" w:ascii="宋体" w:hAnsi="宋体" w:eastAsia="宋体" w:cs="宋体"/>
            <w:kern w:val="2"/>
            <w:sz w:val="24"/>
            <w:szCs w:val="24"/>
            <w:lang w:val="en-US" w:eastAsia="zh-CN" w:bidi="ar-SA"/>
          </w:rPr>
          <w:alias w:val="甲方联系人手机"/>
          <w:tag w:val="甲方联系人手机"/>
          <w:id w:val="147465652"/>
          <w:placeholder>
            <w:docPart w:val="{4dbc001f-1dc4-4cfb-8275-76554defad98}"/>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电话：</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联系人手机"/>
          <w:tag w:val="乙方联系人手机"/>
          <w:id w:val="711407728"/>
          <w:placeholder>
            <w:docPart w:val="{886a6ca1-311b-4b40-8dd4-50feba905341}"/>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14:paraId="47D93CA8">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传真：                            传真：</w:t>
      </w:r>
    </w:p>
    <w:p w14:paraId="1DB95782">
      <w:pPr>
        <w:kinsoku/>
        <w:wordWrap/>
        <w:overflowPunct/>
        <w:topLinePunct w:val="0"/>
        <w:bidi w:val="0"/>
        <w:spacing w:line="540" w:lineRule="exact"/>
        <w:rPr>
          <w:rFonts w:hint="eastAsia" w:ascii="宋体" w:hAnsi="宋体" w:eastAsia="宋体" w:cs="宋体"/>
          <w:sz w:val="24"/>
          <w:szCs w:val="24"/>
          <w:lang w:val="en-US" w:eastAsia="zh-CN"/>
        </w:rPr>
      </w:pPr>
      <w:r>
        <w:rPr>
          <w:rFonts w:hint="eastAsia" w:ascii="宋体" w:hAnsi="宋体" w:eastAsia="宋体" w:cs="宋体"/>
          <w:sz w:val="24"/>
          <w:szCs w:val="24"/>
        </w:rPr>
        <w:t>收件人：                          收件人：</w:t>
      </w:r>
      <w:r>
        <w:rPr>
          <w:rFonts w:hint="eastAsia" w:ascii="宋体" w:hAnsi="宋体" w:eastAsia="宋体" w:cs="宋体"/>
          <w:sz w:val="24"/>
          <w:szCs w:val="24"/>
          <w:lang w:val="en-US" w:eastAsia="zh-CN"/>
        </w:rPr>
        <w:t xml:space="preserve">        </w:t>
      </w:r>
    </w:p>
    <w:permEnd w:id="64"/>
    <w:p w14:paraId="64D01E2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法律和语言</w:t>
      </w:r>
    </w:p>
    <w:p w14:paraId="24F276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替换第1.4款的内容：</w:t>
      </w:r>
    </w:p>
    <w:p w14:paraId="0807DEE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合同应受中华人民共和国（“适用法律”）的法律管理和解释。</w:t>
      </w:r>
    </w:p>
    <w:p w14:paraId="28FD4A5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合同为中文版本。所有构成合同的文件必须由双方授权人员签发。</w:t>
      </w:r>
    </w:p>
    <w:p w14:paraId="1F73F2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通讯交流的正式语言为中文，包括争端解决的通信也应使用中文。</w:t>
      </w:r>
    </w:p>
    <w:p w14:paraId="63D7237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1.15</w:t>
      </w:r>
      <w:r>
        <w:rPr>
          <w:rFonts w:hint="eastAsia" w:ascii="宋体" w:hAnsi="宋体" w:eastAsia="宋体" w:cs="宋体"/>
          <w:sz w:val="24"/>
          <w:szCs w:val="24"/>
        </w:rPr>
        <w:tab/>
      </w:r>
      <w:r>
        <w:rPr>
          <w:rFonts w:hint="eastAsia" w:ascii="宋体" w:hAnsi="宋体" w:eastAsia="宋体" w:cs="宋体"/>
          <w:sz w:val="24"/>
          <w:szCs w:val="24"/>
        </w:rPr>
        <w:t>严禁贿赂</w:t>
      </w:r>
    </w:p>
    <w:p w14:paraId="1551792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或其任何分包商，代理人或雇员向任何人提出给予或同意给予或给予任何人以任何贿赂，礼品、赏金或佣金，作为引诱或报酬，使该员采取或不采取与该合同或与项目发包人订立的任何其它合同有关的行动，则项目发包人可以终止</w:t>
      </w:r>
      <w:r>
        <w:rPr>
          <w:rFonts w:hint="eastAsia" w:ascii="宋体" w:hAnsi="宋体" w:cs="宋体"/>
          <w:sz w:val="24"/>
          <w:szCs w:val="24"/>
          <w:lang w:val="en-US" w:eastAsia="zh-CN"/>
        </w:rPr>
        <w:t>本合同</w:t>
      </w:r>
      <w:r>
        <w:rPr>
          <w:rFonts w:hint="eastAsia" w:ascii="宋体" w:hAnsi="宋体" w:eastAsia="宋体" w:cs="宋体"/>
          <w:sz w:val="24"/>
          <w:szCs w:val="24"/>
        </w:rPr>
        <w:t>。</w:t>
      </w:r>
    </w:p>
    <w:p w14:paraId="2E04B8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发包人与承包人按照合同附件格式要求，签署本工程廉洁协议书。</w:t>
      </w:r>
    </w:p>
    <w:p w14:paraId="02A159AA">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14:paraId="031FEFF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14:paraId="13D3872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增加以下内容到第2.1款：</w:t>
      </w:r>
    </w:p>
    <w:p w14:paraId="42B750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发包人应在开工日前【</w:t>
      </w:r>
      <w:permStart w:id="65" w:edGrp="everyone"/>
      <w:r>
        <w:rPr>
          <w:rFonts w:hint="eastAsia" w:ascii="宋体" w:hAnsi="宋体" w:eastAsia="宋体" w:cs="宋体"/>
          <w:sz w:val="24"/>
          <w:szCs w:val="24"/>
        </w:rPr>
        <w:t xml:space="preserve">  </w:t>
      </w:r>
      <w:permEnd w:id="65"/>
      <w:r>
        <w:rPr>
          <w:rFonts w:hint="eastAsia" w:ascii="宋体" w:hAnsi="宋体" w:eastAsia="宋体" w:cs="宋体"/>
          <w:sz w:val="24"/>
          <w:szCs w:val="24"/>
        </w:rPr>
        <w:t>】天（日历天）向承包人提供进入和占用工程场地各部分的权利。</w:t>
      </w:r>
    </w:p>
    <w:p w14:paraId="312E6D5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14:paraId="01A714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增加以下内容到第2.2款：</w:t>
      </w:r>
    </w:p>
    <w:p w14:paraId="38F5110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发包人应按照《建设施工现场管理规定》完成以下工作：</w:t>
      </w:r>
    </w:p>
    <w:p w14:paraId="4825903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（a）设计工作：由</w:t>
      </w:r>
      <w:permStart w:id="66" w:edGrp="everyone"/>
      <w:r>
        <w:rPr>
          <w:rFonts w:hint="eastAsia" w:ascii="宋体" w:hAnsi="宋体" w:eastAsia="宋体" w:cs="宋体"/>
          <w:sz w:val="24"/>
          <w:szCs w:val="24"/>
          <w:u w:val="single"/>
        </w:rPr>
        <w:t>（设计单位）</w:t>
      </w:r>
      <w:permEnd w:id="66"/>
      <w:r>
        <w:rPr>
          <w:rFonts w:hint="eastAsia" w:ascii="宋体" w:hAnsi="宋体" w:eastAsia="宋体" w:cs="宋体"/>
          <w:sz w:val="24"/>
          <w:szCs w:val="24"/>
        </w:rPr>
        <w:t>完成</w:t>
      </w:r>
    </w:p>
    <w:p w14:paraId="59A9EAA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（b）工程地质资料的提供时间：</w:t>
      </w:r>
      <w:permStart w:id="67" w:edGrp="everyone"/>
      <w:r>
        <w:rPr>
          <w:rFonts w:hint="eastAsia" w:ascii="宋体" w:hAnsi="宋体" w:eastAsia="宋体" w:cs="宋体"/>
          <w:sz w:val="24"/>
          <w:szCs w:val="24"/>
        </w:rPr>
        <w:t>开工前</w:t>
      </w:r>
      <w:permEnd w:id="67"/>
      <w:r>
        <w:rPr>
          <w:rFonts w:hint="eastAsia" w:ascii="宋体" w:hAnsi="宋体" w:eastAsia="宋体" w:cs="宋体"/>
          <w:sz w:val="24"/>
          <w:szCs w:val="24"/>
        </w:rPr>
        <w:t>。</w:t>
      </w:r>
    </w:p>
    <w:p w14:paraId="474882C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（c）办理证件、批件的名称和完成时间：</w:t>
      </w:r>
      <w:permStart w:id="68" w:edGrp="everyone"/>
      <w:r>
        <w:rPr>
          <w:rFonts w:hint="eastAsia" w:ascii="宋体" w:hAnsi="宋体" w:eastAsia="宋体" w:cs="宋体"/>
          <w:sz w:val="24"/>
          <w:szCs w:val="24"/>
          <w:u w:val="single"/>
        </w:rPr>
        <w:t xml:space="preserve">    </w:t>
      </w:r>
      <w:permEnd w:id="68"/>
      <w:r>
        <w:rPr>
          <w:rFonts w:hint="eastAsia" w:ascii="宋体" w:hAnsi="宋体" w:eastAsia="宋体" w:cs="宋体"/>
          <w:sz w:val="24"/>
          <w:szCs w:val="24"/>
        </w:rPr>
        <w:t>。按计划应在开工前完成，包括项目开工文件（国家文件和地方文件）、工程建设允许用地文件等，由承包人负责相关工作的除外。</w:t>
      </w:r>
    </w:p>
    <w:p w14:paraId="413DCB4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（d）水准点与坐标控制点位置提供及交验要求：开工前书面提供。</w:t>
      </w:r>
    </w:p>
    <w:p w14:paraId="4503D0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（e）设计交底的时间： </w:t>
      </w:r>
    </w:p>
    <w:p w14:paraId="2659EA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线路工程（含通信）：具体时间安排在相应项目施工之前半个月前完成。</w:t>
      </w:r>
    </w:p>
    <w:p w14:paraId="6EC4C2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含通信）：具体时间安排在相应项目施工之前半个月前完成。施工图会审可以分阶段进行，最少会审二次，即电气一次和电气二次各会审一次。如有条件可多安排几次，具体时间安排在相应项目施工之前一个月前完成。</w:t>
      </w:r>
    </w:p>
    <w:p w14:paraId="4366D86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（f）建设场地准备：为配合施工和运行安全所需要进行的建筑物拆迁、电力线、通信线及其他障碍物拆迁、通讯干扰问题的处理工作，由承包人负责相关工作的除外。</w:t>
      </w:r>
    </w:p>
    <w:p w14:paraId="1578FC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（g）发包人组织启动方案的编写。</w:t>
      </w:r>
    </w:p>
    <w:p w14:paraId="2FDE3C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（h）提供施工场地，以下子项（h 1）适用于变电工程，（h 2）适用于线路工程：</w:t>
      </w:r>
    </w:p>
    <w:p w14:paraId="08F607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（h1）根据设计单位的施工组织设计，工程施工时的临建、库房等设施不存在站外的临时用地，均在围墙内实施。若在站外租房，由承包人自行解决。</w:t>
      </w:r>
    </w:p>
    <w:p w14:paraId="5672196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（h2）线路工程：承包人的临时施工用地，由承包人自行解决。</w:t>
      </w:r>
    </w:p>
    <w:p w14:paraId="7103840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2.6 </w:t>
      </w:r>
      <w:r>
        <w:rPr>
          <w:rFonts w:hint="eastAsia" w:ascii="宋体" w:hAnsi="宋体" w:eastAsia="宋体" w:cs="宋体"/>
          <w:sz w:val="24"/>
          <w:szCs w:val="24"/>
        </w:rPr>
        <w:tab/>
      </w:r>
      <w:r>
        <w:rPr>
          <w:rFonts w:hint="eastAsia" w:ascii="宋体" w:hAnsi="宋体" w:eastAsia="宋体" w:cs="宋体"/>
          <w:sz w:val="24"/>
          <w:szCs w:val="24"/>
        </w:rPr>
        <w:t>发包人的权利</w:t>
      </w:r>
    </w:p>
    <w:p w14:paraId="17029D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新增以下内容到第2.6款：</w:t>
      </w:r>
    </w:p>
    <w:p w14:paraId="137637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 追究违约责任的权利</w:t>
      </w:r>
    </w:p>
    <w:p w14:paraId="70F067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承包人有下列违约行为，发包人应有权追究违约责任的措施，具体包括：</w:t>
      </w:r>
    </w:p>
    <w:p w14:paraId="2A90ABF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2.6.1.1 如果承包人有下列行为，发包人应有权向承包人发出书面警告</w:t>
      </w:r>
      <w:r>
        <w:rPr>
          <w:rFonts w:hint="eastAsia" w:ascii="宋体" w:hAnsi="宋体" w:cs="宋体"/>
          <w:sz w:val="24"/>
          <w:szCs w:val="24"/>
          <w:lang w:eastAsia="zh-CN"/>
        </w:rPr>
        <w:t>，</w:t>
      </w:r>
      <w:r>
        <w:rPr>
          <w:rFonts w:hint="eastAsia" w:ascii="宋体" w:hAnsi="宋体" w:cs="宋体"/>
          <w:sz w:val="24"/>
          <w:szCs w:val="24"/>
          <w:lang w:val="en-US" w:eastAsia="zh-CN"/>
        </w:rPr>
        <w:t>根据《中国南方电网有限责任公司安全生产督查业务指导书》对违章个人进行现场作业违章扣分或对承包商进行失信扣分：</w:t>
      </w:r>
    </w:p>
    <w:p w14:paraId="0E0C8B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采购管理</w:t>
      </w:r>
    </w:p>
    <w:p w14:paraId="2E2646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（1）若承包人连续两年呈红灯状态(N≥12分) </w:t>
      </w:r>
    </w:p>
    <w:p w14:paraId="7DC90A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（2）若承包人一年呈红灯状态(N≥12分)，</w:t>
      </w:r>
    </w:p>
    <w:p w14:paraId="3DB47D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（3）若承包人连续两年呈黄灯状态（6分≤N＜12分）</w:t>
      </w:r>
    </w:p>
    <w:p w14:paraId="323536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（4）若承包人一年呈黄灯状态（6分≤N＜12分）</w:t>
      </w:r>
    </w:p>
    <w:p w14:paraId="78F5C0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安全管理</w:t>
      </w:r>
    </w:p>
    <w:p w14:paraId="62D894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（1）违反国家、行业及公司相关安全管理规定</w:t>
      </w:r>
      <w:r>
        <w:rPr>
          <w:rFonts w:hint="eastAsia" w:ascii="宋体" w:hAnsi="宋体" w:cs="宋体"/>
          <w:sz w:val="24"/>
          <w:szCs w:val="24"/>
          <w:lang w:eastAsia="zh-CN"/>
        </w:rPr>
        <w:t>；</w:t>
      </w:r>
    </w:p>
    <w:p w14:paraId="56A8060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（2）发生被政府部门检查发现安全问题并通报的，或导致发包方被政府部门点名通报、约谈或其他处罚的工程建设过程中发生一、二级电力安全事件；</w:t>
      </w:r>
    </w:p>
    <w:p w14:paraId="2D0686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）承包人在基建安全管理中未贯彻安全生产方针，未制定安全生产责任制，未将安全责任制落实到项目经理、安全员、现场负责人等具体岗位；</w:t>
      </w:r>
    </w:p>
    <w:p w14:paraId="5F8678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）承包人有违反安规的事实；</w:t>
      </w:r>
    </w:p>
    <w:p w14:paraId="5A0D36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）承包人有违章指挥、违章作业的事实；</w:t>
      </w:r>
    </w:p>
    <w:p w14:paraId="082542A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）承包人未在每个项目进程和作业活动中落实基建安全“四步法”，出现以下情况：</w:t>
      </w:r>
    </w:p>
    <w:p w14:paraId="63E5AF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①承包人现场作业未正确选用作业指导书指导现场施工；</w:t>
      </w:r>
    </w:p>
    <w:p w14:paraId="2B13527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②施工现场作业过程出现重大危险源，未及时进行动态更新并在现场严格落实相关风险管控措施；</w:t>
      </w:r>
    </w:p>
    <w:p w14:paraId="3CC3A19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③施工现场未按安全施工作业票作业或作业票填写的相关内容与现场严重不符，在发包人、监理人及其他相关单位检查中累计发现问题超过五次；</w:t>
      </w:r>
    </w:p>
    <w:p w14:paraId="2603652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④施工现场未开站班会或站班会安全技术交底等“三交”、“三查”工作与现场实际不符、流于形式，安全控制措施未真正落实，在发包人、监理人及其他相关单位检查中累计发现问题超过五次。</w:t>
      </w:r>
    </w:p>
    <w:p w14:paraId="31787A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）承包人未按照相关规定设置安全管理机构，不服从监理人和发包人管理，缺席安全会议三次；</w:t>
      </w:r>
    </w:p>
    <w:p w14:paraId="59F084E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）承包人对高和特高等级风险的施工作业未制定专项风险控制措施或专项风险控制措施未经审批流程擅自用于现场指导施工；</w:t>
      </w:r>
    </w:p>
    <w:p w14:paraId="779C84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）承包人未建立有效的应急机构，制订应急预案并定期演练。</w:t>
      </w:r>
    </w:p>
    <w:p w14:paraId="29989D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14:paraId="754CA83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（1）承包人违反国家工程建设强制性条文标准、技术规程规范，造成严重后果；</w:t>
      </w:r>
    </w:p>
    <w:p w14:paraId="6FE7C0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（2）承包人开工、复工前不具备施工条件或未经审核批准擅自施工，开工后未对项目实施的实际情况编制完整的安全、质量技术文件，施工现场未按已审批的技术文件及方案指导施工；</w:t>
      </w:r>
    </w:p>
    <w:p w14:paraId="4D5AA33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项目经理、技术负责人、安全员、质检员等管理人员与投标组织架构不一致或不一致且未履行变更手续；承包人未制定管理人员到位管理制度，管理人员长期未到岗、到位，缺岗、缺位时间累计超过三十个合同日；</w:t>
      </w:r>
    </w:p>
    <w:p w14:paraId="5DD37C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（4）承包人未执行《中国南方电网有限责任公司工程项目承包商管理人员和特种作业人员持证上岗管理工作指引》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，管理人员、特种人员未取得有关证书或未通过中国南方电网公司安规考试和施工类相应考试。在发包人、监理人及其他相关单位检查中累计发现问题超过三次；</w:t>
      </w:r>
    </w:p>
    <w:p w14:paraId="651671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现场施工机具（含特种设备）未按公司《中国南方电网公司施工机械（具）和设备管理业务指导书（试行）》的要求进行执行，未严格按照“八步骤”要求管理。在发包人、监理人及其他相关单位检查中累计发现问题超过六次；</w:t>
      </w:r>
    </w:p>
    <w:p w14:paraId="748BFBC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（6）承包人未在基建项目现场推进“7S”管理，检查中累计发现问题超过六次；</w:t>
      </w:r>
    </w:p>
    <w:p w14:paraId="67BB4B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（7）承包人未按照国家、电力行业和中国南方电网公司的有关质量标准和规定，建立、健全质量管理体系且有效运转，</w:t>
      </w:r>
      <w:r>
        <w:rPr>
          <w:rFonts w:hint="default" w:ascii="宋体" w:hAnsi="宋体" w:eastAsia="宋体" w:cs="宋体"/>
          <w:sz w:val="24"/>
          <w:szCs w:val="24"/>
          <w:lang w:val="en-US"/>
        </w:rPr>
        <w:t>并</w:t>
      </w:r>
      <w:r>
        <w:rPr>
          <w:rFonts w:hint="eastAsia" w:ascii="宋体" w:hAnsi="宋体" w:eastAsia="宋体" w:cs="宋体"/>
          <w:sz w:val="24"/>
          <w:szCs w:val="24"/>
        </w:rPr>
        <w:t>层层分解质量管理责任；</w:t>
      </w:r>
    </w:p>
    <w:p w14:paraId="4846E7F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（8）承包人未严格执行《中国南方电网有限责任公司基建工程质量控制（WHS）标准》（Q/CSG 1202001-2017），未落实WHS质量控制工作，导致工程实体质量（含关键部位、工序或隐蔽工程）出现缺陷，可能影响工程性能、寿命、安全、可靠性和精度等：</w:t>
      </w:r>
    </w:p>
    <w:p w14:paraId="7CBBBE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在基建施工过程中未严格执行《中国南方电网有限责任公司输变电及配电工程质量验收与评定标准》进行质量验收；未结合工程施工实际情况开展三级检验工作；不配合各级主管部门或独立第三方对项目的现场监察（包含工程竣工前质量评价、竣工后质量监督）；</w:t>
      </w:r>
    </w:p>
    <w:p w14:paraId="63F36D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（10）承包人将未经监理人审批同意进场使用的主要原材料、设备、构配件、半成品擅自用于本项目建设；</w:t>
      </w:r>
    </w:p>
    <w:p w14:paraId="0FA8B14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（11）承包人未根据南方电网公司基建承包人管理要求做好登记建档工作；</w:t>
      </w:r>
    </w:p>
    <w:p w14:paraId="60C6F1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进度管理</w:t>
      </w:r>
    </w:p>
    <w:p w14:paraId="5D3A68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（1）承包人不及时制定三级进度计划的，或不及时对三级进度计划进行纠偏措施并调整计划的。</w:t>
      </w:r>
    </w:p>
    <w:p w14:paraId="7736F97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14:paraId="4D7033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w:t>
      </w:r>
    </w:p>
    <w:p w14:paraId="115DFF8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综合管理</w:t>
      </w:r>
    </w:p>
    <w:p w14:paraId="56AB907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（1）承包人未根据工程进展实际情况，及时更新信息系统数据，并保证数据质量。（详见附件 功能应用要求）</w:t>
      </w:r>
    </w:p>
    <w:p w14:paraId="04B60F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（2）承包人没有对项目全过程中形成的文字、图表、声像等文件进行同步归档、分阶段移交。</w:t>
      </w:r>
    </w:p>
    <w:p w14:paraId="6707B2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2.6.1.2 如果承包人有下列行为，发包人应有权向承包人提出经济索赔，每发生一次扣除合同总额的0.2%，累计最多可扣除合同总额的1%：</w:t>
      </w:r>
    </w:p>
    <w:p w14:paraId="5D795F5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A安全管理</w:t>
      </w:r>
    </w:p>
    <w:p w14:paraId="7B5787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（1）发生一般人身、设备、电力安全事故</w:t>
      </w:r>
      <w:r>
        <w:rPr>
          <w:rFonts w:hint="eastAsia" w:ascii="宋体" w:hAnsi="宋体" w:cs="宋体"/>
          <w:sz w:val="24"/>
          <w:szCs w:val="24"/>
          <w:lang w:eastAsia="zh-CN"/>
        </w:rPr>
        <w:t>；</w:t>
      </w:r>
    </w:p>
    <w:p w14:paraId="0BA249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（2）发生被政府部门通报的负有责任的一般突发环境事件</w:t>
      </w:r>
      <w:r>
        <w:rPr>
          <w:rFonts w:hint="eastAsia" w:ascii="宋体" w:hAnsi="宋体" w:cs="宋体"/>
          <w:sz w:val="24"/>
          <w:szCs w:val="24"/>
          <w:lang w:eastAsia="zh-CN"/>
        </w:rPr>
        <w:t>；</w:t>
      </w:r>
    </w:p>
    <w:p w14:paraId="319464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（3）因拖欠农民工工资或唆使农民工以欠薪为由讨要工程款、设备（材料）款而引发一般突发性群体事件造成严重不良社会影响的</w:t>
      </w:r>
      <w:r>
        <w:rPr>
          <w:rFonts w:hint="eastAsia" w:ascii="宋体" w:hAnsi="宋体" w:cs="宋体"/>
          <w:sz w:val="24"/>
          <w:szCs w:val="24"/>
          <w:lang w:eastAsia="zh-CN"/>
        </w:rPr>
        <w:t>；</w:t>
      </w:r>
    </w:p>
    <w:p w14:paraId="5024EC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（4）在巡视、审计、案件查处、上级检查、交叉检查、举报、投诉和舆情处理等工作核实承包人有不良行为，且影响恶劣的</w:t>
      </w:r>
      <w:r>
        <w:rPr>
          <w:rFonts w:hint="eastAsia" w:ascii="宋体" w:hAnsi="宋体" w:cs="宋体"/>
          <w:sz w:val="24"/>
          <w:szCs w:val="24"/>
          <w:lang w:eastAsia="zh-CN"/>
        </w:rPr>
        <w:t>；</w:t>
      </w:r>
    </w:p>
    <w:p w14:paraId="0C56568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（5）承包人有违反安规、违章指挥、违章作业的事实，造成不良后果的</w:t>
      </w:r>
      <w:r>
        <w:rPr>
          <w:rFonts w:hint="eastAsia" w:ascii="宋体" w:hAnsi="宋体" w:cs="宋体"/>
          <w:sz w:val="24"/>
          <w:szCs w:val="24"/>
          <w:lang w:eastAsia="zh-CN"/>
        </w:rPr>
        <w:t>；</w:t>
      </w:r>
    </w:p>
    <w:p w14:paraId="1645C0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（6）在上级单位对承包人进行检查发现严重问题时</w:t>
      </w:r>
      <w:r>
        <w:rPr>
          <w:rFonts w:hint="eastAsia" w:ascii="宋体" w:hAnsi="宋体" w:cs="宋体"/>
          <w:sz w:val="24"/>
          <w:szCs w:val="24"/>
          <w:lang w:eastAsia="zh-CN"/>
        </w:rPr>
        <w:t>；</w:t>
      </w:r>
    </w:p>
    <w:p w14:paraId="73DBAB0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B 采购管理</w:t>
      </w:r>
    </w:p>
    <w:p w14:paraId="0AE8A7B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w:t>
      </w:r>
    </w:p>
    <w:p w14:paraId="67D87DF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（2）承包人项目经理等管理人员长期无法到岗、到位，长期由他人代行使职责，缺岗、缺位时间累计超过45个合同日；</w:t>
      </w:r>
    </w:p>
    <w:p w14:paraId="7E5A7D6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14:paraId="407EF4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（1）承包人开工、复工前不具备施工条件或未经审核批准擅自施工，未按发包人、监理人要求停工；</w:t>
      </w:r>
    </w:p>
    <w:p w14:paraId="4A88A92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（2）承包人对高和特高等级风险的施工作业未制定专项风险控制措施或专项风险控制措施未经审批流程擅自用于现场指导施工，未按发包人及监理人要求落实整改措施；</w:t>
      </w:r>
    </w:p>
    <w:p w14:paraId="1F0ECB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（3）承包人未严格执行《中国南方电网有限责任公司基建工程质量控制（WHS）及量化评价标准》（Q/CSG 533034-2014），未落实WHS质量控制工作，导致工程实体质量（含关键部位、工序或隐蔽工程）出现缺陷，严重影响工程性能、寿命、安全、可靠性和精度等：</w:t>
      </w:r>
    </w:p>
    <w:p w14:paraId="3A3741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（4）工程存在质量事故或质量缺陷，启动质量追溯流程，承包人除上述经济索赔外，还</w:t>
      </w:r>
      <w:r>
        <w:rPr>
          <w:rFonts w:hint="eastAsia" w:ascii="宋体" w:hAnsi="宋体" w:cs="宋体"/>
          <w:sz w:val="24"/>
          <w:szCs w:val="24"/>
          <w:lang w:val="en-US" w:eastAsia="zh-CN"/>
        </w:rPr>
        <w:t>将受到</w:t>
      </w:r>
      <w:r>
        <w:rPr>
          <w:rFonts w:hint="eastAsia" w:ascii="宋体" w:hAnsi="宋体" w:eastAsia="宋体" w:cs="宋体"/>
          <w:sz w:val="24"/>
          <w:szCs w:val="24"/>
        </w:rPr>
        <w:t>通报批评，或在3个月内其评标中扣1-3分，或停止其3个月内参与投标及分包工程的资格的处罚。</w:t>
      </w:r>
    </w:p>
    <w:p w14:paraId="40533A2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14:paraId="15E63A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（1）承包人未按照《南方电网公司基建承包商管理业务指导书》要求完成登记建档工作，经三次警告后仍未按要求完成登记建档工作的；</w:t>
      </w:r>
    </w:p>
    <w:p w14:paraId="60E1DDA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（2）在项目投产后30天内，未向建设单位业主项目部移交项目档案，档案资料不齐全；</w:t>
      </w:r>
    </w:p>
    <w:p w14:paraId="46D1BE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（3）发生拖欠民工工资导致群体性事件造成恶劣社会影响的； </w:t>
      </w:r>
    </w:p>
    <w:p w14:paraId="310B1D6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（4）承包人根据工程进展实际情况，未及时更新信息系统数据，不配合完成信息系统填报的情况，经三次警告后仍未按要求完成工作的。</w:t>
      </w:r>
    </w:p>
    <w:p w14:paraId="224434F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（5）承包人未能及时、准确、完整地在规定时间内完成电子化移交或参数移交。</w:t>
      </w:r>
    </w:p>
    <w:p w14:paraId="04A3401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14:paraId="3D2D10D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（1）承包人未履行合同约定造价管理义务，经三次书面警告仍未履行的。</w:t>
      </w:r>
    </w:p>
    <w:p w14:paraId="385B10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进度管理</w:t>
      </w:r>
    </w:p>
    <w:p w14:paraId="54BB175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（1）承包人未根据南方电网公司基建管理相关规定，编制、执行三级进度计划，发生工程进度失控；</w:t>
      </w:r>
    </w:p>
    <w:p w14:paraId="58EB0228">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u w:val="single"/>
        </w:rPr>
      </w:pPr>
      <w:r>
        <w:rPr>
          <w:rFonts w:hint="eastAsia" w:ascii="宋体" w:hAnsi="宋体" w:eastAsia="宋体" w:cs="宋体"/>
          <w:sz w:val="24"/>
          <w:szCs w:val="24"/>
        </w:rPr>
        <w:t xml:space="preserve">2.6.1.3 </w:t>
      </w:r>
      <w:r>
        <w:rPr>
          <w:rFonts w:hint="eastAsia" w:ascii="宋体" w:hAnsi="宋体" w:eastAsia="宋体" w:cs="宋体"/>
          <w:b/>
          <w:sz w:val="24"/>
          <w:szCs w:val="24"/>
          <w:u w:val="single"/>
        </w:rPr>
        <w:t>如果承包人有下列行为，发包人应有权向承包人提出暂停合同：</w:t>
      </w:r>
    </w:p>
    <w:p w14:paraId="0D670D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14:paraId="66F9283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（1）发生较大人身、设备、电力安全事故，并不配合事故调查</w:t>
      </w:r>
      <w:r>
        <w:rPr>
          <w:rFonts w:hint="eastAsia" w:ascii="宋体" w:hAnsi="宋体" w:cs="宋体"/>
          <w:sz w:val="24"/>
          <w:szCs w:val="24"/>
          <w:lang w:eastAsia="zh-CN"/>
        </w:rPr>
        <w:t>；</w:t>
      </w:r>
    </w:p>
    <w:p w14:paraId="38BB80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（2）承包人在发生电力安全质量事故、事件后，瞒报、虚报安全事件、事故</w:t>
      </w:r>
      <w:r>
        <w:rPr>
          <w:rFonts w:hint="eastAsia" w:ascii="宋体" w:hAnsi="宋体" w:cs="宋体"/>
          <w:sz w:val="24"/>
          <w:szCs w:val="24"/>
          <w:lang w:eastAsia="zh-CN"/>
        </w:rPr>
        <w:t>；</w:t>
      </w:r>
    </w:p>
    <w:p w14:paraId="2478BE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（3）发生被政府部门通报的负有责任的较大突发环境事件</w:t>
      </w:r>
      <w:r>
        <w:rPr>
          <w:rFonts w:hint="eastAsia" w:ascii="宋体" w:hAnsi="宋体" w:cs="宋体"/>
          <w:sz w:val="24"/>
          <w:szCs w:val="24"/>
          <w:lang w:eastAsia="zh-CN"/>
        </w:rPr>
        <w:t>；</w:t>
      </w:r>
    </w:p>
    <w:p w14:paraId="692122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（4）因拖欠农民工工资或唆使农民工以欠薪为由讨要工程款、设备（材料）款而引发较大突发群体性事件造成严重不良社会影响的</w:t>
      </w:r>
      <w:r>
        <w:rPr>
          <w:rFonts w:hint="eastAsia" w:ascii="宋体" w:hAnsi="宋体" w:cs="宋体"/>
          <w:sz w:val="24"/>
          <w:szCs w:val="24"/>
          <w:lang w:eastAsia="zh-CN"/>
        </w:rPr>
        <w:t>；</w:t>
      </w:r>
    </w:p>
    <w:p w14:paraId="2F9D2C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（5）施工现场存在重大安全隐患，且承包人未按规定采取相应控制措施的</w:t>
      </w:r>
      <w:r>
        <w:rPr>
          <w:rFonts w:hint="eastAsia" w:ascii="宋体" w:hAnsi="宋体" w:cs="宋体"/>
          <w:sz w:val="24"/>
          <w:szCs w:val="24"/>
          <w:lang w:eastAsia="zh-CN"/>
        </w:rPr>
        <w:t>；</w:t>
      </w:r>
    </w:p>
    <w:p w14:paraId="0D50E0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（6）承包人有违反安规、违章指挥、违章作业的事实，造成严重后果的</w:t>
      </w:r>
      <w:r>
        <w:rPr>
          <w:rFonts w:hint="eastAsia" w:ascii="宋体" w:hAnsi="宋体" w:cs="宋体"/>
          <w:sz w:val="24"/>
          <w:szCs w:val="24"/>
          <w:lang w:eastAsia="zh-CN"/>
        </w:rPr>
        <w:t>；</w:t>
      </w:r>
    </w:p>
    <w:p w14:paraId="1DD0CE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采购管理</w:t>
      </w:r>
    </w:p>
    <w:p w14:paraId="798C82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（1）在工程建设过程中承包人存在转包、违法分包及挂靠等触犯基建工作“八不准”的行为，且拒不整改，除进行上述处罚外，还停止其3- 12个月内参与投标及分包工程的资格。</w:t>
      </w:r>
    </w:p>
    <w:p w14:paraId="445C9A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14:paraId="362C2B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（1）在工程建设过程中，由于承包人未按合同约定履行职责，给发包人造成巨大经济损失。</w:t>
      </w:r>
    </w:p>
    <w:p w14:paraId="6B4C52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14:paraId="3F633A6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（1）若发现承包人有伪造、变造企业有关资料、工程结算文件等不诚信行为。</w:t>
      </w:r>
    </w:p>
    <w:p w14:paraId="4D9DFA3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（2）承包人造成恶劣影响的社会事件的。 </w:t>
      </w:r>
    </w:p>
    <w:p w14:paraId="22046F63">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2.6.1.4 </w:t>
      </w:r>
      <w:r>
        <w:rPr>
          <w:rFonts w:hint="eastAsia" w:ascii="宋体" w:hAnsi="宋体" w:eastAsia="宋体" w:cs="宋体"/>
          <w:b/>
          <w:sz w:val="24"/>
          <w:szCs w:val="24"/>
        </w:rPr>
        <w:t>如果承包人有下列行为，发包人应有权终止合同：</w:t>
      </w:r>
    </w:p>
    <w:p w14:paraId="717DC4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14:paraId="41341B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施工中发生重大及以上人身、设备、电力安全事故，且谎报或者瞒报事故，或伪造或者故意破坏事故现场，或销毁有关证据、资料，或拒绝接受调查、拒绝提供有关情况和资料，或在事故调查中作伪证或者指使他人作伪证的</w:t>
      </w:r>
      <w:r>
        <w:rPr>
          <w:rFonts w:hint="eastAsia" w:ascii="宋体" w:hAnsi="宋体" w:cs="宋体"/>
          <w:sz w:val="24"/>
          <w:szCs w:val="24"/>
          <w:lang w:eastAsia="zh-CN"/>
        </w:rPr>
        <w:t>；</w:t>
      </w:r>
    </w:p>
    <w:p w14:paraId="7344BD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（2）发生被政府部门通报的负有责任的重大及以上突发环境事件</w:t>
      </w:r>
      <w:r>
        <w:rPr>
          <w:rFonts w:hint="eastAsia" w:ascii="宋体" w:hAnsi="宋体" w:cs="宋体"/>
          <w:sz w:val="24"/>
          <w:szCs w:val="24"/>
          <w:lang w:eastAsia="zh-CN"/>
        </w:rPr>
        <w:t>；</w:t>
      </w:r>
    </w:p>
    <w:p w14:paraId="594DA3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（3）因拖欠农民工工资或唆使农民工以欠薪为由讨要工程款、设备（材料）款而引发重大及以上突发群体事件造成严重不良社会影响的</w:t>
      </w:r>
      <w:r>
        <w:rPr>
          <w:rFonts w:hint="eastAsia" w:ascii="宋体" w:hAnsi="宋体" w:cs="宋体"/>
          <w:sz w:val="24"/>
          <w:szCs w:val="24"/>
          <w:lang w:eastAsia="zh-CN"/>
        </w:rPr>
        <w:t>；</w:t>
      </w:r>
    </w:p>
    <w:p w14:paraId="15639B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（4）承包人有违反安规、违章指挥、违章作业的事实，造成严重后果且不能容忍的；</w:t>
      </w:r>
    </w:p>
    <w:p w14:paraId="623BE9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D综合管理</w:t>
      </w:r>
    </w:p>
    <w:p w14:paraId="096D941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（1）承包人因违反国家有关的法律法规，并被政府部门追究民事责任、行政责任和刑事责任，不具备执行合同能力；</w:t>
      </w:r>
    </w:p>
    <w:p w14:paraId="1A6BF5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（2）承包人被建设行政主管部门给予处罚，因企业资质等级降低或被吊销资质证书，导致资质等级已不满足承揽本合同业务范围。</w:t>
      </w:r>
    </w:p>
    <w:p w14:paraId="1D62197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（3）承包人造成恶劣影响社会事件，且不能容忍的。</w:t>
      </w:r>
    </w:p>
    <w:p w14:paraId="400753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2.6.1.5 承包人考核</w:t>
      </w:r>
    </w:p>
    <w:p w14:paraId="126FB8F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（1）承包人在一个记分周期内失信扣分满12分的，处以在中国南方电网公司基建领域范围内不接受投标和停止承接分包工程资格，期限为3个月，满12分后，每增加6分，追加3个月的处罚</w:t>
      </w:r>
      <w:r>
        <w:rPr>
          <w:rFonts w:hint="eastAsia" w:ascii="宋体" w:hAnsi="宋体" w:cs="宋体"/>
          <w:sz w:val="24"/>
          <w:szCs w:val="24"/>
          <w:lang w:eastAsia="zh-CN"/>
        </w:rPr>
        <w:t>；</w:t>
      </w:r>
    </w:p>
    <w:p w14:paraId="71C7D9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（2）承包人发生负有责任的安全、质量事故的，将列入中国南方电网公司失信名单（黑名单），按《中国南方电网有限责任公司承包商管理业务指导书》要求，处以不接受投标和停止承接分包工程资格的处罚</w:t>
      </w:r>
      <w:r>
        <w:rPr>
          <w:rFonts w:hint="eastAsia" w:ascii="宋体" w:hAnsi="宋体" w:cs="宋体"/>
          <w:sz w:val="24"/>
          <w:szCs w:val="24"/>
          <w:lang w:eastAsia="zh-CN"/>
        </w:rPr>
        <w:t>；</w:t>
      </w:r>
    </w:p>
    <w:p w14:paraId="1E8EC8D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）工程建设过程中发生一、二级电力安全事件，承包人还需在其3-6个月内评标中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14:paraId="2FDCAB7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）承包人违反国家工程建设强制性条文标准、技术规程规范，造成严重后果，还需在3-6个月内其评标中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14:paraId="68FB53E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）发生较大及以上安全质量事故，对承包人进行如下惩罚：</w:t>
      </w:r>
    </w:p>
    <w:p w14:paraId="21BC79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①停止其12- 24个月内参与投标及分包工程的资格；</w:t>
      </w:r>
    </w:p>
    <w:p w14:paraId="5D2168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14:paraId="5B83D9F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14:paraId="4E5D27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）发生一般电力安全质量事故，进行如下惩罚：</w:t>
      </w:r>
    </w:p>
    <w:p w14:paraId="341479B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①停止其3- 12个月内参与投标及分包工程的资格；</w:t>
      </w:r>
    </w:p>
    <w:p w14:paraId="73F5024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14:paraId="5F54A34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14:paraId="6F1BDC2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）在上级单位对承包人进行检查发现严重问题时，进行如下惩罚：</w:t>
      </w:r>
    </w:p>
    <w:p w14:paraId="266DB69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①国家层面检查发现的严重安全问题，直接扣减安全生产风险管理体系审核结1.5分；</w:t>
      </w:r>
    </w:p>
    <w:p w14:paraId="7BB63B0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w:t>
      </w:r>
      <w:r>
        <w:rPr>
          <w:rFonts w:hint="eastAsia" w:ascii="宋体" w:hAnsi="宋体" w:cs="宋体"/>
          <w:sz w:val="24"/>
          <w:szCs w:val="24"/>
          <w:lang w:val="en-US" w:eastAsia="zh-CN"/>
        </w:rPr>
        <w:t>中国南方电</w:t>
      </w:r>
      <w:r>
        <w:rPr>
          <w:rFonts w:hint="eastAsia" w:ascii="宋体" w:hAnsi="宋体" w:eastAsia="宋体" w:cs="宋体"/>
          <w:sz w:val="24"/>
          <w:szCs w:val="24"/>
        </w:rPr>
        <w:t>网</w:t>
      </w:r>
      <w:r>
        <w:rPr>
          <w:rFonts w:hint="eastAsia" w:ascii="宋体" w:hAnsi="宋体" w:cs="宋体"/>
          <w:sz w:val="24"/>
          <w:szCs w:val="24"/>
          <w:lang w:val="en-US" w:eastAsia="zh-CN"/>
        </w:rPr>
        <w:t>有限责任</w:t>
      </w:r>
      <w:r>
        <w:rPr>
          <w:rFonts w:hint="eastAsia" w:ascii="宋体" w:hAnsi="宋体" w:eastAsia="宋体" w:cs="宋体"/>
          <w:sz w:val="24"/>
          <w:szCs w:val="24"/>
        </w:rPr>
        <w:t>公司检查发现的严重安全问题，直接扣减安全生产风险管理体系审核结1.0分；</w:t>
      </w:r>
    </w:p>
    <w:p w14:paraId="21DC589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w:t>
      </w:r>
      <w:r>
        <w:rPr>
          <w:rFonts w:hint="eastAsia" w:ascii="宋体" w:hAnsi="宋体" w:cs="宋体"/>
          <w:sz w:val="24"/>
          <w:szCs w:val="24"/>
          <w:lang w:val="en-US" w:eastAsia="zh-CN"/>
        </w:rPr>
        <w:t>广东电网有限责任</w:t>
      </w:r>
      <w:r>
        <w:rPr>
          <w:rFonts w:hint="eastAsia" w:ascii="宋体" w:hAnsi="宋体" w:eastAsia="宋体" w:cs="宋体"/>
          <w:sz w:val="24"/>
          <w:szCs w:val="24"/>
        </w:rPr>
        <w:t>公司检查发现的严重安全问题，直接扣减安全生产风险管理体系审核结0.5分；</w:t>
      </w:r>
    </w:p>
    <w:p w14:paraId="2E991E1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）在工程建设过程中承包人存在转包、违法分包及挂靠等触犯基建安全“八不准”的行为，停止其3- 12个月内参与投标及分包工程的资格；</w:t>
      </w:r>
    </w:p>
    <w:p w14:paraId="1003292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）工程存在质量事故或质量缺陷，启动质量追溯流程，对承包人在3个月内其评标中扣1-3分，或停止其3个月内参与投标及分包工程的资格的处罚。</w:t>
      </w:r>
    </w:p>
    <w:p w14:paraId="3262AD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2.6.2 奖励权利</w:t>
      </w:r>
    </w:p>
    <w:p w14:paraId="18A595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承包人有下列良好表现，发包人应有权实施奖励措施，具体包括：</w:t>
      </w:r>
    </w:p>
    <w:p w14:paraId="1F93200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项目被评为国家优质工程奖（鲁班奖）、电力行业优质工程、南方电网公司优质工程等，发包人可以考虑以合同额为基础对承包人进行奖励（国家优质工程奖（鲁班奖）按3%、电力行业优质工程按2%、南方电网公司优质工程等按1.5%）。如确定给予奖励费用，</w:t>
      </w:r>
      <w:r>
        <w:rPr>
          <w:rFonts w:hint="eastAsia" w:ascii="宋体" w:hAnsi="宋体" w:cs="宋体"/>
          <w:sz w:val="24"/>
          <w:szCs w:val="24"/>
          <w:u w:val="single"/>
          <w:lang w:val="en-US" w:eastAsia="zh-CN"/>
        </w:rPr>
        <w:t>承包人</w:t>
      </w:r>
      <w:r>
        <w:rPr>
          <w:rFonts w:hint="eastAsia" w:ascii="宋体" w:hAnsi="宋体" w:eastAsia="宋体" w:cs="宋体"/>
          <w:sz w:val="24"/>
          <w:szCs w:val="24"/>
          <w:u w:val="single"/>
        </w:rPr>
        <w:t>应提供书面奖励依据与发票，待质保期过后付给承包人。</w:t>
      </w:r>
    </w:p>
    <w:p w14:paraId="5370F8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（2）发包人对承包人的合同履约情况将进行评价，评价结果将作为承包人在南方电网公司履约评分组成部分，并应用于南方电网公司对承包人的评标。</w:t>
      </w:r>
    </w:p>
    <w:p w14:paraId="3F7DB89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（3）发包人可根据有关规定，对获奖单位及做出突出贡献的人员，给予精神和物质奖励。</w:t>
      </w:r>
    </w:p>
    <w:p w14:paraId="52DEED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（4）其他奖励：</w:t>
      </w:r>
      <w:sdt>
        <w:sdtPr>
          <w:rPr>
            <w:rFonts w:hint="eastAsia" w:ascii="宋体" w:hAnsi="宋体" w:eastAsia="宋体" w:cs="宋体"/>
            <w:color w:val="C00000"/>
            <w:kern w:val="2"/>
            <w:sz w:val="28"/>
            <w:szCs w:val="28"/>
            <w:u w:val="none"/>
            <w:lang w:val="en-US" w:eastAsia="zh-CN" w:bidi="ar-SA"/>
          </w:rPr>
          <w:alias w:val="不填其他的，请划“/”"/>
          <w:id w:val="233716578"/>
          <w:placeholder>
            <w:docPart w:val="{f555b9a0-dc2e-4353-8007-32c9b16ebb82}"/>
          </w:placeholder>
          <w:text w:multiLine="1"/>
        </w:sdtPr>
        <w:sdtEndPr>
          <w:rPr>
            <w:rFonts w:hint="eastAsia" w:ascii="宋体" w:hAnsi="宋体" w:eastAsia="宋体" w:cs="宋体"/>
            <w:color w:val="C00000"/>
            <w:kern w:val="2"/>
            <w:sz w:val="28"/>
            <w:szCs w:val="28"/>
            <w:u w:val="single"/>
            <w:lang w:val="en-US" w:eastAsia="zh-CN" w:bidi="ar-SA"/>
          </w:rPr>
        </w:sdtEndPr>
        <w:sdtContent>
          <w:permStart w:id="69" w:edGrp="everyone"/>
          <w:r>
            <w:rPr>
              <w:rFonts w:hint="eastAsia" w:ascii="宋体" w:hAnsi="宋体" w:eastAsia="宋体" w:cs="宋体"/>
              <w:color w:val="auto"/>
              <w:sz w:val="28"/>
              <w:szCs w:val="28"/>
              <w:u w:val="single"/>
              <w:lang w:val="en-US" w:eastAsia="zh-CN"/>
            </w:rPr>
            <w:t xml:space="preserve">     </w:t>
          </w:r>
          <w:permEnd w:id="69"/>
        </w:sdtContent>
      </w:sdt>
    </w:p>
    <w:p w14:paraId="32C1B4B6">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14:paraId="5A4297A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14:paraId="5E1F5A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增加以下内容到第3.1款：</w:t>
      </w:r>
    </w:p>
    <w:p w14:paraId="21F2E0A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0" w:edGrp="everyone"/>
      <w:r>
        <w:rPr>
          <w:rFonts w:hint="eastAsia" w:ascii="宋体" w:hAnsi="宋体" w:eastAsia="宋体" w:cs="宋体"/>
          <w:sz w:val="24"/>
          <w:szCs w:val="24"/>
        </w:rPr>
        <w:t>工程师（监理单位名称）：</w:t>
      </w:r>
      <w:r>
        <w:rPr>
          <w:rFonts w:hint="eastAsia" w:ascii="宋体" w:hAnsi="宋体" w:eastAsia="宋体" w:cs="宋体"/>
          <w:sz w:val="24"/>
          <w:szCs w:val="24"/>
          <w:u w:val="single"/>
        </w:rPr>
        <w:t></w:t>
      </w:r>
      <w:r>
        <w:rPr>
          <w:rFonts w:hint="eastAsia" w:ascii="宋体" w:hAnsi="宋体" w:eastAsia="宋体" w:cs="宋体"/>
          <w:sz w:val="24"/>
          <w:szCs w:val="24"/>
        </w:rPr>
        <w:t>；</w:t>
      </w:r>
    </w:p>
    <w:p w14:paraId="3028B36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总监理工程师：</w:t>
      </w:r>
      <w:r>
        <w:rPr>
          <w:rFonts w:hint="eastAsia" w:ascii="宋体" w:hAnsi="宋体" w:eastAsia="宋体" w:cs="宋体"/>
          <w:sz w:val="24"/>
          <w:szCs w:val="24"/>
          <w:u w:val="single"/>
        </w:rPr>
        <w:t>；</w:t>
      </w:r>
    </w:p>
    <w:p w14:paraId="162127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w:t>
      </w:r>
    </w:p>
    <w:p w14:paraId="26FEFF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w:t>
      </w:r>
    </w:p>
    <w:p w14:paraId="3BF676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1C88BA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p>
    <w:p w14:paraId="08F6DE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u w:val="single"/>
        </w:rPr>
        <w:t>；</w:t>
      </w:r>
    </w:p>
    <w:p w14:paraId="1B536E8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w:t>
      </w:r>
    </w:p>
    <w:permEnd w:id="70"/>
    <w:p w14:paraId="0A514C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工程师在行使以下权力前需要经发包人事先批准：</w:t>
      </w:r>
    </w:p>
    <w:p w14:paraId="24EBAA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（1）对工程质量、进度有影响的事件处理作出决定时；</w:t>
      </w:r>
    </w:p>
    <w:p w14:paraId="5B438E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（2）有违背初步设计原则的决定作出之时；</w:t>
      </w:r>
    </w:p>
    <w:p w14:paraId="67D745D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（3）事件处理的结果对工程建成后的运行有影响时；</w:t>
      </w:r>
    </w:p>
    <w:p w14:paraId="52D0A37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（4）事件处理的结果需要追加投资时；</w:t>
      </w:r>
    </w:p>
    <w:p w14:paraId="1CF13B8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（5）处理重大设计变更时；</w:t>
      </w:r>
    </w:p>
    <w:p w14:paraId="653695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（6）工程进行过程中需要再分包时；</w:t>
      </w:r>
    </w:p>
    <w:p w14:paraId="4850208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（7）事件处理对项目发包人履行合同有较大影响时；</w:t>
      </w:r>
    </w:p>
    <w:p w14:paraId="16C3D12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（8）除了在合同中有明文规定外，监理工程师无权变更合同文件，无权免除合同规定的承包人的义务。</w:t>
      </w:r>
    </w:p>
    <w:p w14:paraId="43ADB132">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14:paraId="709ECB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替换以下内容到第3.1款：</w:t>
      </w:r>
    </w:p>
    <w:p w14:paraId="458E76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如果发包人准备撤换工程师，则必须在期望撤换日期7天以前向承包人发出通知说明拟替换的工程师的名称、地址及相关经历。发包人更换工程师无需征得承包人的同意。</w:t>
      </w:r>
    </w:p>
    <w:p w14:paraId="154F39C7">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14:paraId="3031970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14:paraId="296149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增加以下内容到第4.1款：</w:t>
      </w:r>
    </w:p>
    <w:p w14:paraId="77B6C3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承包人应履行的其他义务包括如下事项：</w:t>
      </w:r>
    </w:p>
    <w:p w14:paraId="29D6D2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（1）施工严格控制在规定的范围内，不允许发生越线施工。如承包人擅自越线施工引起的一切矛盾和纠纷全部由承包人承担责任。</w:t>
      </w:r>
    </w:p>
    <w:p w14:paraId="3C7EBCF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（2）负责恢复项目周围耕种土地遭到破坏的灌溉系统，认真、彻底、解决好，不遗留任何问题；</w:t>
      </w:r>
    </w:p>
    <w:p w14:paraId="109599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（3）施工之前要认真查阅设计和有关资料，确认与发包人提供的资料相符，否则引起的后果由承包人承担； </w:t>
      </w:r>
    </w:p>
    <w:p w14:paraId="059679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（4）（架空线路部分）负责办理包括线路工程架线时跨越电力线、通讯线、铁路、公路及堤防、水库等的基础施工申请手续； </w:t>
      </w:r>
    </w:p>
    <w:p w14:paraId="77C06F5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（5）（架空线路部分）负责编制线路参数的测量、线路投产时的绝缘测试及核相、启动方案； </w:t>
      </w:r>
    </w:p>
    <w:p w14:paraId="5CFDDDA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（6）（电缆线路部分）负责办理与市城规、市政、园林、交警、城监、公路等部门联系办理施工许可的申请手续； </w:t>
      </w:r>
    </w:p>
    <w:p w14:paraId="11EC652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（7）（电缆线路部分）负责编写电缆试验、电缆线路投产时的电缆交流耐压试验及核相、启动的方案；</w:t>
      </w:r>
    </w:p>
    <w:p w14:paraId="2E7A3C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（8）设备、器材该进库的必须要进库存放，库房必须满足设备、器材保管的要求；</w:t>
      </w:r>
    </w:p>
    <w:p w14:paraId="6EE603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（9）工程建设过程中，承包人对外的交涉与纠纷，以及所造成的损失，除招标文件中有明确规定者外，均由承包人自行解决。如确需发包人进行协调时，协调解决问题所发生的一切费用仍由承包人承担；</w:t>
      </w:r>
    </w:p>
    <w:p w14:paraId="5EF354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应在工地提供发包人、工程监理办公室，面积不小于30㎡(应配有空调机)。承包方在施工时应给予适当的保护，维持用水、用电、排污、电话线及所有现有的设施，并在发包人要求时拆除及修复受影响的地方，有关的用水、用电、排污等费用由承包人负责。</w:t>
      </w:r>
    </w:p>
    <w:p w14:paraId="3EE7C49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（11）发包人提供的材料设备运至承包人的材料站，由承包人负责卸车、保管。</w:t>
      </w:r>
    </w:p>
    <w:p w14:paraId="33AB3C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消灭病虫害措施：承包人应自始至终采取必要的预防措施保护在现场所雇的职员和工人免受病虫害、老鼠和其他害虫的侵害，减少对健康的威胁以及由之造成的普遍的危害。承包人应向职员和工人提供预防疟疾的适当的预防药品，并采取措施防止造成水池污浊。承包人应遵守当地卫生部门一切有关规定，特别是安排用经批准使用的杀虫剂对所有在建现场的房屋进行彻底喷洒，对这一处理应至少每年进行一次或根据监理工程师的指示进行。</w:t>
      </w:r>
    </w:p>
    <w:p w14:paraId="69F955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（13）食物供应：承包人为了合同之目的及与合同有关事宜，应安排向其职员及工人或其分包商供应足够的、价格合理的、合适的食品。</w:t>
      </w:r>
    </w:p>
    <w:p w14:paraId="4B0827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供水：承包人根据当地条件只要合理可行时，应在现场为职员和工人提供足够的饮用水和其他生活用水。</w:t>
      </w:r>
    </w:p>
    <w:p w14:paraId="62F8AF4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（14）节假日及宗教习惯：承包人在处理其职员与工人的一切事务时，应对公认的节日、休息日、宗教习惯和其他习俗应依法进行。</w:t>
      </w:r>
    </w:p>
    <w:p w14:paraId="78DAA99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（15）造价管理</w:t>
      </w:r>
    </w:p>
    <w:p w14:paraId="2959B9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1）承包人投标报价和工程结算应符合《南方电网公司基建项目造价信息化规约》要求，并及时录入基建信息系统；</w:t>
      </w:r>
    </w:p>
    <w:p w14:paraId="308A9FF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2）承包人负责在变更执行完毕或签证发生后5个工作日内，上报变更完工工程量或提出工程量签证；负责按基建项目工程建设合同管理业务指导书中完工工程量确认表确认并按季度汇总上报。</w:t>
      </w:r>
    </w:p>
    <w:p w14:paraId="238665B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（16）综合管理   </w:t>
      </w:r>
    </w:p>
    <w:p w14:paraId="5788D83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1）按要求参加南网基建管理信息系统使用培训；</w:t>
      </w:r>
    </w:p>
    <w:p w14:paraId="19F586F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2）按南方电网公司管理要求，及时、准确的在管理信息系统中录入承包人负责的相关数据，并通过审核。</w:t>
      </w:r>
    </w:p>
    <w:p w14:paraId="02A3A2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3）承包人根据工程进展实际情况，及时更新信息系统数据，并保证数据质量。</w:t>
      </w:r>
    </w:p>
    <w:p w14:paraId="54776229">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（17）</w:t>
      </w:r>
      <w:r>
        <w:rPr>
          <w:rFonts w:hint="eastAsia" w:ascii="宋体" w:hAnsi="宋体" w:eastAsia="宋体" w:cs="宋体"/>
          <w:b/>
          <w:sz w:val="24"/>
          <w:szCs w:val="24"/>
        </w:rPr>
        <w:t>承包人承诺已仔细阅读合同中列明的中国南方电网有限公司基建管理各项管理规定，在项目执行过程中自愿服从并严格遵守合同【附件</w:t>
      </w:r>
      <w:r>
        <w:rPr>
          <w:rFonts w:hint="eastAsia" w:ascii="宋体" w:hAnsi="宋体" w:cs="宋体"/>
          <w:b/>
          <w:sz w:val="24"/>
          <w:szCs w:val="24"/>
          <w:lang w:val="en-US" w:eastAsia="zh-CN"/>
        </w:rPr>
        <w:t>十二</w:t>
      </w:r>
      <w:r>
        <w:rPr>
          <w:rFonts w:hint="eastAsia" w:ascii="宋体" w:hAnsi="宋体" w:eastAsia="宋体" w:cs="宋体"/>
          <w:b/>
          <w:sz w:val="24"/>
          <w:szCs w:val="24"/>
        </w:rPr>
        <w:t xml:space="preserve"> </w:t>
      </w:r>
      <w:r>
        <w:rPr>
          <w:rFonts w:hint="eastAsia" w:ascii="宋体" w:hAnsi="宋体" w:eastAsia="宋体"/>
          <w:b w:val="0"/>
          <w:sz w:val="24"/>
          <w:szCs w:val="24"/>
        </w:rPr>
        <w:t>管理规范和技术（规范）标准</w:t>
      </w:r>
      <w:r>
        <w:rPr>
          <w:rFonts w:hint="eastAsia" w:ascii="宋体" w:hAnsi="宋体" w:eastAsia="宋体" w:cs="宋体"/>
          <w:b/>
          <w:sz w:val="24"/>
          <w:szCs w:val="24"/>
        </w:rPr>
        <w:t>】中各项管理规定的要求（如项目执行过程中，有最新文件，以最新文件为准），在项目执行期间如若违反相关条款，承包人自愿接受发包人相关的处罚（如通报批评、承包人考核扣分、停止投标资格以及依照合同额相关比例进行扣罚）。</w:t>
      </w:r>
    </w:p>
    <w:p w14:paraId="5B357BD1">
      <w:pPr>
        <w:pStyle w:val="18"/>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（18）其他：[</w:t>
      </w:r>
      <w:permStart w:id="71" w:edGrp="everyone"/>
      <w:r>
        <w:rPr>
          <w:rFonts w:hint="eastAsia" w:ascii="宋体" w:hAnsi="宋体" w:eastAsia="宋体" w:cs="宋体"/>
          <w:b w:val="0"/>
          <w:bCs/>
          <w:sz w:val="24"/>
          <w:szCs w:val="24"/>
          <w:u w:val="single"/>
        </w:rPr>
        <w:t xml:space="preserve">     </w:t>
      </w:r>
      <w:permEnd w:id="71"/>
      <w:r>
        <w:rPr>
          <w:rFonts w:hint="eastAsia" w:ascii="宋体" w:hAnsi="宋体" w:eastAsia="宋体" w:cs="宋体"/>
          <w:b w:val="0"/>
          <w:bCs/>
          <w:sz w:val="24"/>
          <w:szCs w:val="24"/>
        </w:rPr>
        <w:t>]</w:t>
      </w:r>
    </w:p>
    <w:p w14:paraId="1422E32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4.2 履约保证</w:t>
      </w:r>
    </w:p>
    <w:p w14:paraId="583DE3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增加以下内容到第4.2款：</w:t>
      </w:r>
    </w:p>
    <w:p w14:paraId="6E519DA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承包人是否提供履约担保：</w:t>
      </w:r>
      <w:permStart w:id="72"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72"/>
      <w:r>
        <w:rPr>
          <w:rFonts w:hint="eastAsia" w:ascii="宋体" w:hAnsi="宋体" w:eastAsia="宋体" w:cs="宋体"/>
          <w:sz w:val="24"/>
          <w:szCs w:val="24"/>
        </w:rPr>
        <w:t>。</w:t>
      </w:r>
    </w:p>
    <w:p w14:paraId="4DEFB7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如有履约担保，承包人提供履约担保的形式、金额及期限的： </w:t>
      </w:r>
    </w:p>
    <w:p w14:paraId="5940EE8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（a）履约担保的有效期为：自发包人与承包人签订的合同生效之日起至发包人签发工程接收证书之日止。</w:t>
      </w:r>
    </w:p>
    <w:p w14:paraId="3CAB33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（b）履约担保的金额为：合同总价的</w:t>
      </w:r>
      <w:sdt>
        <w:sdtPr>
          <w:rPr>
            <w:rFonts w:hint="eastAsia" w:ascii="宋体" w:hAnsi="宋体" w:eastAsia="宋体" w:cs="宋体"/>
            <w:sz w:val="24"/>
            <w:szCs w:val="24"/>
            <w:lang w:val="en-US" w:eastAsia="zh-CN"/>
          </w:rPr>
          <w:alias w:val="履约保证金不得超过中标合同金额的10%"/>
          <w:tag w:val="履约担保比例"/>
          <w:id w:val="326936083"/>
          <w:placeholder>
            <w:docPart w:val="{9fa581aa-cc00-49f0-8e72-ffb105d88c29}"/>
          </w:placeholder>
          <w:text w:multiLine="1"/>
        </w:sdtPr>
        <w:sdtEndPr>
          <w:rPr>
            <w:rFonts w:hint="eastAsia" w:ascii="宋体" w:hAnsi="宋体" w:eastAsia="宋体" w:cs="宋体"/>
            <w:sz w:val="24"/>
            <w:szCs w:val="24"/>
            <w:u w:val="single"/>
            <w:lang w:val="en-US" w:eastAsia="zh-CN"/>
          </w:rPr>
        </w:sdtEndPr>
        <w:sdtContent>
          <w:permStart w:id="73" w:edGrp="everyone"/>
          <w:r>
            <w:rPr>
              <w:rFonts w:hint="eastAsia" w:ascii="宋体" w:hAnsi="宋体" w:eastAsia="宋体" w:cs="宋体"/>
              <w:sz w:val="24"/>
              <w:szCs w:val="24"/>
              <w:u w:val="single"/>
              <w:lang w:val="en-US" w:eastAsia="zh-CN"/>
            </w:rPr>
            <w:t xml:space="preserve"> 10% </w:t>
          </w:r>
          <w:permEnd w:id="73"/>
        </w:sdtContent>
      </w:sdt>
      <w:r>
        <w:rPr>
          <w:rFonts w:hint="eastAsia" w:ascii="宋体" w:hAnsi="宋体" w:eastAsia="宋体" w:cs="宋体"/>
          <w:sz w:val="24"/>
          <w:szCs w:val="24"/>
        </w:rPr>
        <w:t>，计为：</w:t>
      </w:r>
      <w:sdt>
        <w:sdtPr>
          <w:rPr>
            <w:rFonts w:hint="eastAsia" w:ascii="宋体" w:hAnsi="宋体" w:eastAsia="宋体" w:cs="宋体"/>
            <w:sz w:val="24"/>
            <w:szCs w:val="24"/>
            <w:u w:val="single"/>
            <w:lang w:val="en-US" w:eastAsia="zh-CN"/>
          </w:rPr>
          <w:alias w:val="履约保证金不得超过中标合同金额的10%"/>
          <w:tag w:val="履约担保金额"/>
          <w:id w:val="551577955"/>
          <w:placeholder>
            <w:docPart w:val="{e305f72a-b990-4b72-948d-0359106c3f17}"/>
          </w:placeholder>
          <w:text w:multiLine="1"/>
        </w:sdtPr>
        <w:sdtEndPr>
          <w:rPr>
            <w:rFonts w:hint="eastAsia" w:ascii="宋体" w:hAnsi="宋体" w:eastAsia="宋体" w:cs="宋体"/>
            <w:sz w:val="24"/>
            <w:szCs w:val="24"/>
            <w:u w:val="single"/>
            <w:lang w:val="en-US" w:eastAsia="zh-CN"/>
          </w:rPr>
        </w:sdtEndPr>
        <w:sdtContent>
          <w:permStart w:id="74" w:edGrp="everyone"/>
          <w:r>
            <w:rPr>
              <w:rFonts w:hint="eastAsia" w:ascii="宋体" w:hAnsi="宋体" w:eastAsia="宋体" w:cs="宋体"/>
              <w:sz w:val="24"/>
              <w:szCs w:val="24"/>
              <w:u w:val="single"/>
              <w:lang w:val="en-US" w:eastAsia="zh-CN"/>
            </w:rPr>
            <w:t xml:space="preserve">     </w:t>
          </w:r>
          <w:permEnd w:id="74"/>
        </w:sdtContent>
      </w:sdt>
      <w:r>
        <w:rPr>
          <w:rFonts w:hint="eastAsia" w:ascii="宋体" w:hAnsi="宋体" w:eastAsia="宋体" w:cs="宋体"/>
          <w:sz w:val="24"/>
          <w:szCs w:val="24"/>
        </w:rPr>
        <w:t xml:space="preserve"> 元人民币。</w:t>
      </w:r>
    </w:p>
    <w:p w14:paraId="2F57CA22">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rPr>
      </w:pPr>
      <w:r>
        <w:rPr>
          <w:rFonts w:hint="eastAsia" w:ascii="宋体" w:hAnsi="宋体" w:eastAsia="宋体" w:cs="宋体"/>
          <w:sz w:val="24"/>
          <w:szCs w:val="24"/>
        </w:rPr>
        <w:t>（c）</w:t>
      </w:r>
      <w:r>
        <w:rPr>
          <w:rFonts w:hint="eastAsia" w:ascii="宋体" w:hAnsi="宋体" w:eastAsia="宋体" w:cs="宋体"/>
          <w:kern w:val="0"/>
          <w:sz w:val="24"/>
          <w:szCs w:val="24"/>
        </w:rPr>
        <w:t>履约担保的提交时间：在正式合同签订后</w:t>
      </w:r>
      <w:permStart w:id="75" w:edGrp="everyone"/>
      <w:r>
        <w:rPr>
          <w:rFonts w:hint="eastAsia" w:ascii="宋体" w:hAnsi="宋体" w:eastAsia="宋体" w:cs="宋体"/>
          <w:kern w:val="0"/>
          <w:sz w:val="24"/>
          <w:szCs w:val="24"/>
          <w:u w:val="single"/>
        </w:rPr>
        <w:t>28天</w:t>
      </w:r>
      <w:permEnd w:id="75"/>
      <w:r>
        <w:rPr>
          <w:rFonts w:hint="eastAsia" w:ascii="宋体" w:hAnsi="宋体" w:eastAsia="宋体" w:cs="宋体"/>
          <w:kern w:val="0"/>
          <w:sz w:val="24"/>
          <w:szCs w:val="24"/>
        </w:rPr>
        <w:t>内。</w:t>
      </w:r>
    </w:p>
    <w:p w14:paraId="0637899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注：此款约定内容如与通用合同条款不一致时，以此款约定为准。</w:t>
      </w:r>
    </w:p>
    <w:p w14:paraId="1DAD865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14:paraId="7EBF3EF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增加以下内容到第4.3款：</w:t>
      </w:r>
    </w:p>
    <w:p w14:paraId="4612D20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6" w:edGrp="everyone"/>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D726A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334EF1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D13F96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69B2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E4C88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6638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63B5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p>
    <w:p w14:paraId="4EC1D9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ermEnd w:id="76"/>
    <w:p w14:paraId="0EC52C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承包人对承包人项目经理的授权范围如下：</w:t>
      </w:r>
    </w:p>
    <w:p w14:paraId="4AB70D1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7"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77"/>
      <w:r>
        <w:rPr>
          <w:rFonts w:hint="eastAsia" w:ascii="宋体" w:hAnsi="宋体" w:eastAsia="宋体" w:cs="宋体"/>
          <w:sz w:val="24"/>
          <w:szCs w:val="24"/>
        </w:rPr>
        <w:t xml:space="preserve">          </w:t>
      </w:r>
    </w:p>
    <w:p w14:paraId="3EA1256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关于承包人项目经理每月在施工现场的时间要求：</w:t>
      </w:r>
    </w:p>
    <w:p w14:paraId="4A849F0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8"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78"/>
      <w:r>
        <w:rPr>
          <w:rFonts w:hint="eastAsia" w:ascii="宋体" w:hAnsi="宋体" w:eastAsia="宋体" w:cs="宋体"/>
          <w:sz w:val="24"/>
          <w:szCs w:val="24"/>
        </w:rPr>
        <w:t xml:space="preserve">          </w:t>
      </w:r>
    </w:p>
    <w:p w14:paraId="21E7AD5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承包人项目经理未经批准，擅自离开施工现场的违约责任：</w:t>
      </w:r>
    </w:p>
    <w:p w14:paraId="77B8B71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9"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79"/>
    </w:p>
    <w:p w14:paraId="313BDC5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承包人项目管理人员的更换规定：</w:t>
      </w:r>
    </w:p>
    <w:p w14:paraId="192F3E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permStart w:id="80" w:edGrp="everyone"/>
      <w:r>
        <w:rPr>
          <w:rFonts w:hint="eastAsia" w:ascii="宋体" w:hAnsi="宋体" w:eastAsia="宋体" w:cs="宋体"/>
          <w:sz w:val="24"/>
          <w:szCs w:val="24"/>
          <w:u w:val="single"/>
        </w:rPr>
        <w:t>承包人应按合同约定指派项目经理，并在约定的期限内到职。承包人更换项目经理应事先征得发包人同意，并应在更换14 天前通知发包人和监理人。承包人项目经理短期</w:t>
      </w:r>
      <w:r>
        <w:rPr>
          <w:rFonts w:hint="eastAsia" w:ascii="宋体" w:hAnsi="宋体"/>
          <w:sz w:val="24"/>
          <w:szCs w:val="24"/>
          <w:lang w:eastAsia="zh-CN"/>
        </w:rPr>
        <w:t>（</w:t>
      </w:r>
      <w:r>
        <w:rPr>
          <w:rFonts w:hint="eastAsia" w:ascii="宋体" w:hAnsi="宋体"/>
          <w:sz w:val="24"/>
          <w:szCs w:val="24"/>
          <w:lang w:val="en-US" w:eastAsia="zh-CN"/>
        </w:rPr>
        <w:t>不超过</w:t>
      </w:r>
      <w:r>
        <w:rPr>
          <w:rFonts w:hint="default" w:ascii="宋体" w:hAnsi="宋体" w:cs="宋体"/>
          <w:color w:val="auto"/>
          <w:sz w:val="28"/>
          <w:szCs w:val="28"/>
          <w:u w:val="single"/>
          <w:lang w:val="en-US"/>
        </w:rPr>
        <w:t xml:space="preserve">    </w:t>
      </w:r>
      <w:r>
        <w:rPr>
          <w:rFonts w:hint="eastAsia" w:ascii="宋体" w:hAnsi="宋体" w:cs="宋体"/>
          <w:color w:val="auto"/>
          <w:sz w:val="28"/>
          <w:szCs w:val="28"/>
          <w:u w:val="single"/>
          <w:lang w:val="en-US" w:eastAsia="zh-CN"/>
        </w:rPr>
        <w:t>日）</w:t>
      </w:r>
      <w:r>
        <w:rPr>
          <w:rFonts w:hint="eastAsia" w:ascii="宋体" w:hAnsi="宋体" w:eastAsia="宋体" w:cs="宋体"/>
          <w:sz w:val="24"/>
          <w:szCs w:val="24"/>
          <w:u w:val="single"/>
        </w:rPr>
        <w:t>离开施工场地，应事先征得监理人同意，并委派代表代行其职责。</w:t>
      </w:r>
    </w:p>
    <w:p w14:paraId="1D9B0D3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承包人更换项目经理，须经发包人批准同意。项目经理如需更换，首次更换扣罚10万，第二次更换扣罚20万，第三次更换扣罚40万，以此类推。</w:t>
      </w:r>
    </w:p>
    <w:p w14:paraId="13FFC6C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u w:val="single"/>
        </w:rPr>
        <w:t>承包人更换项目总工（技术负责人）, 须经发包人批准同意。项目总工（技术负责人）如需更换，首次更换扣罚5万，第二次更换扣罚10万，第三次更换扣罚20万，以此类推。</w:t>
      </w:r>
      <w:permEnd w:id="80"/>
    </w:p>
    <w:p w14:paraId="40036F7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14:paraId="44D5244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替换以下内容到第4.4款：</w:t>
      </w:r>
    </w:p>
    <w:p w14:paraId="7DCCA6D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4.4.1 取得施工总承包资质的承包商可以对所承接的施工总承包工程内各专业工程全部自行施工，也可以将专业工程依法进行分包。对设有资质的专业工程进行分包时，应分包给具有相应专业承包资质的承包商。施工总承包单位将劳务作业分包时，应分包给具有施工劳务资质的承包商。但是，除本合同中约定的分包外，必须经建设单位认可。承包人按照合同的约定对建设单位负责；分包单位按照分包合同的约定对承包人负责。承包人和分包单位就分包工程对建设单位承担连带责任。禁止承包人将工程分包给不具备相应资质条件的单位。</w:t>
      </w:r>
    </w:p>
    <w:p w14:paraId="3FE7E46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施工总承包的基建项目，电力工程主体的施工必须由总承包单位自行完成。</w:t>
      </w:r>
    </w:p>
    <w:p w14:paraId="0BD0F9B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5EF044C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取得施工劳务资质的承包商可以承接具有施工总承包资质或专业承包资质的承包商分包的劳务作业。</w:t>
      </w:r>
    </w:p>
    <w:p w14:paraId="6E2BF0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专业分包商必须在公司进行资信档案登记，并且在资信档案记录允许的范围内承接分包工程。</w:t>
      </w:r>
    </w:p>
    <w:p w14:paraId="6A63804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承包人在选择材料供应商时，必须征得发包人及工程师同意。</w:t>
      </w:r>
    </w:p>
    <w:p w14:paraId="0E93FA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本合同中经工程师同意，可以分包内容为：</w:t>
      </w:r>
    </w:p>
    <w:p w14:paraId="399A58A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81" w:edGrp="everyone"/>
      <w:r>
        <w:rPr>
          <w:rFonts w:hint="eastAsia" w:ascii="宋体" w:hAnsi="宋体" w:eastAsia="宋体" w:cs="宋体"/>
          <w:sz w:val="24"/>
          <w:szCs w:val="24"/>
        </w:rPr>
        <w:t>专业分包：</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BAABE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电缆工程：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CC3660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46FE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劳务分包：</w:t>
      </w:r>
      <w:r>
        <w:rPr>
          <w:rFonts w:hint="eastAsia" w:ascii="宋体" w:hAnsi="宋体" w:eastAsia="宋体" w:cs="宋体"/>
          <w:sz w:val="24"/>
          <w:szCs w:val="24"/>
          <w:u w:val="single"/>
        </w:rPr>
        <w:t xml:space="preserve">                                                        ；</w:t>
      </w:r>
    </w:p>
    <w:permEnd w:id="81"/>
    <w:p w14:paraId="56D153C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分包单位应具备</w:t>
      </w:r>
      <w:sdt>
        <w:sdtPr>
          <w:rPr>
            <w:rFonts w:hint="eastAsia" w:ascii="宋体" w:hAnsi="宋体" w:eastAsia="宋体" w:cs="宋体"/>
            <w:kern w:val="2"/>
            <w:sz w:val="24"/>
            <w:szCs w:val="24"/>
            <w:lang w:val="en-US" w:eastAsia="zh-CN" w:bidi="ar-SA"/>
          </w:rPr>
          <w:alias w:val="请输入资质要求"/>
          <w:id w:val="147477113"/>
          <w:placeholder>
            <w:docPart w:val="{612f204c-cb0c-4891-a380-41b1506f5110}"/>
          </w:placeholder>
          <w:text/>
        </w:sdtPr>
        <w:sdtEndPr>
          <w:rPr>
            <w:rFonts w:hint="eastAsia" w:ascii="宋体" w:hAnsi="宋体" w:eastAsia="宋体" w:cs="宋体"/>
            <w:kern w:val="2"/>
            <w:sz w:val="24"/>
            <w:szCs w:val="24"/>
            <w:u w:val="single"/>
            <w:lang w:val="en-US" w:eastAsia="zh-CN" w:bidi="ar-SA"/>
          </w:rPr>
        </w:sdtEndPr>
        <w:sdtContent>
          <w:permStart w:id="82"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82"/>
        </w:sdtContent>
      </w:sdt>
      <w:r>
        <w:rPr>
          <w:rFonts w:hint="eastAsia" w:ascii="宋体" w:hAnsi="宋体" w:eastAsia="宋体" w:cs="宋体"/>
          <w:sz w:val="24"/>
          <w:szCs w:val="24"/>
        </w:rPr>
        <w:t>。安全管理体系必须健全，近三年内未发生重大人身伤亡事故，近一年内未发生负主要责任的人身死亡事故。质量管理体系健全，具有一定的质量过程控制能力，所分包的工程在近三年内未发生重大质量事故，施工质量管理规范。</w:t>
      </w:r>
    </w:p>
    <w:p w14:paraId="246837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项目的分包严格执行审批手续，工程师负责审批施工承包人报送的工程项目分包计划，严格控制工程分包范围。负责审批施工承包人报送的分包申请，严格审查分包商资质和业绩。定期开展工程项目分包管理检查，核查承包人是否违法分包，督促承包人加强对分包商的安全管理。</w:t>
      </w:r>
    </w:p>
    <w:p w14:paraId="32FE4F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如承包人违法分包（如：不依靠自身力量和管理完成任务而将全标段或其中一段以合同转包或发包等），发包人有权采取下述处置措施：</w:t>
      </w:r>
    </w:p>
    <w:p w14:paraId="3F633C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（a）责成承包人限期废止分/转包合同，立即组织自身力量投入工程，由此造成的一切后果，由承包人自己承担；</w:t>
      </w:r>
    </w:p>
    <w:p w14:paraId="69549C4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cs="宋体"/>
          <w:sz w:val="24"/>
          <w:szCs w:val="24"/>
          <w:lang w:val="en-US" w:eastAsia="zh-CN"/>
        </w:rPr>
        <w:t>终止并解除</w:t>
      </w:r>
      <w:r>
        <w:rPr>
          <w:rFonts w:hint="eastAsia" w:ascii="宋体" w:hAnsi="宋体" w:eastAsia="宋体" w:cs="宋体"/>
          <w:sz w:val="24"/>
          <w:szCs w:val="24"/>
        </w:rPr>
        <w:t>与承包人签订的工程承发包合同，收回承包人的全部工程任务，并罚收其全部履约保证金。项目发包人所供物资，由原承包人向新的承包人办理移交手续。</w:t>
      </w:r>
    </w:p>
    <w:p w14:paraId="5C8B749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bookmarkStart w:id="7" w:name="_Hlk18742069"/>
      <w:r>
        <w:rPr>
          <w:rFonts w:hint="eastAsia" w:ascii="宋体" w:hAnsi="宋体" w:eastAsia="宋体" w:cs="宋体"/>
          <w:sz w:val="24"/>
          <w:szCs w:val="24"/>
        </w:rPr>
        <w:t>4.4.2劳务分包商必须在承包商或专业分包商作业班组核心人员的组织、指挥、监护下开展具体作业。施工作业班组长、安全员、技术员、质检员等核心人员由承包商或专业分包商负责指派并报业主、监理备案。</w:t>
      </w:r>
    </w:p>
    <w:p w14:paraId="6D3753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组塔和架线、配网主体工程作业以及劳务分包中风险等级高、质量要求严的作业内容，要求必须由承包商自有施工作业班组负责实施作业，或由承包商人员担任班长兼指挥、安全员、技术员兼质检员等核心人员的施工作业班组负责实施作业。</w:t>
      </w:r>
    </w:p>
    <w:p w14:paraId="0D388D1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4.4.3承包商对所承包工程项目的劳务人员工资支付负总责。分包商对所招用劳务人员的工资支付负直接责任，不得以工程款未到位等为由，克扣或拖欠劳务人员工资，不得将经营风险转嫁给劳务人员。 </w:t>
      </w:r>
    </w:p>
    <w:p w14:paraId="2E48DC9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承包商将工程转包、违法分包致使出现劳务人员工资拖欠的，由总承包单位依法承担清偿责任；分包商由于自身拖欠劳务人员工资的，承包商应以分包单位未结清的工程款为限，先行垫付劳务人员工资。</w:t>
      </w:r>
    </w:p>
    <w:p w14:paraId="70D6CE0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4.4.4承包商对本单位及分包商信访维稳工作负总责，因未落实相关举措导致拖欠工程款、欠薪引发集体上访、群体性事件，或受到政府部门处罚的，发包人将根据认定的事件性质处置相关责任单位及责任人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因此造成发包人损失的，承包商还应予以赔偿</w:t>
      </w:r>
      <w:r>
        <w:rPr>
          <w:rFonts w:hint="eastAsia" w:ascii="宋体" w:hAnsi="宋体" w:eastAsia="宋体" w:cs="宋体"/>
          <w:sz w:val="24"/>
          <w:szCs w:val="24"/>
        </w:rPr>
        <w:t>：</w:t>
      </w:r>
    </w:p>
    <w:p w14:paraId="6DBC8BC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（a）集体上访事件：主要责任人市场禁入6个月至1年，非正常上访人员市场终身禁入。</w:t>
      </w:r>
    </w:p>
    <w:p w14:paraId="60CCE3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（b）一般性群体事件：主要责任人市场禁入1至3年，非正常上访人员市场终身禁入。</w:t>
      </w:r>
    </w:p>
    <w:p w14:paraId="3FE933F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（c）较大群体性事件：主要责任人市场禁入3至5年，非正常上访人员市场终身禁入。</w:t>
      </w:r>
    </w:p>
    <w:p w14:paraId="6AAFDF4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（d）重大及以上群体性事件：主要责任人市场禁入5年至永久，非正常上访人员市场终身禁入。</w:t>
      </w:r>
    </w:p>
    <w:bookmarkEnd w:id="7"/>
    <w:p w14:paraId="5BD87C5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14:paraId="7461AB8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增加以下内容到第4.7款：</w:t>
      </w:r>
    </w:p>
    <w:p w14:paraId="100BE7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承包人应负责复测工作包括：</w:t>
      </w:r>
    </w:p>
    <w:p w14:paraId="1D63442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（1）根据设计文件和设计部门给定的地面原始基准点复测线路，包括线路中心线、档距、塔位标高、局部地段的断面（如有必要）、塔位十字断面（如有必要）、重要交叉跨越等。</w:t>
      </w:r>
    </w:p>
    <w:p w14:paraId="3A0B143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（2）按上述，正确补设遗失的塔位中心桩。</w:t>
      </w:r>
    </w:p>
    <w:p w14:paraId="1A653DE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如果在施工过程中，任何线路段、任何塔位的位置及其它尺寸、方向有误。承包应以自己的费用纠正。承包人应仔细保护线路塔位中心桩和测量参考桩，随时补设遗失的测桩。</w:t>
      </w:r>
    </w:p>
    <w:p w14:paraId="503FD5B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14:paraId="33F2D8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增加以下内容到第4.8款：</w:t>
      </w:r>
    </w:p>
    <w:p w14:paraId="519692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承包人应在开工前编制施工安全措施计划报送监理工程师审批。</w:t>
      </w:r>
    </w:p>
    <w:p w14:paraId="365A8A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采取有效的预防措施，以保证其职员与工人的安全，由承包人承担的工程及其负责管理的范围内，所发生的设备、人身伤亡事故，其责任和由此发生的一切费用均由承包人负责，与当地卫生部门协作按其要求，在整个合同期间自始</w:t>
      </w:r>
      <w:r>
        <w:rPr>
          <w:rFonts w:hint="eastAsia" w:ascii="宋体" w:hAnsi="宋体" w:cs="宋体"/>
          <w:sz w:val="24"/>
          <w:szCs w:val="24"/>
          <w:lang w:val="en-US" w:eastAsia="zh-CN"/>
        </w:rPr>
        <w:t>至</w:t>
      </w:r>
      <w:r>
        <w:rPr>
          <w:rFonts w:hint="eastAsia" w:ascii="宋体" w:hAnsi="宋体" w:eastAsia="宋体" w:cs="宋体"/>
          <w:sz w:val="24"/>
          <w:szCs w:val="24"/>
        </w:rPr>
        <w:t>终在营地住房区和工地确保配有急需设备、备用品及适用的救护服务，并且采取适当的安排以预防传染病。并提供所有必要的福利及卫生条件。</w:t>
      </w:r>
    </w:p>
    <w:p w14:paraId="101CDD6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承包人应保持其职员和工人的安全、健康。监理工程师可以随时指示承包人提供关于人员安全、健康的报告。</w:t>
      </w:r>
    </w:p>
    <w:p w14:paraId="45B380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承包人必须在每日作业任务开始前，以“站班会”的形式应用《电网建设安全施工作业票》，落实相应的安全风险控制措施。</w:t>
      </w:r>
    </w:p>
    <w:p w14:paraId="1F68F40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承包人应在工地上指派专职的安全员专门处理安全及防止所有职工人身事故的发生。这一工作人员应胜任此项工作，并有权发布各种指示及采取防止事故发生的预防措施。</w:t>
      </w:r>
    </w:p>
    <w:p w14:paraId="5C7AF64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的施工临建等设施设在围墙以内的部分，在竣工交接验收前，承包人应以最短的时间将其拆除清理完毕，不得留下任何临建的痕迹。若施工期间临时占用了将来的运行用房，只能用于工作，不能用于住宿。使用后应立即清理打扫完毕，若对房间原有的设施有所破坏应立即恢复。</w:t>
      </w:r>
    </w:p>
    <w:p w14:paraId="09EB2B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承包人应积极参与对参建单位的评价工作。</w:t>
      </w:r>
    </w:p>
    <w:p w14:paraId="6BEFB1D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承包人项目安全生产的达标目标及相应事项如下约定：</w:t>
      </w:r>
    </w:p>
    <w:p w14:paraId="21E2FFA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按南方电网公司各项制度的有关要求，开展安全风险评估，制定相应的控制措施，加强落实，降低安全风险。在施工过程中，严格执行“四步法”“八步骤”“7S”管理，规范PPE管理，形成施工现场安全管理文化。配合发包人日常检查扣分工作。</w:t>
      </w:r>
    </w:p>
    <w:p w14:paraId="3D9F87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承包人承诺按照下述各项安全管理规定执行：</w:t>
      </w:r>
    </w:p>
    <w:p w14:paraId="4E72180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（1）承包人必须严格贯彻落实国家有关安全的法律法规和电力行业规程、规范，执行中国南方电网公司基建安全管理有关规定，依法建立、健全基建安全生产管理体系及安全管理制度。</w:t>
      </w:r>
    </w:p>
    <w:p w14:paraId="3179BA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（2）承包人在基建安全管理中须贯彻安全生产方针，制定安全生产责任制， “一级对一级”负责，将安全责任制落实到项目经理、安全员、现场负责人等具体岗位。</w:t>
      </w:r>
    </w:p>
    <w:p w14:paraId="1ED3313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（3）承包人需制定管理人员到位管理制度，在基建安全管理过程中严格贯彻落实，确保管理人员到岗、到位。并接受发包人及监理人监督检查。</w:t>
      </w:r>
    </w:p>
    <w:p w14:paraId="08D3AD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（4）承包人应严格遵守《电力建设安全工作规程》，落实风险控制措施，严禁未落实安全风险控制措施开工作业。</w:t>
      </w:r>
    </w:p>
    <w:p w14:paraId="12C13D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（5）承包人必需针对项目实际情况编写、报审施工组织设计、施工方案、专项方案和作业指导书等技术文件，技术文件制定的安全技术措施需满足安全风险控制要求。</w:t>
      </w:r>
    </w:p>
    <w:p w14:paraId="43ECBB1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（6）承包商必须严格执行</w:t>
      </w:r>
      <w:r>
        <w:rPr>
          <w:rFonts w:hint="eastAsia" w:ascii="宋体" w:hAnsi="宋体" w:eastAsia="宋体" w:cs="宋体"/>
          <w:kern w:val="0"/>
          <w:sz w:val="24"/>
          <w:szCs w:val="24"/>
        </w:rPr>
        <w:t>基建工作“八不准”细则，不准出现非法转包、非法分包和挂靠行为。不准出现“阴阳合同”</w:t>
      </w:r>
      <w:r>
        <w:rPr>
          <w:rFonts w:hint="eastAsia" w:ascii="宋体" w:hAnsi="宋体" w:eastAsia="宋体" w:cs="宋体"/>
          <w:sz w:val="24"/>
          <w:szCs w:val="24"/>
        </w:rPr>
        <w:t>。</w:t>
      </w:r>
    </w:p>
    <w:p w14:paraId="203808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（7）承包人必须在每个项目进程和作业活动落实基建安全“四步法”具体如下：</w:t>
      </w:r>
    </w:p>
    <w:p w14:paraId="6BB4DD0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1）作业指导书</w:t>
      </w:r>
    </w:p>
    <w:p w14:paraId="0158043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承包人现场作业需正确选用对应的施工作业指导书、并准确进行差异化分析，同时保证现场实施与作业指导书是否相符。</w:t>
      </w:r>
    </w:p>
    <w:p w14:paraId="177EB99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2）风险评估与控制</w:t>
      </w:r>
    </w:p>
    <w:p w14:paraId="05CDF4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承包人需在项目开工前组织辨析项目安全基准风险分析，对项目风险进行辨识、定级和分级控制，并形成《</w:t>
      </w:r>
      <w:permStart w:id="83" w:edGrp="everyone"/>
      <w:r>
        <w:rPr>
          <w:rFonts w:hint="eastAsia" w:ascii="宋体" w:hAnsi="宋体" w:eastAsia="宋体" w:cs="宋体"/>
          <w:sz w:val="24"/>
          <w:szCs w:val="24"/>
        </w:rPr>
        <w:t>xxx项目安全基准风分析表</w:t>
      </w:r>
      <w:permEnd w:id="83"/>
      <w:r>
        <w:rPr>
          <w:rFonts w:hint="eastAsia" w:ascii="宋体" w:hAnsi="宋体" w:eastAsia="宋体" w:cs="宋体"/>
          <w:sz w:val="24"/>
          <w:szCs w:val="24"/>
        </w:rPr>
        <w:t>》，作业过程如出现重大危险源，应及时进行动态更新并在现场严格落实相关风险管控措施。</w:t>
      </w:r>
    </w:p>
    <w:p w14:paraId="737D8FE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3）安全施工作业票</w:t>
      </w:r>
    </w:p>
    <w:p w14:paraId="116480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班组（队）必须保证持票作业，选择与作业指导书相对应的安全施工作业票，根据作业内容及实际情况对作业票的内容进行筛选和差异化分析，要求记录完善、填写真实、签名齐全等，同时保证现场严格按照安全施工作业票执行；</w:t>
      </w:r>
    </w:p>
    <w:p w14:paraId="220C40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4）站班会</w:t>
      </w:r>
    </w:p>
    <w:p w14:paraId="49978B6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需有效执行“站班会”，每次作业前需组结合“站班会”对参加作业人员进行“三交”（交任务、交技术、交安全）、“三查”（查衣着、查三宝、查精神面貌），确保落实安全风险控制措施后才可开工作业，要求站班会记录完整、填写真实、签名齐全、不得以任何形式代签等。</w:t>
      </w:r>
    </w:p>
    <w:p w14:paraId="1A5C3D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（8）承包人必须建立健全班组（队）的安全管理，定期开展班组安全教育培训及总结工作，认真做好安全培训、活动记录等安全信息记录和生产、施工日志等作业记录。</w:t>
      </w:r>
    </w:p>
    <w:p w14:paraId="7031B8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（9）承包人承诺执行南方电网公司《中国南方电网有限责任公司工程项目承包商管理人员和特种作业人员持证上岗管理工作指引》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w:t>
      </w:r>
    </w:p>
    <w:p w14:paraId="31A0395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1）特种作业人员：必须取得国家或行业认可资格证书并保证在有效期内，并提供体检健康合格证明。</w:t>
      </w:r>
    </w:p>
    <w:p w14:paraId="2CAD4A6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2）施工承包商管理人员：必须取得相应资格证并确保证书在有效期内，需取得体检健康证明文件。</w:t>
      </w:r>
    </w:p>
    <w:p w14:paraId="29B2A46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（10）承包人需根据《中国南方电网公司施工机械（具）和设备管理业务指导书》，对施工机具开展“八步骤”管理，并重点加强如下工作：</w:t>
      </w:r>
    </w:p>
    <w:p w14:paraId="0EEDDBE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1）特种设备：严格按照管理业务指导书要求开展特种设备管理，同时保证特种设备操作人员持有特种设备操作人员证，及时对特种设备进行维修管理，配备完善的设备安全操作规程、运行记录和责任人。</w:t>
      </w:r>
    </w:p>
    <w:p w14:paraId="42C7C22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2）一般设备：严格按照管理业务指导书要求开展一般设备管理，落实好操作人员培训、交底工作，加强对常规设备维修、维护、保养工作，确保设备元件正常、操作系统运行良好。</w:t>
      </w:r>
    </w:p>
    <w:p w14:paraId="4BB9D5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对受力、转动、带电类等高风险设备必须重点落实维护保养措施和使用前专项检查，保证此类设备的关键零部件不得磨损超限和损伤，连接部位不得有松动、裂纹，安全保护装置齐全、有效、可靠，严禁使用出现漏电、漏油、漏水、漏气等现象的设备，同时需做好操作人员培训、交底工作。</w:t>
      </w:r>
    </w:p>
    <w:p w14:paraId="60EF349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4）承包人必须保证现场实际使用的施工机具必须与报审工器具一致。如工器具需发生变更，需履行变更手续，经监理人审批才能进场使用。</w:t>
      </w:r>
    </w:p>
    <w:p w14:paraId="0CB2FD0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（11）承包人需承诺在《中国南方电网公司基建项目承包商管理业务指导书》的指导下正确执行承包商行为。如出现违章情况，接受《中国南方电网公司基建承包商违章处罚通知单》处罚。    </w:t>
      </w:r>
    </w:p>
    <w:p w14:paraId="6D87101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（12）承包人需在基建项目现场推进“7S”管理，并接受发包人对现场执行所进行的指导和监督。 </w:t>
      </w:r>
    </w:p>
    <w:p w14:paraId="2D03287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必须按照相关规定设置安全管理机构，配置符合要求的安全管理人员，保证服从监理和业主管理，定期参与安全会议，协调解决工程建设中的安全管理问题，完成项目安委会交办的安全生产管理任务；</w:t>
      </w:r>
    </w:p>
    <w:p w14:paraId="126FAF2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（14）承包人必须按《中国南方电网有限责任公司基建工程安全文明施工检查评价标准表式（2014版）》周期对施工过程落实安全风险控制措施情况开展检查评价。</w:t>
      </w:r>
    </w:p>
    <w:p w14:paraId="6ADA0CC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承包人需根据基建项目安全风险基准，对项目风险进行辨识、定级，制定风险管理计划，明确每项风险的应对措施，项目风险控制应该严格执行项目风险管理计划中预定的应对措施，项目风险分风险评估等级分为“特高、高、中、低、可接受”5个等级，实行分级管控，具体如下：</w:t>
      </w:r>
    </w:p>
    <w:p w14:paraId="54A908A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1）特高风险由发包人负责决策，停止或放弃。</w:t>
      </w:r>
    </w:p>
    <w:p w14:paraId="652F48B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2）高风险由发包人基建部门负责管控，安监部门负责监督，承包人负责具体实施。</w:t>
      </w:r>
    </w:p>
    <w:p w14:paraId="6BB789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3）中风险由业主项目部负责管控，发包人基建部门负责监督，承包人负责具体实施。</w:t>
      </w:r>
    </w:p>
    <w:p w14:paraId="00AF838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4）低风险由监理项目部负责管控，业主项目部负责监督，承包人负责具体实施。</w:t>
      </w:r>
    </w:p>
    <w:p w14:paraId="7DD9165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5）可接受风险由承包人负责管控，监理项目部负责监督，承包人负责具体实施。</w:t>
      </w:r>
    </w:p>
    <w:p w14:paraId="13CFD90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（16）承包人对高和特高等级风险的施工作业必须制定专项风险控制措施，由发包人组织有关部门进行审查,并报主管领导批准后才能用于现场指导施工。</w:t>
      </w:r>
    </w:p>
    <w:p w14:paraId="4C265C6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（17）承包人需建立迅速高效的事故应急机制，制定应急预案并定期演练，并做好以下工作：</w:t>
      </w:r>
    </w:p>
    <w:p w14:paraId="5EE6306A">
      <w:pPr>
        <w:pStyle w:val="18"/>
        <w:numPr>
          <w:ilvl w:val="0"/>
          <w:numId w:val="5"/>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承包人必须设置应急机构，明确专人组织按照项目管理部门发布的工作要求开展应急响应工作。</w:t>
      </w:r>
    </w:p>
    <w:p w14:paraId="5A6BAB2D">
      <w:pPr>
        <w:pStyle w:val="18"/>
        <w:numPr>
          <w:ilvl w:val="0"/>
          <w:numId w:val="5"/>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承包人需定期举行应急演练及技能培训，使应急人员能熟悉掌握应急知识、操作规程和本岗位应对突发事件的应急处置程序，增强防范意识，提高应急处置和自救互救能力。</w:t>
      </w:r>
    </w:p>
    <w:p w14:paraId="59C9B1D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（18）鼓励承包人采用成熟的先进技术措施、施工机具设备、材料、工艺提升基建项目技术管理，通过技术管理提升保障安全管理。</w:t>
      </w:r>
    </w:p>
    <w:p w14:paraId="152BAD8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19）发生安全事故、事件后，承包人应按《中国南方电网有限责任公司电力事故事件调查规程》及时上报，组织抢救、保护现场、配合事故事件调查，根据处理意见并落实整改，严禁瞒报、虚报安全事件、事故。</w:t>
      </w:r>
    </w:p>
    <w:p w14:paraId="5161F7B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20）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14:paraId="037E700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（21）承包人应按照发改委第28号令《电力建设工程施工安全监督管理办法》执行如下要求：</w:t>
      </w:r>
    </w:p>
    <w:p w14:paraId="263A3D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1）承包人应当按照国家法律法规和标准规范组织施工，对其施工现场的安全生产负责。应当设立安全生产管理机构，按规定配备专（兼）职安全生产管理人员，制定安全管理制度和操作规程。</w:t>
      </w:r>
    </w:p>
    <w:p w14:paraId="220465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2）承包人应当按照国家有关规定计列和使用安全生产费用。应当编制安全生产费用使用计划，专款专用。</w:t>
      </w:r>
    </w:p>
    <w:p w14:paraId="64A0841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3）电力建设工程实行施工总承包的，由承包人对施工现场的安全生产负总责，具体包括：</w:t>
      </w:r>
    </w:p>
    <w:p w14:paraId="503A16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（一）承包人位应当自行完成主体工程的施工，除可依法对劳务作业进行劳务分包外，不得对主体工程进行其它形式的施工分包；禁止任何形式的转包和违法分包；</w:t>
      </w:r>
    </w:p>
    <w:p w14:paraId="0EF37FE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承包人依法将主体工程以外项目进行专业分包的，分包单位必须具有相应资质和安全生产许可证，合同中应当明确双方在安全生产方面的权利和义务。承包人履行电力建设工程安全生产监督管理职责，承担工程安全生产连带管理责任，分包单位对其承包的施工现场安全生产负责； </w:t>
      </w:r>
    </w:p>
    <w:p w14:paraId="611687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（三）承包人和专业承包单位实行劳务分包的，应当分包给具有相应资质的单位，并对施工现场的安全生产承担主体责任。</w:t>
      </w:r>
    </w:p>
    <w:p w14:paraId="20FB5A9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4）承包人应当履行劳务分包安全管理责任，将劳务派遣人员、临时用工人员纳入其安全管理体系，落实安全措施，加强作业现场管理和控制。</w:t>
      </w:r>
    </w:p>
    <w:p w14:paraId="4AC05F0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5）电力建设工程开工前，承包人应当开展现场查勘，编制施工组织设计、施工方案和安全技术措施并按技术管理相关规定报建设单位、监理单位同意。</w:t>
      </w:r>
    </w:p>
    <w:p w14:paraId="4F0457D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部分项工程施工前，承包人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14:paraId="2E6EF67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6）承包人应当定期组织施工现场安全检查和隐患排查治理，严格落实施工现场安全措施，杜绝违章指挥、违章作业、违反劳动纪律行为发生。</w:t>
      </w:r>
    </w:p>
    <w:p w14:paraId="2CFA4949">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14:paraId="61D1E7B3">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8）承包人应当制定用火、用电、易燃易爆材料使用等消防安全管理制度，确定消防安全责任人，按规定设置消防通道、消防水源，配备消防设施和灭火器材。</w:t>
      </w:r>
    </w:p>
    <w:p w14:paraId="752D040A">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9）承包人应当按照国家有关规定采购、租赁、验收、检测、发放、使用、维护和管理施工机械、特种设备，建立施工设备安全管理制度、安全操作规程及相应的管理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和维保记录档案。</w:t>
      </w:r>
    </w:p>
    <w:p w14:paraId="10389753">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使用的特种设备应当是取得许可生产并经检验合格的特种设备。特种设备的登记标志、检测合格标志应当置于该特种设备的显著位置。安装、改造、修理特种设备的单位，应当具有国家规定的相应资质，在施工前按规定履行告知手续，施工过程按照相关规定接受监督检验。</w:t>
      </w:r>
    </w:p>
    <w:p w14:paraId="6D12AB2C">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11）承包人应当按照相关规定组织开展安全生产教育培训工作。企业主要负责人、项目负责人、专职安全生产管理人员、特种作业人员需经培训合格后持证上岗，新入场人员应当按规定经过三级安全教育。</w:t>
      </w:r>
    </w:p>
    <w:p w14:paraId="155AE619">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12）承包人对电力建设工程进行调试、试运行前，应当按照法律法规和工程建设强制性标准，编制调试大纲、试验方案，对各项试验方案制定安全技术措施并严格实施。</w:t>
      </w:r>
    </w:p>
    <w:p w14:paraId="15838CCD">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13）承包人应当根据电力建设工程施工特点、范围，制定应急救援预案、现场处置方案，对施工现场易发生事故的部位、环节进行监控。实行施工总承包的，由承包人组织分包单位开展应急管理工作。</w:t>
      </w:r>
    </w:p>
    <w:p w14:paraId="1797351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14:paraId="117DCC0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增加以下内容到第4.9款：</w:t>
      </w:r>
    </w:p>
    <w:p w14:paraId="06734A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w:t>
      </w:r>
    </w:p>
    <w:p w14:paraId="545BFA0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（1）架空线路工程要求全线用</w:t>
      </w:r>
      <w:sdt>
        <w:sdtPr>
          <w:rPr>
            <w:rFonts w:hint="eastAsia" w:ascii="宋体" w:hAnsi="宋体" w:eastAsia="宋体" w:cs="宋体"/>
            <w:kern w:val="2"/>
            <w:sz w:val="24"/>
            <w:szCs w:val="24"/>
            <w:lang w:val="en-US" w:eastAsia="zh-CN" w:bidi="ar-SA"/>
          </w:rPr>
          <w:alias w:val="请输入架线方式"/>
          <w:id w:val="147476662"/>
          <w:placeholder>
            <w:docPart w:val="{744c5381-511f-4cf4-ab8f-0ffdfdda22b4}"/>
          </w:placeholder>
          <w:text/>
        </w:sdtPr>
        <w:sdtEndPr>
          <w:rPr>
            <w:rFonts w:hint="eastAsia" w:ascii="宋体" w:hAnsi="宋体" w:eastAsia="宋体" w:cs="宋体"/>
            <w:kern w:val="2"/>
            <w:sz w:val="24"/>
            <w:szCs w:val="24"/>
            <w:u w:val="single"/>
            <w:lang w:val="en-US" w:eastAsia="zh-CN" w:bidi="ar-SA"/>
          </w:rPr>
        </w:sdtEndPr>
        <w:sdtContent>
          <w:permStart w:id="84" w:edGrp="everyone"/>
          <w:r>
            <w:rPr>
              <w:rFonts w:hint="eastAsia" w:ascii="宋体" w:hAnsi="宋体" w:cs="宋体"/>
              <w:kern w:val="2"/>
              <w:sz w:val="24"/>
              <w:szCs w:val="24"/>
              <w:u w:val="single"/>
              <w:lang w:val="en-US" w:eastAsia="zh-CN" w:bidi="ar-SA"/>
            </w:rPr>
            <w:t xml:space="preserve">       </w:t>
          </w:r>
          <w:r>
            <w:rPr>
              <w:rFonts w:hint="eastAsia" w:ascii="宋体" w:hAnsi="宋体" w:eastAsia="宋体" w:cs="宋体"/>
              <w:sz w:val="24"/>
              <w:szCs w:val="24"/>
              <w:u w:val="single"/>
            </w:rPr>
            <w:t xml:space="preserve"> </w:t>
          </w:r>
          <w:permEnd w:id="84"/>
        </w:sdtContent>
      </w:sdt>
      <w:r>
        <w:rPr>
          <w:rFonts w:hint="eastAsia" w:ascii="宋体" w:hAnsi="宋体" w:eastAsia="宋体" w:cs="宋体"/>
          <w:sz w:val="24"/>
          <w:szCs w:val="24"/>
        </w:rPr>
        <w:t>放线架设。</w:t>
      </w:r>
    </w:p>
    <w:p w14:paraId="322823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（2）凡现场地形条件允许时，现浇混凝土施工应采用机械搅拌和机械振捣。</w:t>
      </w:r>
    </w:p>
    <w:p w14:paraId="0F23A5A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（3）现浇混凝土需掺</w:t>
      </w:r>
      <w:r>
        <w:rPr>
          <w:rFonts w:hint="eastAsia" w:ascii="宋体" w:hAnsi="宋体" w:cs="宋体"/>
          <w:sz w:val="24"/>
          <w:szCs w:val="24"/>
          <w:lang w:val="en-US" w:eastAsia="zh-CN"/>
        </w:rPr>
        <w:t>和</w:t>
      </w:r>
      <w:r>
        <w:rPr>
          <w:rFonts w:hint="eastAsia" w:ascii="宋体" w:hAnsi="宋体" w:eastAsia="宋体" w:cs="宋体"/>
          <w:sz w:val="24"/>
          <w:szCs w:val="24"/>
        </w:rPr>
        <w:t>减水剂与添加剂时，必须经过试验，经监理工程师签证并向项目建设单位提交专题报告，得到书面认可后方可使用。</w:t>
      </w:r>
    </w:p>
    <w:p w14:paraId="3CA984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（4）采用过氯乙烯薄膜进行混凝土养护时，需要进行试验和培训。同时要有一定的工艺措施和具体要求。</w:t>
      </w:r>
    </w:p>
    <w:p w14:paraId="561F0AF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p>
    <w:p w14:paraId="4FD157F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（1）对重要设备安装调试，需至少提前2天通知监理工程师，调试全过程监理工程师代表在场，并作详细记录。</w:t>
      </w:r>
    </w:p>
    <w:p w14:paraId="29DBC28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（2）变电站施工要求使用</w:t>
      </w:r>
      <w:permStart w:id="85" w:edGrp="everyone"/>
      <w:r>
        <w:rPr>
          <w:rFonts w:hint="eastAsia" w:ascii="宋体" w:hAnsi="宋体" w:eastAsia="宋体" w:cs="宋体"/>
          <w:sz w:val="24"/>
          <w:szCs w:val="24"/>
          <w:u w:val="single"/>
        </w:rPr>
        <w:t>商品砼、灰砂砖</w:t>
      </w:r>
      <w:permEnd w:id="85"/>
      <w:r>
        <w:rPr>
          <w:rFonts w:hint="eastAsia" w:ascii="宋体" w:hAnsi="宋体" w:eastAsia="宋体" w:cs="宋体"/>
          <w:sz w:val="24"/>
          <w:szCs w:val="24"/>
        </w:rPr>
        <w:t>。</w:t>
      </w:r>
    </w:p>
    <w:p w14:paraId="199F1F0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承包人应履行的质量管理规定包括：</w:t>
      </w:r>
    </w:p>
    <w:p w14:paraId="4E82DDD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（1）承包人应遵循“基建项目规范达标、绿色可靠、文档齐全、零缺陷”为质量总体目标，按照国家、电力行业和中国南方电网公司的有关质量标准和规定，建立、健全质量管理体系并有效运转。</w:t>
      </w:r>
    </w:p>
    <w:p w14:paraId="67F7CFA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（2）承包人承诺建立工程质量责任终身制，并层层分解质量管理责任。</w:t>
      </w:r>
    </w:p>
    <w:p w14:paraId="19D2B4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（3）承包人必须按照《中国南方电网有限责任公司电网建设施工作业指导书》开展施工、安装、验收等工作，保证基建项目施工质量水平，具体要求如下：</w:t>
      </w:r>
    </w:p>
    <w:p w14:paraId="3F429B61">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工程开工前，承包人根据施工实际情况，筛选作业指导书，形成基建项目“《施工作业指导书》设置表”。</w:t>
      </w:r>
    </w:p>
    <w:p w14:paraId="12C944F2">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承包人必须对《施工作业指导书》准确进行差异化分析，对需要调整或增文以“*”进行标注，并将补充、完善的内容填写在相应指导书的分析表中。</w:t>
      </w:r>
    </w:p>
    <w:p w14:paraId="38F608F1">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承包人必须组织相关人员对《施工作业指导书》进行审批，才可应用于现场施工指导；</w:t>
      </w:r>
    </w:p>
    <w:p w14:paraId="0977D179">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施工现场必须保证严格按照审批后的《施工作业指导书》开展现场施工，应采用看板提醒措施，在作业现场设置“作业指导书小看板”，标识作业主要工艺流程、关键工序技术标准及安全风险辨识等。</w:t>
      </w:r>
    </w:p>
    <w:p w14:paraId="52A8A291">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承包人是工程实体质量的责任主体，需严格执行《中国南方电网有限责任公司基建工程质量控制（WHS）及量化评价标准》，落实WHS质量控制工作，保证工程实体质量。重点落实如下部位的实体质量：</w:t>
      </w:r>
    </w:p>
    <w:p w14:paraId="38FF4F14">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对工程性能、寿命、安全、可靠性和精度等有严重影响的关键部位和关键工序。</w:t>
      </w:r>
    </w:p>
    <w:p w14:paraId="1EE1B62F">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对工艺有严格要求、对下道工序的工作有严重影响的关键部位或工序。</w:t>
      </w:r>
    </w:p>
    <w:p w14:paraId="3FD2383F">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工程建设标准强制性条文中规定的必须检查的项目。</w:t>
      </w:r>
    </w:p>
    <w:p w14:paraId="129FAEA2">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隐蔽工程。</w:t>
      </w:r>
    </w:p>
    <w:p w14:paraId="10F363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在基建施工过程中保证严格执行《中国南方电网有限责任公司输变电及配电工程质量验收与评定标准》进行质量验收。配合各级主管部门或独立第三方对项目的现场监察（包含工程竣工前质量评价、竣工后质量监督）。</w:t>
      </w:r>
    </w:p>
    <w:p w14:paraId="49B289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（5）承包人必须以“零缺陷”移交为目标。落实缺陷管理，实现缺陷的可记录、可跟踪和闭环处理。对检查和验收中出现的质量缺陷按“谁产生、谁处理”的原则</w:t>
      </w:r>
      <w:r>
        <w:rPr>
          <w:rFonts w:hint="eastAsia" w:ascii="宋体" w:hAnsi="宋体" w:cs="宋体"/>
          <w:sz w:val="24"/>
          <w:szCs w:val="24"/>
          <w:lang w:val="en-US" w:eastAsia="zh-CN"/>
        </w:rPr>
        <w:t>及时</w:t>
      </w:r>
      <w:r>
        <w:rPr>
          <w:rFonts w:hint="eastAsia" w:ascii="宋体" w:hAnsi="宋体" w:eastAsia="宋体" w:cs="宋体"/>
          <w:sz w:val="24"/>
          <w:szCs w:val="24"/>
        </w:rPr>
        <w:t>消除，保证工程实体质量。</w:t>
      </w:r>
    </w:p>
    <w:p w14:paraId="2793CEF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（6）承包人应针对项目实施的实际情况编制完整质量技术文件，包括与项目相关的工艺文件、强制性条文实施方案等，技术文件应准确、完整、协调、一致，同时保证现场按已审批的技术文件及方案指导施工；</w:t>
      </w:r>
    </w:p>
    <w:p w14:paraId="09F2299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严格按照相关设计文件、说明文件和国家标准、电力行业标准、公司标准等工程施工及验收标准进行施工，并接受发包人及监理单位的监督，发包人委托监理单位对工程质量进行督查，检查检验隐蔽工程、办理中间交工工程验收签证手续，督查承包人按规定做好试件、材料试验和各项技术资料及报表整理。</w:t>
      </w:r>
    </w:p>
    <w:p w14:paraId="3F1B7D3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（8）承包人对所承建项目的施工质量负责，应结合工程施工实际情况开展三级检验工作，即：班组级、项目部级和公司级。</w:t>
      </w:r>
    </w:p>
    <w:p w14:paraId="4EFB87F6">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班组级由施工实施的班组或施工队开展质量检查和验收（自检），其过程质量控制责任人应是班组长或施工队的施工员；</w:t>
      </w:r>
    </w:p>
    <w:p w14:paraId="2A29F570">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项目级由施工项目部负责组织质量检查和验收（复检），其过程质量控制责任人应是施工项目部的专业质检员；</w:t>
      </w:r>
    </w:p>
    <w:p w14:paraId="48B94DE5">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公司级由承包人质量管理部开展质量检查和验收（专检），其质量控制责任人应是承包人质量管理部及公司分管领导。</w:t>
      </w:r>
    </w:p>
    <w:p w14:paraId="6521F3E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（9）承包人根据质量总体目标，结合项目实际制定质量管控计划，并结合项目进度计划遵循5W1H原则，进行细化明确。</w:t>
      </w:r>
    </w:p>
    <w:p w14:paraId="1250350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所提供的主要原材料、设备、构配件、半成品必须按有关规定提供质量合格证或进行检测合格后才用于本项目建设，由发包人提供的材料、设备、构配件、半成品必须有质量合格证才能用于项目建设，对材料改变或者代用必须书面经设计等单位同意，必要时进行签证，才能用于项目建设。</w:t>
      </w:r>
    </w:p>
    <w:p w14:paraId="6F658D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（11）承包人承诺在施工现场积极推进QC小组活动，并推进新型工器具得现场应用。</w:t>
      </w:r>
    </w:p>
    <w:p w14:paraId="5A61345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14:paraId="6D2983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特殊质量标准和要求：</w:t>
      </w:r>
    </w:p>
    <w:p w14:paraId="52C037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严格执行南方电网公司基建工程质量管理相关规定、南方电网施工作业指导书和质量验收与评定标准、南方电网标准设计和典型造价及G4层等作业标准，推行作业精细化管理，严格执行施工三级质量检验制度。</w:t>
      </w:r>
    </w:p>
    <w:p w14:paraId="0AC7FAE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承包人应根据工程内容和工程特点，编制WHS设置表。深化WHS、施工作业指导书和验评标准的现场应用。根据质量控制点设置表落实质量控制工作，形成质量控制记录，保证工序质量。</w:t>
      </w:r>
    </w:p>
    <w:p w14:paraId="2BE2B6A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履行承包人的责任和义务。完善基建项目缺陷管理制度、表单，所有项目均严格实行缺陷填报。建立各管理环节质量关键点的文档记录，作为质量追溯的依据。</w:t>
      </w:r>
    </w:p>
    <w:p w14:paraId="051A532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14:paraId="16FED9D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通用条件中本条款对应的货物是指承包人的供货范围。</w:t>
      </w:r>
    </w:p>
    <w:p w14:paraId="5E3720E7">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14:paraId="036F069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12DB395B">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14:paraId="35BF5E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增加以下内容到第7.9款：</w:t>
      </w:r>
    </w:p>
    <w:p w14:paraId="7D824FBB">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7.9 发包人供应材料与工程设备</w:t>
      </w:r>
    </w:p>
    <w:p w14:paraId="7F2D0A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发包人提供的材料和工程设备包括：</w:t>
      </w:r>
    </w:p>
    <w:p w14:paraId="5496253D">
      <w:pPr>
        <w:pStyle w:val="18"/>
        <w:kinsoku/>
        <w:wordWrap/>
        <w:overflowPunct/>
        <w:topLinePunct w:val="0"/>
        <w:bidi w:val="0"/>
        <w:spacing w:after="0" w:line="540" w:lineRule="exact"/>
        <w:ind w:left="0" w:leftChars="0" w:firstLine="480" w:firstLineChars="200"/>
        <w:rPr>
          <w:rFonts w:hint="eastAsia" w:ascii="宋体" w:hAnsi="宋体" w:eastAsia="宋体" w:cs="宋体"/>
          <w:iCs/>
          <w:sz w:val="24"/>
          <w:szCs w:val="24"/>
          <w:u w:val="single"/>
        </w:rPr>
      </w:pPr>
      <w:permStart w:id="86" w:edGrp="everyone"/>
      <w:r>
        <w:rPr>
          <w:rFonts w:hint="eastAsia" w:ascii="宋体" w:hAnsi="宋体" w:eastAsia="宋体" w:cs="宋体"/>
          <w:iCs/>
          <w:sz w:val="24"/>
          <w:szCs w:val="24"/>
          <w:u w:val="single"/>
        </w:rPr>
        <w:t>电气一、二次设备(含端子箱、照明配电箱、户内动力配电箱、户内检修电源箱、户外检修电源箱、户外动力箱、发电车开关箱)、全站电缆(不含消防电缆、通信机房接入调度室线缆)、电缆支架、电缆桥架、电缆沟盖板（包括混凝土盖板和复合盖板）、变电站内高压导线和变电站内低压线缆（含照明电缆、动力线缆，不含照明电线、视频监控、消防等设备中已集成采购的线缆）、门类（不含进站大门、户内主变室大门、GIS设备室吊装大门）和窗类、10kV及以上电缆头、支柱绝缘子、管形母线及管母金具、10kV绝缘铜管母线、软母线绝缘子、穿墙套管、封闭母线桥、型钢（钢管）构支架、型钢（钢管）横梁、爬梯、避雷针。</w:t>
      </w:r>
    </w:p>
    <w:permEnd w:id="86"/>
    <w:p w14:paraId="2BEC19A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材料和工程设备的规格、数量、价格、交货方式、交货地点和计划交货日期：</w:t>
      </w:r>
    </w:p>
    <w:p w14:paraId="75232B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permStart w:id="87" w:edGrp="everyone"/>
      <w:r>
        <w:rPr>
          <w:rFonts w:hint="eastAsia" w:ascii="宋体" w:hAnsi="宋体" w:eastAsia="宋体" w:cs="宋体"/>
          <w:sz w:val="24"/>
          <w:szCs w:val="24"/>
          <w:u w:val="single"/>
        </w:rPr>
        <w:t xml:space="preserve">                                                                       </w:t>
      </w:r>
    </w:p>
    <w:p w14:paraId="581C008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ermEnd w:id="87"/>
    <w:p w14:paraId="024E80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除发包人提供的材料和工程设备外，其余均由承包人提供。</w:t>
      </w:r>
    </w:p>
    <w:p w14:paraId="1617DE0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53F0F4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发包人供应的材料和工程设备使用前，由承包人负责检验，检验费用由发包人承担，不合格的不得使用。</w:t>
      </w:r>
    </w:p>
    <w:p w14:paraId="594DF9B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14:paraId="3413239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14:paraId="19D6755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增加以下内容到第8.1款：</w:t>
      </w:r>
    </w:p>
    <w:p w14:paraId="1A5AFC3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工程开工的先决条件： </w:t>
      </w:r>
    </w:p>
    <w:p w14:paraId="3468B18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（1）工程建设已经核准；</w:t>
      </w:r>
    </w:p>
    <w:p w14:paraId="6953B8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（2）施工组织设计已通过项目发包人组织的审查，并提交给监理工程师和项目发包人；</w:t>
      </w:r>
    </w:p>
    <w:p w14:paraId="73A5921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（3）工程各项管理制度已经制订，并可以落实到工程实施中；</w:t>
      </w:r>
    </w:p>
    <w:p w14:paraId="41144FE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（4）基础施工图已经过会审；</w:t>
      </w:r>
    </w:p>
    <w:p w14:paraId="0AAB0F2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（5）基础及接地施工的技术资料已经完备，并在施工人员中进行了技术交底；（仅线路工程）</w:t>
      </w:r>
    </w:p>
    <w:p w14:paraId="45FFF8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（6）基础材料沙、石、水泥、砼配合比、钢筋等，已经过检查和必要的试验并且合格；</w:t>
      </w:r>
    </w:p>
    <w:p w14:paraId="2FCAFC7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（7）基础材料和加工预制件已经落实，具备连续施工的条件；</w:t>
      </w:r>
    </w:p>
    <w:p w14:paraId="5D6759B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（8）工程组织机构、劳动力配备和特殊工种的培训能满足施工需要；</w:t>
      </w:r>
    </w:p>
    <w:p w14:paraId="268C913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（9）基础、运输施工机具已到达施工现场，状况良好；（仅线路工程）</w:t>
      </w:r>
    </w:p>
    <w:p w14:paraId="5169CA4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（10）施工场地具备开工条件；</w:t>
      </w:r>
    </w:p>
    <w:p w14:paraId="60FA198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（11）施工驻地、材料站已布置妥善，生活、通讯设施基本配套；</w:t>
      </w:r>
    </w:p>
    <w:p w14:paraId="219323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（12）承包人在工程所在地的  施工注册  已经完毕；</w:t>
      </w:r>
    </w:p>
    <w:p w14:paraId="2E1F363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（13）施工许可证、建设工程规划许可证等手续的办理完毕。</w:t>
      </w:r>
    </w:p>
    <w:p w14:paraId="788B1F4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承包人施工准备完备后，应提交开工报告，由监理工程师审核合格后报发包人批准。</w:t>
      </w:r>
    </w:p>
    <w:p w14:paraId="012DEA3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开工日期按照合同协议书约定的时间开工。如有延后，监理工程师应该至少提前7天通知承包人开工日期。承包人应在开工日期后合理可行的情况下尽快开始实施工程，随后应迅速且毫不拖延地进行施工。</w:t>
      </w:r>
    </w:p>
    <w:p w14:paraId="70C9274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14:paraId="510BCA1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增加以下内容到第8.3款：</w:t>
      </w:r>
    </w:p>
    <w:p w14:paraId="4C0CB4C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编制详细的三级施工进度计划和施工方案说明报送监理人。监理人应在7天内批复或提出修改意见，否则该进度计划视为已得到批准。经监理人批准的三级施工进度计划称合同三级进度计划，是控制合同工程进度的依据。承包人还应根据合同进度计划，编制更为详细的分阶段或分项进度计划，报监理人审批。</w:t>
      </w:r>
    </w:p>
    <w:p w14:paraId="7E2845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何种原因造成工程的实际进度与合同三级进度计划不符时，承包人可以内向监理人提交修订合同进度计划的申请报告，并附有关措施和相关资料，报监理人审批；监理人也可以直接向承包人作出修订合同进度计划的指示，承包人应按该指示修订合同进度计划，报监理人审批。监理人应在（约定期限）内批复。工程师在批复前应获得发包人同意。</w:t>
      </w:r>
    </w:p>
    <w:p w14:paraId="4637A5C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14:paraId="4DC10C8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w:t>
      </w:r>
      <w:permStart w:id="88" w:edGrp="everyone"/>
      <w:r>
        <w:rPr>
          <w:rFonts w:hint="eastAsia" w:ascii="宋体" w:hAnsi="宋体" w:eastAsia="宋体" w:cs="宋体"/>
          <w:sz w:val="24"/>
          <w:szCs w:val="24"/>
          <w:u w:val="single"/>
        </w:rPr>
        <w:t>竣工时间</w:t>
      </w:r>
      <w:permEnd w:id="88"/>
      <w:r>
        <w:rPr>
          <w:rFonts w:hint="eastAsia" w:ascii="宋体" w:hAnsi="宋体" w:eastAsia="宋体" w:cs="宋体"/>
          <w:sz w:val="24"/>
          <w:szCs w:val="24"/>
        </w:rPr>
        <w:t>】，承包人应依据第2.5款【</w:t>
      </w:r>
      <w:permStart w:id="89" w:edGrp="everyone"/>
      <w:r>
        <w:rPr>
          <w:rFonts w:hint="eastAsia" w:ascii="宋体" w:hAnsi="宋体" w:eastAsia="宋体" w:cs="宋体"/>
          <w:i w:val="0"/>
          <w:iCs w:val="0"/>
          <w:sz w:val="24"/>
          <w:szCs w:val="24"/>
          <w:u w:val="single"/>
        </w:rPr>
        <w:t>发包人的索赔</w:t>
      </w:r>
      <w:permEnd w:id="89"/>
      <w:r>
        <w:rPr>
          <w:rFonts w:hint="eastAsia" w:ascii="宋体" w:hAnsi="宋体" w:eastAsia="宋体" w:cs="宋体"/>
          <w:sz w:val="24"/>
          <w:szCs w:val="24"/>
        </w:rPr>
        <w:t>】为此违约向发包人支付误期损害赔偿费。竣工工期每延后一天，承包人向发包人支付</w:t>
      </w:r>
      <w:sdt>
        <w:sdtPr>
          <w:rPr>
            <w:rFonts w:hint="eastAsia" w:ascii="宋体" w:hAnsi="宋体" w:eastAsia="宋体" w:cs="宋体"/>
            <w:kern w:val="2"/>
            <w:sz w:val="28"/>
            <w:szCs w:val="36"/>
            <w:lang w:val="en-US" w:eastAsia="zh-CN" w:bidi="ar-SA"/>
          </w:rPr>
          <w:alias w:val="违约金不应过分高于或低于实际损失。"/>
          <w:tag w:val="日违约金金额"/>
          <w:id w:val="476764164"/>
          <w:placeholder>
            <w:docPart w:val="{b6e09d04-89da-4f94-ac9b-971ea24c4db2}"/>
          </w:placeholder>
          <w:text w:multiLine="1"/>
        </w:sdtPr>
        <w:sdtEndPr>
          <w:rPr>
            <w:rFonts w:hint="eastAsia" w:ascii="宋体" w:hAnsi="宋体" w:eastAsia="宋体" w:cs="宋体"/>
            <w:kern w:val="2"/>
            <w:sz w:val="24"/>
            <w:szCs w:val="24"/>
            <w:lang w:val="en-US" w:eastAsia="zh-CN" w:bidi="ar-SA"/>
          </w:rPr>
        </w:sdtEndPr>
        <w:sdtContent>
          <w:permStart w:id="90"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sz w:val="24"/>
              <w:szCs w:val="24"/>
              <w:lang w:val="en-US" w:eastAsia="zh-CN"/>
            </w:rPr>
            <w:t>万</w:t>
          </w:r>
          <w:permEnd w:id="90"/>
        </w:sdtContent>
      </w:sdt>
      <w:r>
        <w:rPr>
          <w:rFonts w:hint="eastAsia" w:ascii="宋体" w:hAnsi="宋体" w:eastAsia="宋体" w:cs="宋体"/>
          <w:sz w:val="24"/>
          <w:szCs w:val="24"/>
        </w:rPr>
        <w:t>元，以此计算，累计总额不应超过</w:t>
      </w:r>
      <w:sdt>
        <w:sdtPr>
          <w:rPr>
            <w:rFonts w:hint="eastAsia" w:ascii="宋体" w:hAnsi="宋体" w:eastAsia="宋体" w:cs="宋体"/>
            <w:sz w:val="24"/>
            <w:szCs w:val="24"/>
            <w:lang w:val="en-US" w:eastAsia="zh-CN"/>
          </w:rPr>
          <w:alias w:val="违约金不应过分高于或低于实际损失。"/>
          <w:tag w:val="违约金金额"/>
          <w:id w:val="713817391"/>
          <w:placeholder>
            <w:docPart w:val="{b3c31c3e-c9d6-4e74-809a-73660709bddf}"/>
          </w:placeholder>
          <w:text w:multiLine="1"/>
        </w:sdtPr>
        <w:sdtEndPr>
          <w:rPr>
            <w:rFonts w:hint="eastAsia" w:ascii="宋体" w:hAnsi="宋体" w:eastAsia="宋体" w:cs="宋体"/>
            <w:sz w:val="24"/>
            <w:szCs w:val="24"/>
            <w:lang w:val="en-US" w:eastAsia="zh-CN"/>
          </w:rPr>
        </w:sdtEndPr>
        <w:sdtContent>
          <w:permStart w:id="91" w:edGrp="everyone"/>
          <w:r>
            <w:rPr>
              <w:rFonts w:hint="eastAsia" w:ascii="宋体" w:hAnsi="宋体" w:eastAsia="宋体" w:cs="宋体"/>
              <w:sz w:val="24"/>
              <w:szCs w:val="24"/>
              <w:u w:val="single"/>
              <w:lang w:val="en-US" w:eastAsia="zh-CN"/>
            </w:rPr>
            <w:t xml:space="preserve">     万</w:t>
          </w:r>
          <w:permEnd w:id="91"/>
        </w:sdtContent>
      </w:sdt>
      <w:r>
        <w:rPr>
          <w:rFonts w:hint="eastAsia" w:ascii="宋体" w:hAnsi="宋体" w:eastAsia="宋体" w:cs="宋体"/>
          <w:sz w:val="24"/>
          <w:szCs w:val="24"/>
        </w:rPr>
        <w:t>元。</w:t>
      </w:r>
    </w:p>
    <w:p w14:paraId="0BFE3A19">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14:paraId="6C7C6D4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14:paraId="0883B4E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增加以下内容到第9.1款：</w:t>
      </w:r>
    </w:p>
    <w:p w14:paraId="52753D8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承包人按照法律规定和合同约定编制竣工资料，提交的竣工资料按照如下具体要求移交给发包人。</w:t>
      </w:r>
    </w:p>
    <w:p w14:paraId="2CB75C6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（1）工程竣工后30天内，应将下列资料移交发包人：</w:t>
      </w:r>
    </w:p>
    <w:p w14:paraId="00D173A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（a）修改后的竣工图二套；</w:t>
      </w:r>
    </w:p>
    <w:p w14:paraId="7F2A8F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（b）设计变更通知书及设计变更通知一览表（包括施工图会审纪要）；</w:t>
      </w:r>
    </w:p>
    <w:p w14:paraId="37F7C1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（c）承包人购买的原材料（半成品）及设备、器材出厂质量合格证明或试验记录、材料代用清单、材料使用清册、材料来源依据等；</w:t>
      </w:r>
    </w:p>
    <w:p w14:paraId="3FD8B2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（d）工程试验报告或记录、单位工程质量验收与评定记录；</w:t>
      </w:r>
    </w:p>
    <w:p w14:paraId="67C6E9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（e）未按设计施工的各项明细表及附图；</w:t>
      </w:r>
    </w:p>
    <w:p w14:paraId="4008FF7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（f）施工缺陷处理明细表及附图；</w:t>
      </w:r>
    </w:p>
    <w:p w14:paraId="2E64A6E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（g）工程开工、竣工报告；</w:t>
      </w:r>
    </w:p>
    <w:p w14:paraId="72D8226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（h）中间验收、竣工验收签证书、移交生产交接书。</w:t>
      </w:r>
    </w:p>
    <w:p w14:paraId="628DE08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（2）工程竣工后30天内，应将下列施工（或安装、调试）记录（或报告）移交发包人：</w:t>
      </w:r>
    </w:p>
    <w:p w14:paraId="556E8D5E">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架空线路部分：</w:t>
      </w:r>
    </w:p>
    <w:p w14:paraId="304268A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（a）基础工程施工检查记录表；</w:t>
      </w:r>
    </w:p>
    <w:p w14:paraId="0DF378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（b）铁塔工程施工检查记录表；</w:t>
      </w:r>
    </w:p>
    <w:p w14:paraId="79DA9EC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（c）导、地线压接、补修施工检查记录表；</w:t>
      </w:r>
    </w:p>
    <w:p w14:paraId="2A4F35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（d）架线弛度施工检查记录表；</w:t>
      </w:r>
    </w:p>
    <w:p w14:paraId="021DF6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（e）跳线安装记录表；</w:t>
      </w:r>
    </w:p>
    <w:p w14:paraId="4E88413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（f）附件安装记录表；</w:t>
      </w:r>
    </w:p>
    <w:p w14:paraId="7AEB590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（g）交叉跨越及风偏记录表；</w:t>
      </w:r>
    </w:p>
    <w:p w14:paraId="66E48CA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（h）接地施工检查记录表；</w:t>
      </w:r>
    </w:p>
    <w:p w14:paraId="31C4DC4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（i）通道处理检查记录表；</w:t>
      </w:r>
    </w:p>
    <w:p w14:paraId="5E019A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（j）其他有关的记录表等。</w:t>
      </w:r>
    </w:p>
    <w:p w14:paraId="68DC75B9">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电缆线路部分：</w:t>
      </w:r>
    </w:p>
    <w:p w14:paraId="19917C3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（a）电缆沟工程施工检查记录表；</w:t>
      </w:r>
    </w:p>
    <w:p w14:paraId="7BC272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（b）电缆施工检查记录表；</w:t>
      </w:r>
    </w:p>
    <w:p w14:paraId="78787D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（c）电缆接头施工检查记录表；</w:t>
      </w:r>
    </w:p>
    <w:p w14:paraId="1B8AF29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（d）导体电阻测量记录表； </w:t>
      </w:r>
    </w:p>
    <w:p w14:paraId="0BAC06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（e）电缆的电感、电容测量，正序及零序阻抗的测量记录表；</w:t>
      </w:r>
    </w:p>
    <w:p w14:paraId="24831D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（f）主绝缘高压试验记录表；</w:t>
      </w:r>
    </w:p>
    <w:p w14:paraId="166A13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（g）电缆PE外护层耐压试验记录表；</w:t>
      </w:r>
    </w:p>
    <w:p w14:paraId="63C4849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（h）电缆外护层绝缘保护器试验检查记录表；</w:t>
      </w:r>
    </w:p>
    <w:p w14:paraId="4A03077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（i）电阻特性试验及内部电阻绝缘试验检查记录表；</w:t>
      </w:r>
    </w:p>
    <w:p w14:paraId="752C631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（j）安装工程施工检查记录表；</w:t>
      </w:r>
    </w:p>
    <w:p w14:paraId="1772A91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（k）其他有关的记录表等。</w:t>
      </w:r>
    </w:p>
    <w:p w14:paraId="2726365B">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变电部分：</w:t>
      </w:r>
    </w:p>
    <w:p w14:paraId="1A21099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（a）安装工程施工检查记录表；</w:t>
      </w:r>
    </w:p>
    <w:p w14:paraId="62222A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（b）其他有关的记录表等。</w:t>
      </w:r>
    </w:p>
    <w:p w14:paraId="4B7411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（3）移交给项目发包人的各种资料和记录必须齐全，装订整齐，一式三份；</w:t>
      </w:r>
    </w:p>
    <w:p w14:paraId="55A8A2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（4）各种施工记录必须按原始记录填写，经驻现场监理工程师中间检查合格并签署意见；</w:t>
      </w:r>
    </w:p>
    <w:p w14:paraId="46B5241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（5）完整的竣工结算资料包括：工程结算书、重大设计变更批复文件、设计变更单、签证单、开竣工报告及其他记录等，一式四份（含电子版一份）；</w:t>
      </w:r>
    </w:p>
    <w:p w14:paraId="269FFF8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（6）以上所有资料均应按电子化移交的相关规定提交电子化文件。</w:t>
      </w:r>
    </w:p>
    <w:p w14:paraId="46D29E48">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14:paraId="4C058D21">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11.1 完成扫尾工作和修补缺陷</w:t>
      </w:r>
    </w:p>
    <w:p w14:paraId="0F500E3E">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u w:val="single"/>
          <w:lang w:eastAsia="zh-CN" w:bidi="ar"/>
        </w:rPr>
      </w:pPr>
      <w:r>
        <w:rPr>
          <w:rFonts w:hint="eastAsia" w:ascii="宋体" w:hAnsi="宋体" w:eastAsia="宋体" w:cs="宋体"/>
          <w:kern w:val="0"/>
          <w:sz w:val="24"/>
          <w:szCs w:val="24"/>
          <w:lang w:bidi="ar"/>
        </w:rPr>
        <w:t>缺陷责任期的具体期限：</w:t>
      </w:r>
      <w:sdt>
        <w:sdtPr>
          <w:rPr>
            <w:rFonts w:hint="eastAsia" w:ascii="宋体" w:hAnsi="宋体" w:eastAsia="宋体" w:cs="宋体"/>
            <w:kern w:val="2"/>
            <w:sz w:val="28"/>
            <w:szCs w:val="36"/>
            <w:lang w:val="en-US" w:eastAsia="zh-CN" w:bidi="ar-SA"/>
          </w:rPr>
          <w:alias w:val="工程缺陷责任期不得超过2年"/>
          <w:tag w:val="质保期限"/>
          <w:id w:val="285238395"/>
          <w:placeholder>
            <w:docPart w:val="{e8241c9f-4ba0-43de-8c1c-bbbdff8f160b}"/>
          </w:placeholder>
          <w:text w:multiLine="1"/>
        </w:sdtPr>
        <w:sdtEndPr>
          <w:rPr>
            <w:rFonts w:hint="eastAsia" w:ascii="宋体" w:hAnsi="宋体" w:eastAsia="宋体" w:cs="宋体"/>
            <w:kern w:val="2"/>
            <w:sz w:val="28"/>
            <w:szCs w:val="36"/>
            <w:lang w:val="en-US" w:eastAsia="zh-CN" w:bidi="ar-SA"/>
          </w:rPr>
        </w:sdtEndPr>
        <w:sdtContent>
          <w:permStart w:id="92" w:edGrp="everyone"/>
          <w:r>
            <w:rPr>
              <w:rFonts w:hint="eastAsia" w:ascii="宋体" w:hAnsi="宋体" w:eastAsia="宋体" w:cs="宋体"/>
              <w:kern w:val="2"/>
              <w:sz w:val="28"/>
              <w:szCs w:val="36"/>
              <w:u w:val="single"/>
              <w:lang w:val="en-US" w:eastAsia="zh-CN" w:bidi="ar-SA"/>
            </w:rPr>
            <w:t xml:space="preserve">      </w:t>
          </w:r>
        </w:sdtContent>
      </w:sdt>
    </w:p>
    <w:permEnd w:id="92"/>
    <w:p w14:paraId="4E71E910">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工程质量保修范围、期限和责任：</w:t>
      </w:r>
    </w:p>
    <w:p w14:paraId="2AF6E2D9">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具备验收条件，承包人提交验收申请报告后，发包人及时组织验收。由于承包人原因无法按规定期限进行竣工验收的，缺陷责任期从实际通过竣工验收之日起计；由于发包人原因导致工程无法按规定期限进行竣工验收的，在承包人提交竣工验收报告90天后，工程自动进入缺陷责任期。</w:t>
      </w:r>
    </w:p>
    <w:p w14:paraId="54A52017">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在暂时停工的情况下，缺陷责任期或保修期的持续不得超过在工程设备本应交付（但由于此暂定而未交付）之日以后的730天（线路工程）、365天（变电工程）。</w:t>
      </w:r>
    </w:p>
    <w:p w14:paraId="088CDEB8">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若工程竣工验收取得竣工验收证明后，由于客观原因不能立即投运，承包人负责免费保管，时间为半年。在此约定时间以外的承包人的保管，项目发包人另行付费，价格由双方协商确定。</w:t>
      </w:r>
    </w:p>
    <w:p w14:paraId="0DE096DD">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基建工程实行质量保修、工程质量总结、回访制度。承包人在提交工程竣工验收报告时，应当出具质量保修书，质量保修书中应当明确工程的保修范围、保修期限和保修责任等。</w:t>
      </w:r>
    </w:p>
    <w:p w14:paraId="561698AF">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工程投产时对验收遗留问题进行分类，对属于投产后必须处理的，列入缺陷清单，缺陷必须在工程缺陷责任期的一半时间内完成处理。</w:t>
      </w:r>
    </w:p>
    <w:p w14:paraId="5D96C828">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在保修范围和保修期限内发生质量缺陷的，承包人应当履行保修义务。情况严重的，发包人应责令责任单位对该项工程无偿进行局部或全面返工。</w:t>
      </w:r>
    </w:p>
    <w:p w14:paraId="7B8DF932">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承包人的缺陷消除时间须按发包人要求完成，受停电或其他客观因素影响 ，由承包人书面提出，并经运行管理单位审批后可适当延长缺陷处理时间。</w:t>
      </w:r>
    </w:p>
    <w:p w14:paraId="57597B9A">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工程缺陷责任期过半时，业主项目部向运行管理单位、档案管理部门发出《工程项目缺陷责任期通知》，确认缺陷处理情况和档案移交情况。</w:t>
      </w:r>
    </w:p>
    <w:p w14:paraId="5179D1BB">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若承包人提出不处理或处理不积极，且经发包人书面催促后仍未按要求时间处理，且没有申请延长缺陷处理时间，发包人可自行委托其他单位处理对应缺陷，同时启动工程质量保证金扣除或保函兑现流程，用于支付缺陷处理费用。</w:t>
      </w:r>
    </w:p>
    <w:p w14:paraId="7E7F8A6C">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若缺陷处理费用超过工程质量保证金额度，承包人应按第2.5款【发包人的索赔】的规定向发包人支付该笔缺陷处理费用。</w:t>
      </w:r>
    </w:p>
    <w:p w14:paraId="06CBF70D">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工程缺陷受停电或其他非承包人责任因素影响，在工程缺陷责任期届满仍无法完成缺陷处理的，承包人出具《工程项目遗留缺陷处理承诺书》，工程缺陷责任期结束。</w:t>
      </w:r>
    </w:p>
    <w:p w14:paraId="4184A8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lang w:bidi="ar"/>
        </w:rPr>
        <w:t>工程缺陷责任期到期时，运行管理单位与承包人对缺陷处理情况存在争议，双方协商解决。</w:t>
      </w:r>
    </w:p>
    <w:p w14:paraId="3BAFD1CC">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14:paraId="459CAEF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需测量的工程 </w:t>
      </w:r>
    </w:p>
    <w:p w14:paraId="32DF809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增加以下内容到第12.1款：</w:t>
      </w:r>
    </w:p>
    <w:p w14:paraId="55AF583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承包人负责在甲供物资（发包人提供的物资）到货后3个工作日内，做好甲供物资到货量登记；在甲供物资使用后3个工作日内，做好甲供物资使用量登记；在工程投产后一个月内办理物资退料。</w:t>
      </w:r>
    </w:p>
    <w:p w14:paraId="0D661459">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14:paraId="37BCC5E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有权变更 </w:t>
      </w:r>
    </w:p>
    <w:p w14:paraId="727F014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替换以下内容到第13.1款：</w:t>
      </w:r>
    </w:p>
    <w:p w14:paraId="030950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变更权限按照《南方电网有限责任公司基建技术管理办法》及其项目所在分子公司相关管理细则的要求执行，按先审批后执行的原则进行管理，按权限进行审批。</w:t>
      </w:r>
    </w:p>
    <w:p w14:paraId="7695BDB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13.2 价值工程</w:t>
      </w:r>
    </w:p>
    <w:p w14:paraId="2C93A64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7220AB3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变更程序 </w:t>
      </w:r>
    </w:p>
    <w:p w14:paraId="755303F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增加以下内容到第13.3款：</w:t>
      </w:r>
    </w:p>
    <w:p w14:paraId="328E715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变更程序按照《南方电网有限责任公司基建技术管理办法》及其项目所在分子公司相关管理细则的要求执行，按先审批后执行的原则进行管理，按权限进行审批。</w:t>
      </w:r>
    </w:p>
    <w:p w14:paraId="2A45072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13.3.1 变更估价的原则 </w:t>
      </w:r>
    </w:p>
    <w:p w14:paraId="34D2C154">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w:t>
      </w:r>
    </w:p>
    <w:p w14:paraId="64E1E3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（1）一般规定</w:t>
      </w:r>
    </w:p>
    <w:p w14:paraId="5E4E234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以下事项（但不限于）发生，发承包双方应当按合同约定调整合同价款：</w:t>
      </w:r>
    </w:p>
    <w:p w14:paraId="310B68B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法律法规变化。</w:t>
      </w:r>
    </w:p>
    <w:p w14:paraId="53D914B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（b）工程变更。</w:t>
      </w:r>
    </w:p>
    <w:p w14:paraId="5A1903C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（c）项目特征描述不符。</w:t>
      </w:r>
    </w:p>
    <w:p w14:paraId="7549D97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（d）工程量清单缺项。</w:t>
      </w:r>
    </w:p>
    <w:p w14:paraId="01BAACC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（e）工程量偏差。</w:t>
      </w:r>
    </w:p>
    <w:p w14:paraId="28E6F3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（f）发承包双方约定的其他调整事项。</w:t>
      </w:r>
    </w:p>
    <w:p w14:paraId="2ABA254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（2）如发包人与承包人对合同价款调整不能达成一致</w:t>
      </w:r>
      <w:r>
        <w:rPr>
          <w:rFonts w:hint="eastAsia" w:ascii="宋体" w:hAnsi="宋体" w:cs="宋体"/>
          <w:sz w:val="24"/>
          <w:szCs w:val="24"/>
          <w:lang w:val="en-US" w:eastAsia="zh-CN"/>
        </w:rPr>
        <w:t>意见</w:t>
      </w:r>
      <w:r>
        <w:rPr>
          <w:rFonts w:hint="eastAsia" w:ascii="宋体" w:hAnsi="宋体" w:eastAsia="宋体" w:cs="宋体"/>
          <w:sz w:val="24"/>
          <w:szCs w:val="24"/>
        </w:rPr>
        <w:t>的，只要不实质影响发承包双方履约的，双方应继续履行合同义务，直到其按照合同约定的争议解决方式得到处理。</w:t>
      </w:r>
    </w:p>
    <w:p w14:paraId="1BA9737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（3）经发承包双方确认调整的合同价款，作为追加（减)合同价款，与工程进度款或结算款同期支付。</w:t>
      </w:r>
    </w:p>
    <w:p w14:paraId="6E86C5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（4）本次中标合同价款中总价包干部分，一般不予调整；中标合同价款中的错项（含漏项、多项）结算时视为已包括在其他工程子项的报价中，不予调整。</w:t>
      </w:r>
    </w:p>
    <w:p w14:paraId="3C59187A">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w:t>
      </w:r>
    </w:p>
    <w:p w14:paraId="23077F6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中标合同（含投标文件）已有的价格如出现明显不合理（指合同价格偏离市场价格及现行定额水平±20％以上）的单价和费率，项目发包人有权按照现行相关规定的单价和标准执行。</w:t>
      </w:r>
    </w:p>
    <w:p w14:paraId="47F9CAD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法规变化引起的调整 </w:t>
      </w:r>
    </w:p>
    <w:p w14:paraId="339B268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以下内容增加到第13.7款：</w:t>
      </w:r>
    </w:p>
    <w:p w14:paraId="43DA49F5">
      <w:pPr>
        <w:pStyle w:val="18"/>
        <w:numPr>
          <w:ilvl w:val="0"/>
          <w:numId w:val="9"/>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清单计价模式的约定：</w:t>
      </w:r>
      <w:r>
        <w:rPr>
          <w:rFonts w:hint="eastAsia" w:ascii="宋体" w:hAnsi="宋体" w:cs="宋体"/>
          <w:sz w:val="24"/>
          <w:szCs w:val="24"/>
          <w:lang w:val="en-US" w:eastAsia="zh-CN"/>
        </w:rPr>
        <w:t xml:space="preserve"> </w:t>
      </w:r>
    </w:p>
    <w:p w14:paraId="65EE73F8">
      <w:pPr>
        <w:pStyle w:val="18"/>
        <w:numPr>
          <w:ilvl w:val="-1"/>
          <w:numId w:val="0"/>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招标工程以投标截止日前28天，非招标工程以合同签订前28天为基准日，其后国家的法律、法规、规章和政策发生变化引起工程造价增减变化的，发承包双方应当按照各级政府部门、行业建设主管部门或电力工程造价管理机构据此发布的规定调整合同价款。</w:t>
      </w:r>
    </w:p>
    <w:p w14:paraId="3284060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因承包人原因导致工期延误，在合同工程原定竣工时间之后，合同价款调增的不予调整，合同价款调减的予以调整。</w:t>
      </w:r>
    </w:p>
    <w:p w14:paraId="0A292D7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（二）定额计价模式的约定：总价包干，除税金因国家最新税收政策调整外，一般不作调整。</w:t>
      </w:r>
    </w:p>
    <w:p w14:paraId="6B26A97E">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费用变化引起的调整 </w:t>
      </w:r>
    </w:p>
    <w:p w14:paraId="5A1F685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以下内容替换到第13.8款：</w:t>
      </w:r>
    </w:p>
    <w:p w14:paraId="2D4367E9">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（一）清单计价模式的约定：</w:t>
      </w:r>
    </w:p>
    <w:p w14:paraId="214482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14:paraId="69187FC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（1）已标价工程量清单或预算书有相同项目的，按照相同项目单价认定；</w:t>
      </w:r>
    </w:p>
    <w:p w14:paraId="43DC240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（2）已标价工程量清单或预算书中无相同项目，但有类似项目的，参照类似项目的单价认定；</w:t>
      </w:r>
    </w:p>
    <w:p w14:paraId="15A15A9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w:t>
      </w:r>
      <w:r>
        <w:rPr>
          <w:rFonts w:hint="eastAsia" w:ascii="宋体" w:hAnsi="宋体" w:cs="宋体"/>
          <w:sz w:val="24"/>
          <w:szCs w:val="24"/>
          <w:lang w:val="en-US" w:eastAsia="zh-CN"/>
        </w:rPr>
        <w:t>13.8.4条的规定</w:t>
      </w:r>
      <w:r>
        <w:rPr>
          <w:rFonts w:hint="eastAsia" w:ascii="宋体" w:hAnsi="宋体" w:eastAsia="宋体" w:cs="宋体"/>
          <w:sz w:val="24"/>
          <w:szCs w:val="24"/>
        </w:rPr>
        <w:t>确定变更工作的单价。</w:t>
      </w:r>
    </w:p>
    <w:p w14:paraId="1D7F57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13.8.1工程变更</w:t>
      </w:r>
    </w:p>
    <w:p w14:paraId="31932DE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（1）工程变更引起招标工程量清单项目或其工程量发生变化，应按照下列规定调整</w:t>
      </w:r>
      <w:r>
        <w:rPr>
          <w:rFonts w:hint="eastAsia" w:ascii="宋体" w:hAnsi="宋体" w:eastAsia="宋体" w:cs="宋体"/>
          <w:sz w:val="24"/>
          <w:szCs w:val="24"/>
          <w:lang w:eastAsia="zh-CN"/>
        </w:rPr>
        <w:t>：</w:t>
      </w:r>
    </w:p>
    <w:p w14:paraId="756E61E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招标工程量清单中有适用于变更工程项目的，采用该项目的综合单价</w:t>
      </w:r>
      <w:r>
        <w:rPr>
          <w:rFonts w:hint="eastAsia" w:ascii="宋体" w:hAnsi="宋体" w:eastAsia="宋体" w:cs="宋体"/>
          <w:sz w:val="24"/>
          <w:szCs w:val="24"/>
          <w:lang w:eastAsia="zh-CN"/>
        </w:rPr>
        <w:t>；</w:t>
      </w:r>
      <w:r>
        <w:rPr>
          <w:rFonts w:hint="eastAsia" w:ascii="宋体" w:hAnsi="宋体" w:eastAsia="宋体" w:cs="宋体"/>
          <w:sz w:val="24"/>
          <w:szCs w:val="24"/>
        </w:rPr>
        <w:t>但当工程变更导致该清单项目的工程量发生变化，且工程偏差超过15%，此时，该项目综合单价应按照13.8.4条的规定调整。</w:t>
      </w:r>
    </w:p>
    <w:p w14:paraId="45B986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招标工程量清单中没有适用、但有类似于变更工程项目的，可在合理范围内参照类似项目的综合单价。</w:t>
      </w:r>
    </w:p>
    <w:p w14:paraId="4DE34D5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14:paraId="4D5E7B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招标工程：承包人报价浮动率L=（1-中标价/招标控制价)×100%;</w:t>
      </w:r>
    </w:p>
    <w:p w14:paraId="343FD21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非招标工程：承包人报价浮动率L=（1-报价值/施工图预算)×100%;</w:t>
      </w:r>
    </w:p>
    <w:p w14:paraId="582EC51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14:paraId="3932F0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14:paraId="463063C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安全文明施工费按照实际发生变化的措施项目依据行业费用计算标准的规定计算，如按照系数计算的安全文明施工费，则按变化后的施工费乘以行业规定系数调整计算，且不考虑投标下浮。</w:t>
      </w:r>
    </w:p>
    <w:p w14:paraId="476318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采用综合单价计算的措施项目费，按照实际发生变化的措施项目按</w:t>
      </w:r>
      <w:r>
        <w:rPr>
          <w:rFonts w:hint="eastAsia" w:ascii="宋体" w:hAnsi="宋体" w:cs="宋体"/>
          <w:sz w:val="24"/>
          <w:szCs w:val="24"/>
          <w:lang w:val="en-US" w:eastAsia="zh-CN"/>
        </w:rPr>
        <w:t>13.8.4</w:t>
      </w:r>
      <w:r>
        <w:rPr>
          <w:rFonts w:hint="eastAsia" w:ascii="宋体" w:hAnsi="宋体" w:eastAsia="宋体" w:cs="宋体"/>
          <w:sz w:val="24"/>
          <w:szCs w:val="24"/>
        </w:rPr>
        <w:t>条的规定确定综合单价。</w:t>
      </w:r>
    </w:p>
    <w:p w14:paraId="25F84FD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按总价（或系数）计算的措施项目费，按照实际发生变化的措施项目调整，但应考虑承包人报价浮动因素，即调整金额按照实际调整金额乘以</w:t>
      </w:r>
      <w:r>
        <w:rPr>
          <w:rFonts w:hint="eastAsia" w:ascii="宋体" w:hAnsi="宋体" w:cs="宋体"/>
          <w:sz w:val="24"/>
          <w:szCs w:val="24"/>
          <w:lang w:val="en-US" w:eastAsia="zh-CN"/>
        </w:rPr>
        <w:t>13.8.4</w:t>
      </w:r>
      <w:r>
        <w:rPr>
          <w:rFonts w:hint="eastAsia" w:ascii="宋体" w:hAnsi="宋体" w:eastAsia="宋体" w:cs="宋体"/>
          <w:sz w:val="24"/>
          <w:szCs w:val="24"/>
        </w:rPr>
        <w:t>条规定的承包人报价浮动率计算。</w:t>
      </w:r>
    </w:p>
    <w:p w14:paraId="3B9B28E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如果承包人未事先将拟实施的方案提交给发包人确认，则视为工程变更不引起措施项目费的调整或承包人放弃调整措施项目费的权利。</w:t>
      </w:r>
    </w:p>
    <w:p w14:paraId="59BDB96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14:paraId="4033464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（4）因承包人原因造成工程质量达不到规范要求出现报废或返工增加的费用，不予调整合同价款。</w:t>
      </w:r>
    </w:p>
    <w:p w14:paraId="026D6FB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13.8.2 特征描述不符</w:t>
      </w:r>
    </w:p>
    <w:p w14:paraId="1EFDE3F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14:paraId="269A2D1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14:paraId="1145DA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13.8.3工程量清单缺项</w:t>
      </w:r>
    </w:p>
    <w:p w14:paraId="6A2AE589">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应被认为是准确的和全面的，并且与实际施工要求相符合。如承包人发现招标工程量清单与招标图纸存在差异，应在投标阶段提出答疑，否则不予调整，承包人应按照发包人提供的招标工程量清单，根据其项目特征描述的内容及有关要求实施合同工程，直到项目被改变为止。</w:t>
      </w:r>
    </w:p>
    <w:p w14:paraId="63E8593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（2）合同履行期间，如出现设计图纸（含设计变更）与招标工程量清单不符或缺项的，新增分部分项工程量清单项目的，应按照第13.8.1条的规定规定确定综合单价，调整合同价款。</w:t>
      </w:r>
    </w:p>
    <w:p w14:paraId="33DEA36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（3）新增分部分项工程量清单后，引起措施项目发生变化的，应按照第13.8.1条的规定，在承包人提交的实施方案被发包人批准后，计算调整合同价款。</w:t>
      </w:r>
    </w:p>
    <w:p w14:paraId="39A7355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13.8.4 工程量偏差</w:t>
      </w:r>
    </w:p>
    <w:p w14:paraId="055D4E2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合同履行期间，若实际工程量与招标工程量清单出现偏差，且符合本</w:t>
      </w:r>
      <w:r>
        <w:rPr>
          <w:rFonts w:hint="eastAsia" w:ascii="宋体" w:hAnsi="宋体" w:cs="宋体"/>
          <w:sz w:val="24"/>
          <w:szCs w:val="24"/>
          <w:lang w:val="en-US" w:eastAsia="zh-CN"/>
        </w:rPr>
        <w:t>条</w:t>
      </w:r>
      <w:r>
        <w:rPr>
          <w:rFonts w:hint="eastAsia" w:ascii="宋体" w:hAnsi="宋体" w:eastAsia="宋体" w:cs="宋体"/>
          <w:sz w:val="24"/>
          <w:szCs w:val="24"/>
        </w:rPr>
        <w:t>13.8.4(2)、13.8.4(3)</w:t>
      </w:r>
      <w:r>
        <w:rPr>
          <w:rFonts w:hint="eastAsia" w:ascii="宋体" w:hAnsi="宋体" w:cs="宋体"/>
          <w:sz w:val="24"/>
          <w:szCs w:val="24"/>
          <w:lang w:val="en-US" w:eastAsia="zh-CN"/>
        </w:rPr>
        <w:t>款</w:t>
      </w:r>
      <w:r>
        <w:rPr>
          <w:rFonts w:hint="eastAsia" w:ascii="宋体" w:hAnsi="宋体" w:eastAsia="宋体" w:cs="宋体"/>
          <w:sz w:val="24"/>
          <w:szCs w:val="24"/>
        </w:rPr>
        <w:t>规定的，发承包双方应调整合同价款。</w:t>
      </w:r>
    </w:p>
    <w:p w14:paraId="0D21A4D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14:paraId="5B31330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当Q1&gt;1.15×Q0 时，S=1.15×Q0×P0+( Q1-1.15×Q0)×P0×0.9</w:t>
      </w:r>
    </w:p>
    <w:p w14:paraId="189B9D7E">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当Q1&lt;0.85×Q0 时，S= Q1×P0×1.1</w:t>
      </w:r>
    </w:p>
    <w:p w14:paraId="6281935C">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式中:S 表示调整后的某一分部分项工程费结算价；Q1表示最终完成的工程量；Q0表示招标工程量清单中列出的工程量；P0表示承包人在工程量清单中填报的综合单价。</w:t>
      </w:r>
    </w:p>
    <w:p w14:paraId="788A514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 如果工程量出现本</w:t>
      </w:r>
      <w:r>
        <w:rPr>
          <w:rFonts w:hint="eastAsia" w:ascii="宋体" w:hAnsi="宋体" w:cs="宋体"/>
          <w:sz w:val="24"/>
          <w:szCs w:val="24"/>
          <w:lang w:val="en-US" w:eastAsia="zh-CN"/>
        </w:rPr>
        <w:t>条</w:t>
      </w:r>
      <w:r>
        <w:rPr>
          <w:rFonts w:hint="eastAsia" w:ascii="宋体" w:hAnsi="宋体" w:eastAsia="宋体" w:cs="宋体"/>
          <w:sz w:val="24"/>
          <w:szCs w:val="24"/>
        </w:rPr>
        <w:t>第13.8.4(2)条的变化，且该变化引起相关措施项目相应发生变化， 如按总价项目(或系数〉计价的，工程量增加的措施项目费调增，工程量减少的措施项目费调减。</w:t>
      </w:r>
    </w:p>
    <w:p w14:paraId="1F405222">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（二）定额计价模式的约定：</w:t>
      </w:r>
    </w:p>
    <w:p w14:paraId="6BE23DD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本次中标合同价款中为包干价的，一般不予调整；中标合同价款中的错项（含漏项、多项）结算时不予调整；因承包人原因造成工程质量达不到规范要求出现报废或返工增加的费用，不予调整。除非是以下情况：</w:t>
      </w:r>
    </w:p>
    <w:p w14:paraId="627F6246">
      <w:pPr>
        <w:pStyle w:val="18"/>
        <w:numPr>
          <w:ilvl w:val="0"/>
          <w:numId w:val="10"/>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经项目发包人和监理工程师确认的现场签证或一项工程【（</w:t>
      </w:r>
      <w:permStart w:id="93" w:edGrp="everyone"/>
      <w:r>
        <w:rPr>
          <w:rFonts w:hint="eastAsia" w:ascii="宋体" w:hAnsi="宋体" w:eastAsia="宋体" w:cs="宋体"/>
          <w:sz w:val="24"/>
          <w:szCs w:val="24"/>
        </w:rPr>
        <w:t>指招标文件投标格式的表二（甲、乙、丙、丁）的最末一级）</w:t>
      </w:r>
      <w:permEnd w:id="93"/>
      <w:r>
        <w:rPr>
          <w:rFonts w:hint="eastAsia" w:ascii="宋体" w:hAnsi="宋体" w:eastAsia="宋体" w:cs="宋体"/>
          <w:sz w:val="24"/>
          <w:szCs w:val="24"/>
        </w:rPr>
        <w:t>】的工程量发生变更，依据第13.3款的原则估价后，经济数额超过H万元及以上时，此时调整原则为双向互调，但只针对该项工程超出H万元部分进行增减调整，与其他项工程无关。否则不予调整。</w:t>
      </w:r>
    </w:p>
    <w:p w14:paraId="18766EB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上述H值可下表查得 [H值按下表第【</w:t>
      </w:r>
      <w:permStart w:id="94" w:edGrp="everyone"/>
      <w:r>
        <w:rPr>
          <w:rFonts w:hint="eastAsia" w:ascii="宋体" w:hAnsi="宋体" w:eastAsia="宋体" w:cs="宋体"/>
          <w:sz w:val="24"/>
          <w:szCs w:val="24"/>
          <w:u w:val="single"/>
        </w:rPr>
        <w:t xml:space="preserve">    </w:t>
      </w:r>
      <w:permEnd w:id="94"/>
      <w:r>
        <w:rPr>
          <w:rFonts w:hint="eastAsia" w:ascii="宋体" w:hAnsi="宋体" w:eastAsia="宋体" w:cs="宋体"/>
          <w:sz w:val="24"/>
          <w:szCs w:val="24"/>
        </w:rPr>
        <w:t>】确定]</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0298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2517AD18">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合同一项工程中标价B（万元）</w:t>
            </w:r>
          </w:p>
        </w:tc>
        <w:tc>
          <w:tcPr>
            <w:tcW w:w="1559" w:type="dxa"/>
            <w:noWrap w:val="0"/>
            <w:vAlign w:val="center"/>
          </w:tcPr>
          <w:p w14:paraId="5C253CB4">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0&lt;B&lt;10</w:t>
            </w:r>
          </w:p>
        </w:tc>
        <w:tc>
          <w:tcPr>
            <w:tcW w:w="1417" w:type="dxa"/>
            <w:noWrap w:val="0"/>
            <w:vAlign w:val="center"/>
          </w:tcPr>
          <w:p w14:paraId="65D7C178">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10≦B&lt;50</w:t>
            </w:r>
          </w:p>
        </w:tc>
        <w:tc>
          <w:tcPr>
            <w:tcW w:w="1560" w:type="dxa"/>
            <w:noWrap w:val="0"/>
            <w:vAlign w:val="center"/>
          </w:tcPr>
          <w:p w14:paraId="1F025CB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50≦B&lt;100</w:t>
            </w:r>
          </w:p>
        </w:tc>
        <w:tc>
          <w:tcPr>
            <w:tcW w:w="1092" w:type="dxa"/>
            <w:noWrap w:val="0"/>
            <w:vAlign w:val="center"/>
          </w:tcPr>
          <w:p w14:paraId="531A8B65">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B≧100</w:t>
            </w:r>
          </w:p>
        </w:tc>
      </w:tr>
      <w:tr w14:paraId="1397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645ABC2">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（1）</w:t>
            </w:r>
          </w:p>
        </w:tc>
        <w:tc>
          <w:tcPr>
            <w:tcW w:w="2278" w:type="dxa"/>
            <w:noWrap w:val="0"/>
            <w:vAlign w:val="center"/>
          </w:tcPr>
          <w:p w14:paraId="6788724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H（万元）</w:t>
            </w:r>
          </w:p>
        </w:tc>
        <w:tc>
          <w:tcPr>
            <w:tcW w:w="1559" w:type="dxa"/>
            <w:noWrap w:val="0"/>
            <w:vAlign w:val="center"/>
          </w:tcPr>
          <w:p w14:paraId="53F5121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1</w:t>
            </w:r>
          </w:p>
        </w:tc>
        <w:tc>
          <w:tcPr>
            <w:tcW w:w="1417" w:type="dxa"/>
            <w:noWrap w:val="0"/>
            <w:vAlign w:val="center"/>
          </w:tcPr>
          <w:p w14:paraId="5507327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2</w:t>
            </w:r>
          </w:p>
        </w:tc>
        <w:tc>
          <w:tcPr>
            <w:tcW w:w="1560" w:type="dxa"/>
            <w:noWrap w:val="0"/>
            <w:vAlign w:val="center"/>
          </w:tcPr>
          <w:p w14:paraId="3ADF988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3</w:t>
            </w:r>
          </w:p>
        </w:tc>
        <w:tc>
          <w:tcPr>
            <w:tcW w:w="1092" w:type="dxa"/>
            <w:noWrap w:val="0"/>
            <w:vAlign w:val="center"/>
          </w:tcPr>
          <w:p w14:paraId="194CEC2D">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w:t>
            </w:r>
          </w:p>
        </w:tc>
      </w:tr>
      <w:tr w14:paraId="70BA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C5FF31B">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（2）</w:t>
            </w:r>
          </w:p>
        </w:tc>
        <w:tc>
          <w:tcPr>
            <w:tcW w:w="2278" w:type="dxa"/>
            <w:noWrap w:val="0"/>
            <w:vAlign w:val="center"/>
          </w:tcPr>
          <w:p w14:paraId="17566D98">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H为B的（%）</w:t>
            </w:r>
          </w:p>
        </w:tc>
        <w:tc>
          <w:tcPr>
            <w:tcW w:w="1559" w:type="dxa"/>
            <w:noWrap w:val="0"/>
            <w:vAlign w:val="center"/>
          </w:tcPr>
          <w:p w14:paraId="35AF794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417" w:type="dxa"/>
            <w:noWrap w:val="0"/>
            <w:vAlign w:val="center"/>
          </w:tcPr>
          <w:p w14:paraId="7DEEB2F0">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560" w:type="dxa"/>
            <w:noWrap w:val="0"/>
            <w:vAlign w:val="center"/>
          </w:tcPr>
          <w:p w14:paraId="58D8E03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092" w:type="dxa"/>
            <w:noWrap w:val="0"/>
            <w:vAlign w:val="center"/>
          </w:tcPr>
          <w:p w14:paraId="13A06790">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r>
      <w:tr w14:paraId="4AF9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5E88C648">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（3）</w:t>
            </w:r>
          </w:p>
        </w:tc>
        <w:tc>
          <w:tcPr>
            <w:tcW w:w="2278" w:type="dxa"/>
            <w:noWrap w:val="0"/>
            <w:vAlign w:val="center"/>
          </w:tcPr>
          <w:p w14:paraId="4DF226F6">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w:t>
            </w:r>
          </w:p>
        </w:tc>
        <w:tc>
          <w:tcPr>
            <w:tcW w:w="1559" w:type="dxa"/>
            <w:noWrap w:val="0"/>
            <w:vAlign w:val="center"/>
          </w:tcPr>
          <w:p w14:paraId="5CD91ED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417" w:type="dxa"/>
            <w:noWrap w:val="0"/>
            <w:vAlign w:val="center"/>
          </w:tcPr>
          <w:p w14:paraId="7F2709E1">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560" w:type="dxa"/>
            <w:noWrap w:val="0"/>
            <w:vAlign w:val="center"/>
          </w:tcPr>
          <w:p w14:paraId="13367285">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092" w:type="dxa"/>
            <w:noWrap w:val="0"/>
            <w:vAlign w:val="center"/>
          </w:tcPr>
          <w:p w14:paraId="1FE5BFB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r>
    </w:tbl>
    <w:p w14:paraId="01C18F9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注：多个单项工程时，按每单项单独计算。对于单项工程的取消，该单项价款即行核减。</w:t>
      </w:r>
    </w:p>
    <w:p w14:paraId="0DA5FE7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permStart w:id="95" w:edGrp="everyone"/>
      <w:r>
        <w:rPr>
          <w:rFonts w:hint="eastAsia" w:ascii="宋体" w:hAnsi="宋体" w:eastAsia="宋体" w:cs="宋体"/>
          <w:sz w:val="24"/>
          <w:szCs w:val="24"/>
          <w:u w:val="single"/>
        </w:rPr>
        <w:t xml:space="preserve">        </w:t>
      </w:r>
      <w:permEnd w:id="95"/>
      <w:r>
        <w:rPr>
          <w:rFonts w:hint="eastAsia" w:ascii="宋体" w:hAnsi="宋体" w:eastAsia="宋体" w:cs="宋体"/>
          <w:sz w:val="24"/>
          <w:szCs w:val="24"/>
        </w:rPr>
        <w:t>】按实际完成的工程量，以投标报价的原则结算。</w:t>
      </w:r>
    </w:p>
    <w:p w14:paraId="56F301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（c）设计变更管理执行中国南方电网有限责任公司基建工程设计管理规定。</w:t>
      </w:r>
    </w:p>
    <w:p w14:paraId="233EBE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一项工程变更工程量变化金额在H万元以下的，在工程竣工结算时，</w:t>
      </w:r>
      <w:r>
        <w:rPr>
          <w:rFonts w:hint="eastAsia" w:ascii="宋体" w:hAnsi="宋体" w:cs="宋体"/>
          <w:sz w:val="24"/>
          <w:szCs w:val="24"/>
          <w:lang w:val="en-US" w:eastAsia="zh-CN"/>
        </w:rPr>
        <w:t>已</w:t>
      </w:r>
      <w:r>
        <w:rPr>
          <w:rFonts w:hint="eastAsia" w:ascii="宋体" w:hAnsi="宋体" w:eastAsia="宋体" w:cs="宋体"/>
          <w:sz w:val="24"/>
          <w:szCs w:val="24"/>
        </w:rPr>
        <w:t>作的成本记录计算仅作为考核设计质量之用，不调整合同价款。</w:t>
      </w:r>
    </w:p>
    <w:p w14:paraId="23DC33A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（d）本合同中，因建设需要取消的单项工程，按中标合同价款中的相应费用减少合同价款。</w:t>
      </w:r>
    </w:p>
    <w:p w14:paraId="6E6863D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（e）其他：</w:t>
      </w:r>
      <w:sdt>
        <w:sdtPr>
          <w:rPr>
            <w:rFonts w:hint="eastAsia" w:ascii="宋体" w:hAnsi="宋体" w:eastAsia="宋体" w:cs="宋体"/>
            <w:color w:val="C00000"/>
            <w:kern w:val="2"/>
            <w:sz w:val="28"/>
            <w:szCs w:val="28"/>
            <w:u w:val="none"/>
            <w:lang w:val="en-US" w:eastAsia="zh-CN" w:bidi="ar-SA"/>
          </w:rPr>
          <w:alias w:val="不填其他的，请划“/”"/>
          <w:id w:val="611183239"/>
          <w:placeholder>
            <w:docPart w:val="{1661a3a4-0eee-4ba6-acbf-3475ba36987f}"/>
          </w:placeholder>
          <w:text w:multiLine="1"/>
        </w:sdtPr>
        <w:sdtEndPr>
          <w:rPr>
            <w:rFonts w:hint="eastAsia" w:ascii="宋体" w:hAnsi="宋体" w:eastAsia="宋体" w:cs="宋体"/>
            <w:color w:val="C00000"/>
            <w:kern w:val="2"/>
            <w:sz w:val="28"/>
            <w:szCs w:val="28"/>
            <w:u w:val="single"/>
            <w:lang w:val="en-US" w:eastAsia="zh-CN" w:bidi="ar-SA"/>
          </w:rPr>
        </w:sdtEndPr>
        <w:sdtContent>
          <w:permStart w:id="96" w:edGrp="everyone"/>
          <w:r>
            <w:rPr>
              <w:rFonts w:hint="eastAsia" w:ascii="宋体" w:hAnsi="宋体" w:eastAsia="宋体" w:cs="宋体"/>
              <w:color w:val="auto"/>
              <w:sz w:val="28"/>
              <w:szCs w:val="28"/>
              <w:u w:val="single"/>
              <w:lang w:val="en-US" w:eastAsia="zh-CN"/>
            </w:rPr>
            <w:t xml:space="preserve">     </w:t>
          </w:r>
          <w:permEnd w:id="96"/>
        </w:sdtContent>
      </w:sdt>
    </w:p>
    <w:p w14:paraId="09EEAEE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13.9 </w:t>
      </w:r>
      <w:r>
        <w:rPr>
          <w:rFonts w:hint="eastAsia" w:ascii="宋体" w:hAnsi="宋体" w:eastAsia="宋体" w:cs="宋体"/>
          <w:kern w:val="0"/>
          <w:sz w:val="24"/>
          <w:szCs w:val="24"/>
        </w:rPr>
        <w:t>物价波动引起的价格调整</w:t>
      </w:r>
    </w:p>
    <w:p w14:paraId="7BAF6BDB">
      <w:pPr>
        <w:pStyle w:val="52"/>
        <w:kinsoku/>
        <w:wordWrap/>
        <w:overflowPunct/>
        <w:topLinePunct w:val="0"/>
        <w:bidi w:val="0"/>
        <w:spacing w:after="0" w:line="540" w:lineRule="exact"/>
        <w:ind w:left="0" w:leftChars="0" w:firstLine="482" w:firstLineChars="200"/>
        <w:rPr>
          <w:rFonts w:hint="eastAsia" w:ascii="宋体" w:hAnsi="宋体" w:eastAsia="宋体" w:cs="宋体"/>
          <w:sz w:val="24"/>
          <w:szCs w:val="24"/>
        </w:rPr>
      </w:pPr>
      <w:r>
        <w:rPr>
          <w:rFonts w:hint="eastAsia" w:ascii="宋体" w:hAnsi="宋体" w:eastAsia="宋体" w:cs="宋体"/>
          <w:sz w:val="24"/>
          <w:szCs w:val="24"/>
        </w:rPr>
        <w:t>由于承包人原因造成延期的项目单价均不予调整。</w:t>
      </w:r>
    </w:p>
    <w:p w14:paraId="0E4D7EBB">
      <w:pPr>
        <w:pStyle w:val="52"/>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kern w:val="0"/>
          <w:sz w:val="24"/>
          <w:szCs w:val="24"/>
        </w:rPr>
        <w:t>物价波动引起的价格调整，增加以下选项，具体调整内容各单位自行确定：</w:t>
      </w:r>
    </w:p>
    <w:p w14:paraId="51B6DAE6">
      <w:pPr>
        <w:pStyle w:val="52"/>
        <w:kinsoku/>
        <w:wordWrap/>
        <w:overflowPunct/>
        <w:topLinePunct w:val="0"/>
        <w:bidi w:val="0"/>
        <w:spacing w:after="0" w:line="540" w:lineRule="exact"/>
        <w:ind w:left="0" w:leftChars="0" w:firstLine="480" w:firstLineChars="200"/>
        <w:rPr>
          <w:rFonts w:hint="eastAsia" w:ascii="宋体" w:hAnsi="宋体" w:eastAsia="宋体" w:cs="宋体"/>
          <w:b w:val="0"/>
          <w:sz w:val="24"/>
          <w:szCs w:val="24"/>
        </w:rPr>
      </w:pPr>
      <w:permStart w:id="97" w:edGrp="everyone"/>
      <w:r>
        <w:rPr>
          <w:rFonts w:hint="eastAsia" w:ascii="宋体" w:hAnsi="宋体" w:eastAsia="宋体" w:cs="宋体"/>
          <w:b w:val="0"/>
          <w:sz w:val="24"/>
          <w:szCs w:val="24"/>
        </w:rPr>
        <w:t>13.9.1人工单价可调整的情况：</w:t>
      </w:r>
      <w:r>
        <w:rPr>
          <w:rFonts w:hint="eastAsia" w:ascii="宋体" w:hAnsi="宋体" w:eastAsia="宋体" w:cs="宋体"/>
          <w:bCs/>
          <w:sz w:val="24"/>
          <w:szCs w:val="24"/>
          <w:u w:val="single"/>
        </w:rPr>
        <w:t xml:space="preserve">                                    </w:t>
      </w:r>
      <w:r>
        <w:rPr>
          <w:rFonts w:hint="eastAsia" w:ascii="宋体" w:hAnsi="宋体" w:eastAsia="宋体" w:cs="宋体"/>
          <w:b w:val="0"/>
          <w:sz w:val="24"/>
          <w:szCs w:val="24"/>
          <w:u w:val="single"/>
        </w:rPr>
        <w:t xml:space="preserve"> 。</w:t>
      </w:r>
    </w:p>
    <w:p w14:paraId="6ECE8238">
      <w:pPr>
        <w:pStyle w:val="52"/>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u w:val="single"/>
        </w:rPr>
      </w:pPr>
      <w:r>
        <w:rPr>
          <w:rFonts w:hint="eastAsia" w:ascii="宋体" w:hAnsi="宋体" w:eastAsia="宋体" w:cs="宋体"/>
          <w:b w:val="0"/>
          <w:bCs/>
          <w:sz w:val="24"/>
          <w:szCs w:val="24"/>
        </w:rPr>
        <w:t xml:space="preserve">13.9.2 材料波动引起价格调整： </w:t>
      </w:r>
      <w:r>
        <w:rPr>
          <w:rFonts w:hint="eastAsia" w:ascii="宋体" w:hAnsi="宋体" w:eastAsia="宋体" w:cs="宋体"/>
          <w:b w:val="0"/>
          <w:bCs/>
          <w:sz w:val="24"/>
          <w:szCs w:val="24"/>
          <w:u w:val="single"/>
        </w:rPr>
        <w:t xml:space="preserve">                           </w:t>
      </w:r>
      <w:r>
        <w:rPr>
          <w:rFonts w:hint="eastAsia" w:ascii="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p>
    <w:p w14:paraId="2FF560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13.10 </w:t>
      </w:r>
      <w:r>
        <w:rPr>
          <w:rFonts w:hint="eastAsia" w:ascii="宋体" w:hAnsi="宋体" w:eastAsia="宋体" w:cs="宋体"/>
          <w:kern w:val="0"/>
          <w:sz w:val="24"/>
          <w:szCs w:val="24"/>
        </w:rPr>
        <w:t>其他因素引起的价格调整</w:t>
      </w:r>
      <w:r>
        <w:rPr>
          <w:rFonts w:hint="eastAsia" w:ascii="宋体" w:hAnsi="宋体" w:eastAsia="宋体" w:cs="宋体"/>
          <w:bCs/>
          <w:sz w:val="24"/>
          <w:szCs w:val="24"/>
        </w:rPr>
        <w:t xml:space="preserve">： </w:t>
      </w:r>
      <w:r>
        <w:rPr>
          <w:rFonts w:hint="eastAsia" w:ascii="宋体" w:hAnsi="宋体" w:eastAsia="宋体" w:cs="宋体"/>
          <w:bCs/>
          <w:sz w:val="24"/>
          <w:szCs w:val="24"/>
          <w:u w:val="single"/>
        </w:rPr>
        <w:t xml:space="preserve">                                   。</w:t>
      </w:r>
    </w:p>
    <w:permEnd w:id="97"/>
    <w:p w14:paraId="33DB3ED7">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14:paraId="1A3B211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14:paraId="695CA12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增加以下内容到第14.1款：</w:t>
      </w:r>
    </w:p>
    <w:p w14:paraId="2D22CAF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合同协议书中，发包人和承包人选择下列一种合同价格形式：</w:t>
      </w:r>
      <w:permStart w:id="98" w:edGrp="everyone"/>
      <w:r>
        <w:rPr>
          <w:rFonts w:hint="eastAsia" w:ascii="宋体" w:hAnsi="宋体" w:eastAsia="宋体" w:cs="宋体"/>
          <w:sz w:val="24"/>
          <w:szCs w:val="24"/>
        </w:rPr>
        <w:t>______（单价\总价）</w:t>
      </w:r>
      <w:permEnd w:id="98"/>
      <w:r>
        <w:rPr>
          <w:rFonts w:hint="eastAsia" w:ascii="宋体" w:hAnsi="宋体" w:eastAsia="宋体" w:cs="宋体"/>
          <w:sz w:val="24"/>
          <w:szCs w:val="24"/>
        </w:rPr>
        <w:t xml:space="preserve">合同。 </w:t>
      </w:r>
    </w:p>
    <w:p w14:paraId="7261BA4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14.2 </w:t>
      </w:r>
      <w:r>
        <w:rPr>
          <w:rFonts w:hint="eastAsia" w:ascii="宋体" w:hAnsi="宋体" w:eastAsia="宋体" w:cs="宋体"/>
          <w:sz w:val="24"/>
          <w:szCs w:val="24"/>
        </w:rPr>
        <w:tab/>
      </w:r>
      <w:r>
        <w:rPr>
          <w:rFonts w:hint="eastAsia" w:ascii="宋体" w:hAnsi="宋体" w:eastAsia="宋体" w:cs="宋体"/>
          <w:sz w:val="24"/>
          <w:szCs w:val="24"/>
        </w:rPr>
        <w:t>预付款</w:t>
      </w:r>
    </w:p>
    <w:p w14:paraId="2A8CCB1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增加以下内容到第14.2款：</w:t>
      </w:r>
    </w:p>
    <w:p w14:paraId="4B425FE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预付款支付比例或金额：（合同价-安全文明施工费）的</w:t>
      </w:r>
      <w:permStart w:id="99" w:edGrp="everyone"/>
      <w:r>
        <w:rPr>
          <w:rFonts w:hint="eastAsia" w:ascii="宋体" w:hAnsi="宋体" w:eastAsia="宋体" w:cs="宋体"/>
          <w:sz w:val="24"/>
          <w:szCs w:val="24"/>
          <w:u w:val="single"/>
        </w:rPr>
        <w:t xml:space="preserve"> 10％</w:t>
      </w:r>
      <w:permEnd w:id="99"/>
      <w:r>
        <w:rPr>
          <w:rFonts w:hint="eastAsia" w:ascii="宋体" w:hAnsi="宋体" w:eastAsia="宋体" w:cs="宋体"/>
          <w:sz w:val="24"/>
          <w:szCs w:val="24"/>
        </w:rPr>
        <w:t>。</w:t>
      </w:r>
    </w:p>
    <w:p w14:paraId="77ED134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支付期限：在承包人完成以下工作14天内监理工程师向项目发包人发出预付款支付证书（一份复印件送承包人）：</w:t>
      </w:r>
    </w:p>
    <w:p w14:paraId="6367B3C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合同和履约保函已生效；</w:t>
      </w:r>
    </w:p>
    <w:p w14:paraId="70C02FE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开工准备工作已开始。</w:t>
      </w:r>
    </w:p>
    <w:p w14:paraId="27950C2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预付款扣回的方式：在完成合同价款的</w:t>
      </w:r>
      <w:permStart w:id="100" w:edGrp="everyone"/>
      <w:r>
        <w:rPr>
          <w:rFonts w:hint="eastAsia" w:ascii="宋体" w:hAnsi="宋体" w:cs="宋体"/>
          <w:sz w:val="24"/>
          <w:szCs w:val="24"/>
          <w:lang w:val="en-US" w:eastAsia="zh-CN"/>
        </w:rPr>
        <w:t xml:space="preserve"> </w:t>
      </w:r>
      <w:r>
        <w:rPr>
          <w:rFonts w:hint="eastAsia" w:ascii="宋体" w:hAnsi="宋体" w:eastAsia="宋体" w:cs="宋体"/>
          <w:sz w:val="24"/>
          <w:szCs w:val="24"/>
          <w:u w:val="single"/>
        </w:rPr>
        <w:t>50％</w:t>
      </w:r>
      <w:permEnd w:id="100"/>
      <w:r>
        <w:rPr>
          <w:rFonts w:hint="eastAsia" w:ascii="宋体" w:hAnsi="宋体" w:eastAsia="宋体" w:cs="宋体"/>
          <w:sz w:val="24"/>
          <w:szCs w:val="24"/>
        </w:rPr>
        <w:t>后开始扣回，扣完为止。分两次扣回，每次抵扣预付款的50%，累计支付到合同价80%前扣完。</w:t>
      </w:r>
    </w:p>
    <w:p w14:paraId="6F8BEC47">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14.2.2安全文明施工费预付款</w:t>
      </w:r>
    </w:p>
    <w:p w14:paraId="502EA0A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安全文明施工费预付款比例或金额：安全文明施工费合同价的</w:t>
      </w:r>
      <w:permStart w:id="101" w:edGrp="everyone"/>
      <w:r>
        <w:rPr>
          <w:rFonts w:hint="eastAsia" w:ascii="宋体" w:hAnsi="宋体" w:eastAsia="宋体" w:cs="宋体"/>
          <w:sz w:val="24"/>
          <w:szCs w:val="24"/>
        </w:rPr>
        <w:t xml:space="preserve">   </w:t>
      </w:r>
      <w:permEnd w:id="101"/>
      <w:r>
        <w:rPr>
          <w:rFonts w:hint="eastAsia" w:ascii="宋体" w:hAnsi="宋体" w:eastAsia="宋体" w:cs="宋体"/>
          <w:sz w:val="24"/>
          <w:szCs w:val="24"/>
        </w:rPr>
        <w:t>%。</w:t>
      </w:r>
    </w:p>
    <w:p w14:paraId="2F286F6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安全文明施工费预付款在承包人递交预付款支付证书后，随预付款同步支付，或单独申请支付。</w:t>
      </w:r>
    </w:p>
    <w:p w14:paraId="13BAD84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14.2.3发包人在预付款支付时同时向承包人提供工程款支付担保，工程款支付担保比例或金额：合同价的</w:t>
      </w:r>
      <w:permStart w:id="102" w:edGrp="everyone"/>
      <w:r>
        <w:rPr>
          <w:rFonts w:hint="eastAsia" w:ascii="宋体" w:hAnsi="宋体" w:eastAsia="宋体" w:cs="宋体"/>
          <w:sz w:val="24"/>
          <w:szCs w:val="24"/>
        </w:rPr>
        <w:t xml:space="preserve">   </w:t>
      </w:r>
      <w:permEnd w:id="102"/>
      <w:r>
        <w:rPr>
          <w:rFonts w:hint="eastAsia" w:ascii="宋体" w:hAnsi="宋体" w:eastAsia="宋体" w:cs="宋体"/>
          <w:sz w:val="24"/>
          <w:szCs w:val="24"/>
        </w:rPr>
        <w:t>%。（合同金额50万元及以下，不需要提供担保。）</w:t>
      </w:r>
    </w:p>
    <w:p w14:paraId="4678AE66">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工程款支付担保的有效期为：自发包人与承包人签订的合同生效之日起至发包人签发工程接收证书之日止。</w:t>
      </w:r>
    </w:p>
    <w:p w14:paraId="648039E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工程款支付担保方式：银行保函、保证保险。</w:t>
      </w:r>
    </w:p>
    <w:p w14:paraId="203A7F6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14:paraId="0E9B4D1D">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增加以下内容到第14.3款：</w:t>
      </w:r>
    </w:p>
    <w:p w14:paraId="1FD31AF1">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14.3.1 工程进度款（除人工费用、安全文明施工费外）</w:t>
      </w:r>
      <w:r>
        <w:rPr>
          <w:rFonts w:hint="eastAsia" w:ascii="宋体" w:hAnsi="宋体" w:eastAsia="宋体" w:cs="宋体"/>
          <w:sz w:val="24"/>
          <w:szCs w:val="24"/>
        </w:rPr>
        <w:t>按以下第</w:t>
      </w:r>
      <w:sdt>
        <w:sdtPr>
          <w:rPr>
            <w:rFonts w:hint="eastAsia" w:ascii="宋体" w:hAnsi="宋体" w:eastAsia="宋体" w:cs="宋体"/>
            <w:kern w:val="2"/>
            <w:sz w:val="24"/>
            <w:szCs w:val="24"/>
            <w:lang w:val="en-US" w:eastAsia="zh-CN" w:bidi="ar-SA"/>
          </w:rPr>
          <w:alias w:val="请选择一项。"/>
          <w:id w:val="147472519"/>
          <w:placeholder>
            <w:docPart w:val="{9bde448b-48a0-48c2-8c32-4f38256284a1}"/>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3" w:edGrp="everyone"/>
          <w:r>
            <w:rPr>
              <w:rFonts w:hint="eastAsia" w:ascii="宋体" w:hAnsi="宋体" w:eastAsia="宋体" w:cs="宋体"/>
              <w:sz w:val="24"/>
              <w:szCs w:val="24"/>
              <w:u w:val="single"/>
              <w:lang w:val="en-US" w:eastAsia="zh-CN"/>
            </w:rPr>
            <w:t xml:space="preserve">     </w:t>
          </w:r>
          <w:permEnd w:id="103"/>
        </w:sdtContent>
      </w:sdt>
      <w:r>
        <w:rPr>
          <w:rFonts w:hint="eastAsia" w:ascii="宋体" w:hAnsi="宋体" w:eastAsia="宋体" w:cs="宋体"/>
          <w:sz w:val="24"/>
          <w:szCs w:val="24"/>
        </w:rPr>
        <w:t>种方式支付，若进度款与预付款累计已付至合同价</w:t>
      </w:r>
      <w:r>
        <w:rPr>
          <w:rFonts w:hint="eastAsia" w:ascii="宋体" w:hAnsi="宋体" w:cs="宋体"/>
          <w:sz w:val="24"/>
          <w:szCs w:val="24"/>
          <w:lang w:val="en-US" w:eastAsia="zh-CN"/>
        </w:rPr>
        <w:t>的80%</w:t>
      </w:r>
      <w:r>
        <w:rPr>
          <w:rFonts w:hint="eastAsia" w:ascii="宋体" w:hAnsi="宋体" w:eastAsia="宋体" w:cs="宋体"/>
          <w:sz w:val="24"/>
          <w:szCs w:val="24"/>
        </w:rPr>
        <w:t>时停止</w:t>
      </w:r>
      <w:r>
        <w:rPr>
          <w:rFonts w:hint="eastAsia" w:ascii="宋体" w:hAnsi="宋体" w:eastAsia="宋体" w:cs="宋体"/>
          <w:sz w:val="24"/>
          <w:szCs w:val="24"/>
          <w:lang w:val="en-US" w:eastAsia="zh-CN"/>
        </w:rPr>
        <w:t>支付</w:t>
      </w:r>
      <w:r>
        <w:rPr>
          <w:rFonts w:hint="eastAsia" w:ascii="宋体" w:hAnsi="宋体" w:cs="宋体"/>
          <w:sz w:val="24"/>
          <w:szCs w:val="24"/>
          <w:lang w:val="en-US" w:eastAsia="zh-CN"/>
        </w:rPr>
        <w:t>,中间结算价可随工程进度款一并支付，以中间结算的结算审核报告作为凭证。付款方式包括电汇、汇票、支票、票据和双方认可的其他支付方式。</w:t>
      </w:r>
    </w:p>
    <w:p w14:paraId="56706CEB">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1、季度结算，承包人应在每月</w:t>
      </w:r>
      <w:permStart w:id="104" w:edGrp="everyone"/>
      <w:r>
        <w:rPr>
          <w:rFonts w:hint="eastAsia" w:ascii="宋体" w:hAnsi="宋体" w:cs="宋体"/>
          <w:sz w:val="24"/>
          <w:szCs w:val="24"/>
          <w:lang w:val="en-US" w:eastAsia="zh-CN"/>
        </w:rPr>
        <w:t xml:space="preserve">  1  </w:t>
      </w:r>
      <w:permEnd w:id="104"/>
      <w:r>
        <w:rPr>
          <w:rFonts w:hint="eastAsia" w:ascii="宋体" w:hAnsi="宋体" w:cs="宋体"/>
          <w:sz w:val="24"/>
          <w:szCs w:val="24"/>
          <w:lang w:val="en-US" w:eastAsia="zh-CN"/>
        </w:rPr>
        <w:t>日提交上一月度已完工程量及相应的支持性证明文件，报监理工程师核查。承包人应在每季度首月  15  日提交上一季度已完工程量的结算付款申请及相应的支持性证明文件，经监理工程师核查后出具经发包人签认的进度付款证书。发包人在签发进度付款证书并收到等额增值税专用发票及完整请款依据后</w:t>
      </w:r>
      <w:permStart w:id="105" w:edGrp="everyone"/>
      <w:r>
        <w:rPr>
          <w:rFonts w:hint="eastAsia" w:ascii="宋体" w:hAnsi="宋体" w:cs="宋体"/>
          <w:sz w:val="24"/>
          <w:szCs w:val="24"/>
          <w:lang w:val="en-US" w:eastAsia="zh-CN"/>
        </w:rPr>
        <w:t xml:space="preserve"> 45 </w:t>
      </w:r>
      <w:permEnd w:id="105"/>
      <w:r>
        <w:rPr>
          <w:rFonts w:hint="eastAsia" w:ascii="宋体" w:hAnsi="宋体" w:cs="宋体"/>
          <w:sz w:val="24"/>
          <w:szCs w:val="24"/>
          <w:lang w:val="en-US" w:eastAsia="zh-CN"/>
        </w:rPr>
        <w:t>日内将进度款支付给承包人。</w:t>
      </w:r>
    </w:p>
    <w:p w14:paraId="0E1171DB">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2、工程量形象进度（里程碑）结算，承包人在已完工程量达到合同工程量的</w:t>
      </w:r>
      <w:permStart w:id="106" w:edGrp="everyone"/>
      <w:r>
        <w:rPr>
          <w:rFonts w:hint="eastAsia" w:ascii="宋体" w:hAnsi="宋体" w:cs="宋体"/>
          <w:sz w:val="24"/>
          <w:szCs w:val="24"/>
          <w:lang w:val="en-US" w:eastAsia="zh-CN"/>
        </w:rPr>
        <w:t>30%、50％、80%</w:t>
      </w:r>
      <w:permEnd w:id="106"/>
      <w:r>
        <w:rPr>
          <w:rFonts w:hint="eastAsia" w:ascii="宋体" w:hAnsi="宋体" w:cs="宋体"/>
          <w:sz w:val="24"/>
          <w:szCs w:val="24"/>
          <w:lang w:val="en-US" w:eastAsia="zh-CN"/>
        </w:rPr>
        <w:t>时提交付款申请及相应的支持性证明文件，经监理工程师核查后出具经发包人签认的进度付款证书。发包人在签发进度付款证书并收到等额增值税专用发票后</w:t>
      </w:r>
      <w:permStart w:id="107" w:edGrp="everyone"/>
      <w:r>
        <w:rPr>
          <w:rFonts w:hint="eastAsia" w:ascii="宋体" w:hAnsi="宋体" w:cs="宋体"/>
          <w:sz w:val="24"/>
          <w:szCs w:val="24"/>
          <w:lang w:val="en-US" w:eastAsia="zh-CN"/>
        </w:rPr>
        <w:t xml:space="preserve">  45</w:t>
      </w:r>
      <w:permEnd w:id="107"/>
      <w:r>
        <w:rPr>
          <w:rFonts w:hint="eastAsia" w:ascii="宋体" w:hAnsi="宋体" w:cs="宋体"/>
          <w:sz w:val="24"/>
          <w:szCs w:val="24"/>
          <w:lang w:val="en-US" w:eastAsia="zh-CN"/>
        </w:rPr>
        <w:t xml:space="preserve"> 日内将进度款支付给承包人。</w:t>
      </w:r>
    </w:p>
    <w:p w14:paraId="39924CDF">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3、月度结算，承包人应在每月</w:t>
      </w:r>
      <w:permStart w:id="108" w:edGrp="everyone"/>
      <w:r>
        <w:rPr>
          <w:rFonts w:hint="eastAsia" w:ascii="宋体" w:hAnsi="宋体" w:cs="宋体"/>
          <w:sz w:val="24"/>
          <w:szCs w:val="24"/>
          <w:lang w:val="en-US" w:eastAsia="zh-CN"/>
        </w:rPr>
        <w:t xml:space="preserve">    </w:t>
      </w:r>
      <w:permEnd w:id="108"/>
      <w:r>
        <w:rPr>
          <w:rFonts w:hint="eastAsia" w:ascii="宋体" w:hAnsi="宋体" w:cs="宋体"/>
          <w:sz w:val="24"/>
          <w:szCs w:val="24"/>
          <w:lang w:val="en-US" w:eastAsia="zh-CN"/>
        </w:rPr>
        <w:t>日前提交上一月度已完工程量及相应的支持性证明文件及结算付款申请，经监理工程师核查后出具经发包人签认的进度付款证书。发包人在签发进度付款证书，并收到等额增值税专用发票及完整请款依据后 45 日内将进度款支付给承包人。</w:t>
      </w:r>
    </w:p>
    <w:p w14:paraId="03F6ED94">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14.3.2工程人工费用。按以下</w:t>
      </w:r>
      <w:r>
        <w:rPr>
          <w:rFonts w:hint="eastAsia" w:ascii="宋体" w:hAnsi="宋体" w:eastAsia="宋体" w:cs="宋体"/>
          <w:sz w:val="24"/>
          <w:szCs w:val="24"/>
        </w:rPr>
        <w:t>第</w:t>
      </w:r>
      <w:sdt>
        <w:sdtPr>
          <w:rPr>
            <w:rFonts w:hint="eastAsia" w:ascii="宋体" w:hAnsi="宋体" w:eastAsia="宋体" w:cs="宋体"/>
            <w:kern w:val="2"/>
            <w:sz w:val="24"/>
            <w:szCs w:val="24"/>
            <w:lang w:val="en-US" w:eastAsia="zh-CN" w:bidi="ar-SA"/>
          </w:rPr>
          <w:alias w:val="请选择一项。"/>
          <w:id w:val="535392850"/>
          <w:placeholder>
            <w:docPart w:val="{8359ee92-d06a-4635-8ced-fc32f2bde013}"/>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9" w:edGrp="everyone"/>
          <w:r>
            <w:rPr>
              <w:rFonts w:hint="eastAsia" w:ascii="宋体" w:hAnsi="宋体" w:eastAsia="宋体" w:cs="宋体"/>
              <w:sz w:val="24"/>
              <w:szCs w:val="24"/>
              <w:u w:val="single"/>
              <w:lang w:val="en-US" w:eastAsia="zh-CN"/>
            </w:rPr>
            <w:t xml:space="preserve">     </w:t>
          </w:r>
          <w:permEnd w:id="109"/>
        </w:sdtContent>
      </w:sdt>
      <w:r>
        <w:rPr>
          <w:rFonts w:hint="eastAsia" w:ascii="宋体" w:hAnsi="宋体" w:eastAsia="宋体" w:cs="宋体"/>
          <w:sz w:val="24"/>
          <w:szCs w:val="24"/>
        </w:rPr>
        <w:t>种</w:t>
      </w:r>
      <w:r>
        <w:rPr>
          <w:rFonts w:hint="eastAsia" w:ascii="宋体" w:hAnsi="宋体" w:cs="宋体"/>
          <w:sz w:val="24"/>
          <w:szCs w:val="24"/>
          <w:lang w:val="en-US" w:eastAsia="zh-CN"/>
        </w:rPr>
        <w:t>种方式支付：</w:t>
      </w:r>
    </w:p>
    <w:p w14:paraId="16D7701B">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1、按月度拨付，承包人应在每月</w:t>
      </w:r>
      <w:permStart w:id="110" w:edGrp="everyone"/>
      <w:r>
        <w:rPr>
          <w:rFonts w:hint="eastAsia" w:ascii="宋体" w:hAnsi="宋体" w:cs="宋体"/>
          <w:sz w:val="24"/>
          <w:szCs w:val="24"/>
          <w:lang w:val="en-US" w:eastAsia="zh-CN"/>
        </w:rPr>
        <w:t xml:space="preserve">  15  </w:t>
      </w:r>
      <w:permEnd w:id="110"/>
      <w:r>
        <w:rPr>
          <w:rFonts w:hint="eastAsia" w:ascii="宋体" w:hAnsi="宋体" w:cs="宋体"/>
          <w:sz w:val="24"/>
          <w:szCs w:val="24"/>
          <w:lang w:val="en-US" w:eastAsia="zh-CN"/>
        </w:rPr>
        <w:t>日提交当月工程工人工资申请（申请金额不低于当期已完工程量的15%且不高于当期已完工程量）和项目前两个月通过农民工工资专用账户支付的工人工资总额，报监理工程师核查，经监理工程师核查后出具经发包人签认的工程人工费用付款证书，发包人在签发付款证书并收到等额增值税专用发票后</w:t>
      </w:r>
      <w:permStart w:id="111" w:edGrp="everyone"/>
      <w:r>
        <w:rPr>
          <w:rFonts w:hint="eastAsia" w:ascii="宋体" w:hAnsi="宋体" w:cs="宋体"/>
          <w:sz w:val="24"/>
          <w:szCs w:val="24"/>
          <w:lang w:val="en-US" w:eastAsia="zh-CN"/>
        </w:rPr>
        <w:t xml:space="preserve"> 45 </w:t>
      </w:r>
      <w:permEnd w:id="111"/>
      <w:r>
        <w:rPr>
          <w:rFonts w:hint="eastAsia" w:ascii="宋体" w:hAnsi="宋体" w:cs="宋体"/>
          <w:sz w:val="24"/>
          <w:szCs w:val="24"/>
          <w:lang w:val="en-US" w:eastAsia="zh-CN"/>
        </w:rPr>
        <w:t>日内将人工费支付给承包人农民工工资专用账户。</w:t>
      </w:r>
    </w:p>
    <w:p w14:paraId="31BB8D1B">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按工程进度拨付：承包人随工程进度款申请支付，按当期工程形象进度的15%申请人工费用，报监理工程师核查，经监理工程师核查后出具经发包人签认的工程人工费用付款证书，发包人在签发付款证书并收到等额增值税专用发票后</w:t>
      </w:r>
      <w:permStart w:id="112" w:edGrp="everyone"/>
      <w:r>
        <w:rPr>
          <w:rFonts w:hint="eastAsia" w:ascii="宋体" w:hAnsi="宋体" w:cs="宋体"/>
          <w:sz w:val="24"/>
          <w:szCs w:val="24"/>
          <w:lang w:val="en-US" w:eastAsia="zh-CN"/>
        </w:rPr>
        <w:t xml:space="preserve"> 45 </w:t>
      </w:r>
      <w:permEnd w:id="112"/>
      <w:r>
        <w:rPr>
          <w:rFonts w:hint="eastAsia" w:ascii="宋体" w:hAnsi="宋体" w:cs="宋体"/>
          <w:sz w:val="24"/>
          <w:szCs w:val="24"/>
          <w:lang w:val="en-US" w:eastAsia="zh-CN"/>
        </w:rPr>
        <w:t>日内将人工费支付给承包人农民工工资专用账户。</w:t>
      </w:r>
    </w:p>
    <w:p w14:paraId="2084E9C5">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14.3.3 工程安全文明施工费。当经审批的安全文明施工措施费超过60%后，超出部分按14.3.1款约定的工程进度款支付方式一并支付，累计付至安全文明施工费合同价的 100％时停止支付,付款方式包括电汇、汇票、支票、票据和双方认可的其他支付方式。</w:t>
      </w:r>
    </w:p>
    <w:p w14:paraId="220037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14.3.4代付款由承包人递交相关签证、发票（或收据）等支撑材料，经发包人审批后随下一期工程进度款支付。中间结算价</w:t>
      </w:r>
    </w:p>
    <w:p w14:paraId="32FE753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14:paraId="356052B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14.9.1 质量保证金预留</w:t>
      </w:r>
    </w:p>
    <w:p w14:paraId="0ED423C6">
      <w:pPr>
        <w:kinsoku/>
        <w:wordWrap/>
        <w:overflowPunct/>
        <w:topLinePunct w:val="0"/>
        <w:bidi w:val="0"/>
        <w:spacing w:line="54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承包人在办理工程结算款支付申请的同时，提交金额为结算价</w:t>
      </w:r>
      <w:r>
        <w:rPr>
          <w:rFonts w:hint="default" w:ascii="宋体" w:hAnsi="宋体" w:cs="宋体"/>
          <w:sz w:val="24"/>
          <w:szCs w:val="24"/>
          <w:lang w:val="en-US"/>
        </w:rPr>
        <w:t>3%</w:t>
      </w:r>
      <w:r>
        <w:rPr>
          <w:rFonts w:hint="eastAsia" w:ascii="宋体" w:hAnsi="宋体" w:eastAsia="宋体" w:cs="宋体"/>
          <w:sz w:val="24"/>
          <w:szCs w:val="24"/>
        </w:rPr>
        <w:t>的质量保证金担保（担保的形式包括银行提供的保函、央企财务公司提供的保函、保险公司提供的国家认可的具有法律效力的保险等，格式自定），保函应确保在工程缺陷责任期内有效，发包人审核无误后全额支付结算尾款。</w:t>
      </w:r>
    </w:p>
    <w:p w14:paraId="6CF00333">
      <w:pPr>
        <w:kinsoku/>
        <w:wordWrap/>
        <w:overflowPunct/>
        <w:topLinePunct w:val="0"/>
        <w:bidi w:val="0"/>
        <w:spacing w:line="54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若承包人无法提交质量保证金保函，需在办理结算款支付申请的同时提交书面说明，发包人一次性扣留结算价</w:t>
      </w:r>
      <w:r>
        <w:rPr>
          <w:rFonts w:hint="default" w:ascii="宋体" w:hAnsi="宋体" w:cs="宋体"/>
          <w:sz w:val="24"/>
          <w:szCs w:val="24"/>
          <w:lang w:val="en-US"/>
        </w:rPr>
        <w:t>3%</w:t>
      </w:r>
      <w:r>
        <w:rPr>
          <w:rFonts w:hint="eastAsia" w:ascii="宋体" w:hAnsi="宋体" w:eastAsia="宋体" w:cs="宋体"/>
          <w:sz w:val="24"/>
          <w:szCs w:val="24"/>
        </w:rPr>
        <w:t>的工程质量保证金，价款支付到结算价的</w:t>
      </w:r>
      <w:r>
        <w:rPr>
          <w:rFonts w:hint="eastAsia" w:ascii="宋体" w:hAnsi="宋体" w:eastAsia="宋体" w:cs="宋体"/>
          <w:sz w:val="24"/>
          <w:szCs w:val="24"/>
          <w:u w:val="none"/>
        </w:rPr>
        <w:t>97%。</w:t>
      </w:r>
    </w:p>
    <w:p w14:paraId="11065AF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14.9.2质量保证金退还</w:t>
      </w:r>
    </w:p>
    <w:p w14:paraId="5D0F0D2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（1）质量保证金保函预留方式：</w:t>
      </w:r>
    </w:p>
    <w:p w14:paraId="654D4FF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在缺陷责任期到期前，运行管理单位、档案管理部门未提出“不得退还工程质量保证”的书面文件，承包人按与保函开具方的约定办理相关保函核销手续。</w:t>
      </w:r>
    </w:p>
    <w:p w14:paraId="20E4B13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（2）质量保证金费用</w:t>
      </w:r>
      <w:r>
        <w:rPr>
          <w:rFonts w:hint="eastAsia" w:ascii="宋体" w:hAnsi="宋体" w:cs="宋体"/>
          <w:sz w:val="24"/>
          <w:szCs w:val="24"/>
          <w:lang w:val="en-US" w:eastAsia="zh-CN"/>
        </w:rPr>
        <w:t>退还</w:t>
      </w:r>
      <w:r>
        <w:rPr>
          <w:rFonts w:hint="eastAsia" w:ascii="宋体" w:hAnsi="宋体" w:eastAsia="宋体" w:cs="宋体"/>
          <w:sz w:val="24"/>
          <w:szCs w:val="24"/>
        </w:rPr>
        <w:t>方式：</w:t>
      </w:r>
    </w:p>
    <w:p w14:paraId="1E8E51B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本合同项下质保期开始计算后满</w:t>
      </w:r>
      <w:permStart w:id="113" w:edGrp="everyone"/>
      <w:r>
        <w:rPr>
          <w:rFonts w:hint="eastAsia" w:ascii="宋体" w:hAnsi="宋体" w:eastAsia="宋体" w:cs="宋体"/>
          <w:sz w:val="24"/>
          <w:szCs w:val="24"/>
        </w:rPr>
        <w:t>【1】</w:t>
      </w:r>
      <w:permEnd w:id="113"/>
      <w:r>
        <w:rPr>
          <w:rFonts w:hint="eastAsia" w:ascii="宋体" w:hAnsi="宋体" w:eastAsia="宋体" w:cs="宋体"/>
          <w:sz w:val="24"/>
          <w:szCs w:val="24"/>
        </w:rPr>
        <w:t>年，如本合同未发生质量问题或乙方提供的质保服务符合本合同约定质量标准的，乙方可向甲方申请支付质保金或退还质量保函，甲方于收到乙方申请后</w:t>
      </w:r>
      <w:permStart w:id="114" w:edGrp="everyone"/>
      <w:r>
        <w:rPr>
          <w:rFonts w:hint="eastAsia" w:ascii="宋体" w:hAnsi="宋体" w:eastAsia="宋体" w:cs="宋体"/>
          <w:sz w:val="24"/>
          <w:szCs w:val="24"/>
          <w:u w:val="single"/>
        </w:rPr>
        <w:t xml:space="preserve">    </w:t>
      </w:r>
      <w:permEnd w:id="114"/>
      <w:r>
        <w:rPr>
          <w:rFonts w:hint="eastAsia" w:ascii="宋体" w:hAnsi="宋体" w:eastAsia="宋体" w:cs="宋体"/>
          <w:sz w:val="24"/>
          <w:szCs w:val="24"/>
        </w:rPr>
        <w:t>日内，向乙方无息退还质保金或质量保函</w:t>
      </w:r>
      <w:r>
        <w:rPr>
          <w:rFonts w:hint="eastAsia" w:ascii="宋体" w:hAnsi="宋体" w:cs="宋体"/>
          <w:sz w:val="24"/>
          <w:szCs w:val="24"/>
          <w:lang w:eastAsia="zh-CN"/>
        </w:rPr>
        <w:t>。</w:t>
      </w:r>
    </w:p>
    <w:p w14:paraId="78553240">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14.10招标代理费：</w:t>
      </w:r>
      <w:permStart w:id="115" w:edGrp="everyone"/>
    </w:p>
    <w:p w14:paraId="04F9F78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1招标代理费结算价=招标代理费不含税价*税率。</w:t>
      </w:r>
    </w:p>
    <w:p w14:paraId="2855039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招标代理费不含税价：招标代理机构开具的招标代理费发票中不含税金额；</w:t>
      </w:r>
    </w:p>
    <w:p w14:paraId="4CBDD325">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税率：承包人开具的增值税专用发票上的税率。     </w:t>
      </w:r>
    </w:p>
    <w:p w14:paraId="1AC7F22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2合同签订后承包人可以向发包人单独办理招标代理费的结算款，也可以与施工费进度款或结算款一并办理（多标包多标段时，按中标金额比例计算）</w:t>
      </w:r>
      <w:r>
        <w:rPr>
          <w:rFonts w:hint="eastAsia" w:ascii="宋体" w:hAnsi="宋体" w:eastAsia="宋体" w:cs="宋体"/>
          <w:bCs/>
          <w:sz w:val="24"/>
          <w:szCs w:val="24"/>
          <w:u w:val="single"/>
        </w:rPr>
        <w:t>。</w:t>
      </w:r>
      <w:permEnd w:id="115"/>
    </w:p>
    <w:p w14:paraId="28C4D704">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14.11申请最终支付证书</w:t>
      </w:r>
    </w:p>
    <w:p w14:paraId="4CAC817F">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增加以下内容到第14.11款：</w:t>
      </w:r>
    </w:p>
    <w:p w14:paraId="5DD6E67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工程启动投产后</w:t>
      </w:r>
      <w:permStart w:id="116" w:edGrp="everyone"/>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ermEnd w:id="116"/>
      <w:r>
        <w:rPr>
          <w:rFonts w:hint="eastAsia" w:ascii="宋体" w:hAnsi="宋体" w:eastAsia="宋体" w:cs="宋体"/>
          <w:sz w:val="24"/>
          <w:szCs w:val="24"/>
        </w:rPr>
        <w:t>日内，承包人须提交工程结算书及完整相关结算依据资料报监理公司、发包人审核。</w:t>
      </w:r>
    </w:p>
    <w:p w14:paraId="1BDD87B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发包人自收到工程结算书及完整相关结算依据资料后</w:t>
      </w:r>
      <w:permStart w:id="117" w:edGrp="everyone"/>
      <w:r>
        <w:rPr>
          <w:rFonts w:hint="eastAsia" w:ascii="宋体" w:hAnsi="宋体" w:eastAsia="宋体" w:cs="宋体"/>
          <w:sz w:val="24"/>
          <w:szCs w:val="24"/>
          <w:u w:val="single"/>
        </w:rPr>
        <w:t>28日</w:t>
      </w:r>
      <w:permEnd w:id="117"/>
      <w:r>
        <w:rPr>
          <w:rFonts w:hint="eastAsia" w:ascii="宋体" w:hAnsi="宋体" w:eastAsia="宋体" w:cs="宋体"/>
          <w:sz w:val="24"/>
          <w:szCs w:val="24"/>
        </w:rPr>
        <w:t>内进行核实，给予确认或提出修改意见。</w:t>
      </w:r>
    </w:p>
    <w:p w14:paraId="4341FA9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发包人在收到承包人的竣工付款申请单和适用税率的增值税专用发票后签发竣工付款证书。</w:t>
      </w:r>
    </w:p>
    <w:p w14:paraId="6465A958">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1、承包人超过规定时间未报送竣工结算资料的，发包人有权根据下述原则办理结算：</w:t>
      </w:r>
    </w:p>
    <w:p w14:paraId="1662E3AB">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（1）按中标价办理结算；</w:t>
      </w:r>
    </w:p>
    <w:p w14:paraId="316D8881">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（2）有核减依据时，按中标价扣减相应核减费用办理结算。</w:t>
      </w:r>
    </w:p>
    <w:p w14:paraId="2EEB8F22">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w:t>
      </w:r>
      <w:permStart w:id="118" w:edGrp="everyone"/>
      <w:r>
        <w:rPr>
          <w:rFonts w:hint="eastAsia" w:ascii="宋体" w:hAnsi="宋体" w:eastAsia="宋体" w:cs="宋体"/>
          <w:sz w:val="24"/>
          <w:szCs w:val="24"/>
          <w:u w:val="single"/>
        </w:rPr>
        <w:t>承包人由于自身的原因超过约定的时间未报送竣工结算资料的，从逾期次日起，每日扣罚违约金1000元（承包人提供结算资料的同时需提供发包人工程管理部门签字盖章确认并注明签收日期的工程结算资料签收记录作为计算违约金的依据）。</w:t>
      </w:r>
      <w:permEnd w:id="118"/>
    </w:p>
    <w:p w14:paraId="3C8D69C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2、承包人未提出增加费用，经审定需调增结算费用，此时产生的结算审核费用由承包人承担。</w:t>
      </w:r>
    </w:p>
    <w:p w14:paraId="7D327092">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3、结算费用经发包人委托的中介机构审定，</w:t>
      </w:r>
      <w:permStart w:id="119" w:edGrp="everyone"/>
      <w:r>
        <w:rPr>
          <w:rFonts w:hint="eastAsia" w:ascii="宋体" w:hAnsi="宋体" w:eastAsia="宋体" w:cs="宋体"/>
          <w:sz w:val="24"/>
          <w:szCs w:val="24"/>
          <w:u w:val="single"/>
        </w:rPr>
        <w:t>造价咨询服务基本收费部分由发包人支付，效益收费部分由承包人支付的方式，效益收费部分在工程结算款中扣除并由发包人支付给中介机构。</w:t>
      </w:r>
      <w:permEnd w:id="119"/>
    </w:p>
    <w:p w14:paraId="19B788A6">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4、承包人由于自身的原因未能及时、准确、完整地在工程管理系统中录入数据并经书面警告的，工程竣工结算时，最高扣减结算价款10万元。</w:t>
      </w:r>
    </w:p>
    <w:p w14:paraId="3888330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5、在内外部审计过程中，承包人应积极配合，当审计中发现并经发包人确认结算中存在错算款项，发包人有权扣回，承包人应在收到财务决算审计审核报告复核通知书后</w:t>
      </w:r>
      <w:permStart w:id="120" w:edGrp="everyone"/>
      <w:r>
        <w:rPr>
          <w:rFonts w:hint="eastAsia" w:ascii="宋体" w:hAnsi="宋体" w:eastAsia="宋体" w:cs="宋体"/>
          <w:sz w:val="24"/>
          <w:szCs w:val="24"/>
          <w:u w:val="single"/>
        </w:rPr>
        <w:t xml:space="preserve">    </w:t>
      </w:r>
      <w:permEnd w:id="120"/>
      <w:r>
        <w:rPr>
          <w:rFonts w:hint="eastAsia" w:ascii="宋体" w:hAnsi="宋体"/>
          <w:sz w:val="24"/>
          <w:szCs w:val="24"/>
        </w:rPr>
        <w:t>个工作日</w:t>
      </w:r>
      <w:r>
        <w:rPr>
          <w:rFonts w:hint="eastAsia" w:ascii="宋体" w:hAnsi="宋体" w:eastAsia="宋体" w:cs="宋体"/>
          <w:sz w:val="24"/>
          <w:szCs w:val="24"/>
        </w:rPr>
        <w:t>按发包人要求将错算款项交回发包人。</w:t>
      </w:r>
    </w:p>
    <w:p w14:paraId="497F9A90">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14:paraId="4A7D9B89">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bookmarkStart w:id="8" w:name="_Toc292429301"/>
      <w:bookmarkStart w:id="9" w:name="_Toc252143588"/>
      <w:r>
        <w:rPr>
          <w:rFonts w:hint="eastAsia" w:ascii="宋体" w:hAnsi="宋体" w:eastAsia="宋体" w:cs="宋体"/>
          <w:sz w:val="24"/>
          <w:szCs w:val="24"/>
        </w:rPr>
        <w:t>18.1  有关保险的一般要求</w:t>
      </w:r>
      <w:bookmarkEnd w:id="8"/>
      <w:bookmarkEnd w:id="9"/>
    </w:p>
    <w:p w14:paraId="46233A43">
      <w:pPr>
        <w:pStyle w:val="18"/>
        <w:kinsoku/>
        <w:wordWrap/>
        <w:overflowPunct/>
        <w:topLinePunct w:val="0"/>
        <w:bidi w:val="0"/>
        <w:spacing w:after="0" w:line="540" w:lineRule="exact"/>
        <w:ind w:left="0" w:leftChars="0" w:firstLine="480" w:firstLineChars="200"/>
        <w:rPr>
          <w:rFonts w:hint="eastAsia" w:ascii="宋体" w:hAnsi="宋体" w:cs="宋体"/>
          <w:sz w:val="24"/>
          <w:szCs w:val="24"/>
          <w:lang w:eastAsia="zh-CN"/>
        </w:rPr>
      </w:pPr>
      <w:r>
        <w:rPr>
          <w:rFonts w:hint="eastAsia" w:ascii="宋体" w:hAnsi="宋体" w:eastAsia="宋体" w:cs="宋体"/>
          <w:sz w:val="24"/>
          <w:szCs w:val="24"/>
        </w:rPr>
        <w:t>承包人应以发包人和承包人的共同名义向双方同意的保险人投保建筑工程一切险、安装工程一切险</w:t>
      </w:r>
      <w:r>
        <w:rPr>
          <w:rFonts w:hint="eastAsia" w:ascii="宋体" w:hAnsi="宋体" w:cs="宋体"/>
          <w:sz w:val="24"/>
          <w:szCs w:val="24"/>
          <w:lang w:eastAsia="zh-CN"/>
        </w:rPr>
        <w:t>。</w:t>
      </w:r>
    </w:p>
    <w:p w14:paraId="204F843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投保内容、保险金额、保险费率、保险期限的约定：</w:t>
      </w:r>
      <w:permStart w:id="121" w:edGrp="everyone"/>
      <w:r>
        <w:rPr>
          <w:rFonts w:hint="eastAsia" w:ascii="宋体" w:hAnsi="宋体" w:eastAsia="宋体" w:cs="宋体"/>
          <w:sz w:val="24"/>
          <w:szCs w:val="24"/>
          <w:u w:val="single"/>
        </w:rPr>
        <w:t xml:space="preserve">       </w:t>
      </w:r>
      <w:permEnd w:id="121"/>
      <w:r>
        <w:rPr>
          <w:rFonts w:hint="eastAsia" w:ascii="宋体" w:hAnsi="宋体" w:cs="宋体"/>
          <w:sz w:val="24"/>
          <w:szCs w:val="24"/>
          <w:lang w:eastAsia="zh-CN"/>
        </w:rPr>
        <w:t>，</w:t>
      </w:r>
      <w:r>
        <w:rPr>
          <w:rFonts w:hint="eastAsia" w:ascii="宋体" w:hAnsi="宋体" w:cs="宋体"/>
          <w:sz w:val="24"/>
          <w:szCs w:val="24"/>
          <w:lang w:val="en-US" w:eastAsia="zh-CN"/>
        </w:rPr>
        <w:t>费</w:t>
      </w:r>
      <w:r>
        <w:rPr>
          <w:rFonts w:hint="eastAsia" w:ascii="宋体" w:hAnsi="宋体" w:eastAsia="宋体" w:cs="宋体"/>
          <w:sz w:val="24"/>
          <w:szCs w:val="24"/>
        </w:rPr>
        <w:t>用由发包人承担 。</w:t>
      </w:r>
    </w:p>
    <w:p w14:paraId="6297759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第三者责任险，其保险费率、保险金额的约定：</w:t>
      </w:r>
      <w:permStart w:id="122" w:edGrp="everyone"/>
      <w:r>
        <w:rPr>
          <w:rFonts w:hint="eastAsia" w:ascii="宋体" w:hAnsi="宋体" w:eastAsia="宋体" w:cs="宋体"/>
          <w:sz w:val="24"/>
          <w:szCs w:val="24"/>
          <w:u w:val="single"/>
        </w:rPr>
        <w:t xml:space="preserve">       </w:t>
      </w:r>
      <w:permEnd w:id="122"/>
      <w:r>
        <w:rPr>
          <w:rFonts w:hint="eastAsia" w:ascii="宋体" w:hAnsi="宋体" w:eastAsia="宋体" w:cs="宋体"/>
          <w:sz w:val="24"/>
          <w:szCs w:val="24"/>
        </w:rPr>
        <w:t>。</w:t>
      </w:r>
    </w:p>
    <w:p w14:paraId="253F3AE3">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执行《关于铁路、公路、水运、水利、能源、机场工程建设项目参加工伤保险工作的通知》（人社部发〔2018〕3号），工伤保险，其保险费率、保险金额的约定：</w:t>
      </w:r>
      <w:permStart w:id="123" w:edGrp="everyone"/>
      <w:r>
        <w:rPr>
          <w:rFonts w:hint="eastAsia" w:ascii="宋体" w:hAnsi="宋体" w:eastAsia="宋体" w:cs="宋体"/>
          <w:sz w:val="24"/>
          <w:szCs w:val="24"/>
          <w:u w:val="single"/>
        </w:rPr>
        <w:t xml:space="preserve">       </w:t>
      </w:r>
      <w:permEnd w:id="123"/>
      <w:r>
        <w:rPr>
          <w:rFonts w:hint="eastAsia" w:ascii="宋体" w:hAnsi="宋体" w:eastAsia="宋体" w:cs="宋体"/>
          <w:sz w:val="24"/>
          <w:szCs w:val="24"/>
        </w:rPr>
        <w:t>。</w:t>
      </w:r>
    </w:p>
    <w:p w14:paraId="33AF05D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w:t>
      </w:r>
      <w:permStart w:id="124" w:edGrp="everyone"/>
      <w:r>
        <w:rPr>
          <w:rFonts w:hint="eastAsia" w:ascii="宋体" w:hAnsi="宋体" w:eastAsia="宋体" w:cs="宋体"/>
          <w:sz w:val="24"/>
          <w:szCs w:val="24"/>
          <w:u w:val="single"/>
        </w:rPr>
        <w:t xml:space="preserve">       </w:t>
      </w:r>
      <w:permEnd w:id="124"/>
      <w:r>
        <w:rPr>
          <w:rFonts w:hint="eastAsia" w:ascii="宋体" w:hAnsi="宋体" w:eastAsia="宋体" w:cs="宋体"/>
          <w:sz w:val="24"/>
          <w:szCs w:val="24"/>
        </w:rPr>
        <w:t>的期限内向发包人提交各项保险生效的证据和保险单副本，保险单必须本条款约定的条件保持一致。</w:t>
      </w:r>
    </w:p>
    <w:p w14:paraId="10982BD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14:paraId="6DCF788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争端裁决委员会的任命    </w:t>
      </w:r>
    </w:p>
    <w:p w14:paraId="0B740354">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774919C8">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20.3  对争端裁决委员会未能取得一致</w:t>
      </w:r>
    </w:p>
    <w:p w14:paraId="1A24EF1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6BDE840D">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20.4  取得争端裁决委员会的决定</w:t>
      </w:r>
    </w:p>
    <w:p w14:paraId="28B28135">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36C2AAF3">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20.5  友好解决</w:t>
      </w:r>
    </w:p>
    <w:p w14:paraId="043EC9D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增加以下内容到第20.5款：</w:t>
      </w:r>
    </w:p>
    <w:p w14:paraId="75AB0FF0">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任何承包商根据合同书面表达的不满以及合同履行过程中出现的任何争议，双方均应以友好协商的方式来努力解决。如承包人表达不满的通知发出后的56天内，发包人未曾做过友好解决的努力；或双方已无法友好解决争议事件，则应按第20.6条[仲裁]执行。</w:t>
      </w:r>
    </w:p>
    <w:p w14:paraId="781AEF8F">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lang w:eastAsia="zh-CN"/>
        </w:rPr>
      </w:pPr>
      <w:r>
        <w:rPr>
          <w:rFonts w:hint="eastAsia" w:ascii="宋体" w:hAnsi="宋体" w:eastAsia="宋体" w:cs="宋体"/>
          <w:sz w:val="24"/>
          <w:szCs w:val="24"/>
        </w:rPr>
        <w:t xml:space="preserve">20.6  </w:t>
      </w:r>
      <w:r>
        <w:rPr>
          <w:rFonts w:hint="eastAsia" w:ascii="宋体" w:hAnsi="宋体" w:cs="宋体"/>
          <w:sz w:val="24"/>
          <w:szCs w:val="24"/>
          <w:lang w:val="en-US" w:eastAsia="zh-CN"/>
        </w:rPr>
        <w:t>争议解决</w:t>
      </w:r>
    </w:p>
    <w:p w14:paraId="18F4FA03">
      <w:pPr>
        <w:kinsoku/>
        <w:wordWrap/>
        <w:overflowPunct/>
        <w:topLinePunct w:val="0"/>
        <w:bidi w:val="0"/>
        <w:adjustRightInd w:val="0"/>
        <w:snapToGrid w:val="0"/>
        <w:spacing w:line="54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本合同在履行过程中发生争议的，应友好</w:t>
      </w:r>
      <w:r>
        <w:rPr>
          <w:rFonts w:hint="eastAsia" w:ascii="宋体" w:hAnsi="宋体" w:eastAsia="宋体" w:cs="宋体"/>
          <w:kern w:val="2"/>
          <w:sz w:val="24"/>
          <w:szCs w:val="24"/>
          <w:lang w:val="zh-CN" w:eastAsia="zh-CN" w:bidi="ar-SA"/>
        </w:rPr>
        <w:t>协商解决；不能协商解决的，向工程所在地人民法院起诉。</w:t>
      </w:r>
    </w:p>
    <w:p w14:paraId="215DA876">
      <w:pPr>
        <w:kinsoku/>
        <w:wordWrap/>
        <w:overflowPunct/>
        <w:topLinePunct w:val="0"/>
        <w:bidi w:val="0"/>
        <w:adjustRightInd w:val="0"/>
        <w:snapToGrid w:val="0"/>
        <w:spacing w:line="54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在诉讼期间，本合同不涉及争议部分的条款仍须履行。</w:t>
      </w:r>
    </w:p>
    <w:p w14:paraId="1E12C8AC">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20.7  未能遵守争端裁决委员会的决定</w:t>
      </w:r>
    </w:p>
    <w:p w14:paraId="1FF3E10A">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028E30EA">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20.8  争端裁决委员会任命期满</w:t>
      </w:r>
    </w:p>
    <w:p w14:paraId="710B4FE7">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14:paraId="4D689003">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rPr>
        <w:tab/>
      </w:r>
      <w:r>
        <w:rPr>
          <w:rFonts w:hint="eastAsia" w:ascii="宋体" w:hAnsi="宋体" w:eastAsia="宋体" w:cs="宋体"/>
          <w:sz w:val="24"/>
          <w:szCs w:val="24"/>
        </w:rPr>
        <w:t>其他</w:t>
      </w:r>
    </w:p>
    <w:p w14:paraId="3FB61369">
      <w:pPr>
        <w:pStyle w:val="18"/>
        <w:kinsoku/>
        <w:wordWrap/>
        <w:overflowPunct/>
        <w:topLinePunct w:val="0"/>
        <w:bidi w:val="0"/>
        <w:spacing w:after="0" w:line="540" w:lineRule="exact"/>
        <w:ind w:left="0" w:leftChars="0" w:firstLine="480" w:firstLineChars="200"/>
        <w:outlineLvl w:val="3"/>
        <w:rPr>
          <w:rFonts w:hint="default" w:ascii="宋体" w:hAnsi="宋体" w:eastAsia="宋体" w:cs="宋体"/>
          <w:color w:val="auto"/>
          <w:sz w:val="24"/>
          <w:szCs w:val="24"/>
          <w:u w:val="single"/>
          <w:lang w:val="en-US"/>
        </w:rPr>
      </w:pPr>
      <w:sdt>
        <w:sdtPr>
          <w:rPr>
            <w:rFonts w:hint="eastAsia" w:ascii="宋体" w:hAnsi="宋体" w:eastAsia="宋体" w:cs="宋体"/>
            <w:color w:val="C00000"/>
            <w:kern w:val="2"/>
            <w:sz w:val="24"/>
            <w:szCs w:val="24"/>
            <w:u w:val="none"/>
            <w:lang w:val="en-US" w:eastAsia="zh-CN" w:bidi="ar-SA"/>
          </w:rPr>
          <w:alias w:val="不填其他的，请划“/”"/>
          <w:id w:val="184127598"/>
          <w:placeholder>
            <w:docPart w:val="{98af5dc3-3451-429e-9fa7-86aad60c1a88}"/>
          </w:placeholder>
          <w:text w:multiLine="1"/>
        </w:sdtPr>
        <w:sdtEndPr>
          <w:rPr>
            <w:rFonts w:hint="eastAsia" w:ascii="宋体" w:hAnsi="宋体" w:eastAsia="宋体" w:cs="宋体"/>
            <w:color w:val="auto"/>
            <w:kern w:val="2"/>
            <w:sz w:val="24"/>
            <w:szCs w:val="24"/>
            <w:u w:val="single"/>
            <w:lang w:val="en-US" w:eastAsia="zh-CN" w:bidi="ar-SA"/>
          </w:rPr>
        </w:sdtEndPr>
        <w:sdtContent>
          <w:permStart w:id="125" w:edGrp="everyone"/>
          <w:r>
            <w:rPr>
              <w:rFonts w:hint="eastAsia" w:ascii="宋体" w:hAnsi="宋体" w:eastAsia="宋体" w:cs="宋体"/>
              <w:color w:val="auto"/>
              <w:sz w:val="24"/>
              <w:szCs w:val="24"/>
              <w:u w:val="single"/>
              <w:lang w:val="en-US" w:eastAsia="zh-CN"/>
            </w:rPr>
            <w:t xml:space="preserve">     </w:t>
          </w:r>
        </w:sdtContent>
      </w:sdt>
      <w:r>
        <w:rPr>
          <w:rFonts w:hint="eastAsia" w:ascii="宋体" w:hAnsi="宋体" w:cs="宋体"/>
          <w:color w:val="auto"/>
          <w:kern w:val="2"/>
          <w:sz w:val="24"/>
          <w:szCs w:val="24"/>
          <w:u w:val="single"/>
          <w:lang w:val="en-US" w:eastAsia="zh-CN" w:bidi="ar-SA"/>
        </w:rPr>
        <w:t xml:space="preserve">   </w:t>
      </w:r>
    </w:p>
    <w:permEnd w:id="125"/>
    <w:p w14:paraId="791DF5F9">
      <w:pPr>
        <w:keepNext w:val="0"/>
        <w:keepLines w:val="0"/>
        <w:pageBreakBefore w:val="0"/>
        <w:widowControl w:val="0"/>
        <w:kinsoku/>
        <w:wordWrap/>
        <w:overflowPunct/>
        <w:topLinePunct w:val="0"/>
        <w:autoSpaceDE/>
        <w:autoSpaceDN/>
        <w:bidi w:val="0"/>
        <w:adjustRightInd/>
        <w:snapToGrid/>
        <w:spacing w:line="540" w:lineRule="exact"/>
        <w:ind w:firstLine="482" w:firstLineChars="200"/>
        <w:textAlignment w:val="auto"/>
        <w:outlineLvl w:val="9"/>
        <w:rPr>
          <w:rFonts w:hint="eastAsia"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rPr>
        <w:t>2</w:t>
      </w:r>
      <w:r>
        <w:rPr>
          <w:rFonts w:hint="eastAsia" w:ascii="宋体" w:hAnsi="宋体" w:eastAsia="宋体" w:cs="宋体"/>
          <w:b/>
          <w:bCs/>
          <w:color w:val="auto"/>
          <w:sz w:val="24"/>
          <w:szCs w:val="24"/>
          <w:lang w:val="en-US"/>
        </w:rPr>
        <w:t>2</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廉洁条款</w:t>
      </w:r>
    </w:p>
    <w:p w14:paraId="6E8F500A">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rPr>
      </w:pPr>
      <w:r>
        <w:rPr>
          <w:rFonts w:hint="default" w:ascii="宋体" w:hAnsi="宋体" w:eastAsia="宋体" w:cs="宋体"/>
          <w:color w:val="auto"/>
          <w:sz w:val="24"/>
          <w:szCs w:val="24"/>
          <w:lang w:val="en-US"/>
        </w:rPr>
        <w:t>2</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1 </w:t>
      </w:r>
      <w:r>
        <w:rPr>
          <w:rFonts w:hint="eastAsia" w:ascii="宋体" w:hAnsi="宋体" w:eastAsia="宋体" w:cs="宋体"/>
          <w:color w:val="auto"/>
          <w:sz w:val="24"/>
          <w:szCs w:val="24"/>
        </w:rPr>
        <w:t>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方应严格遵守国家关于市场准入、招标</w:t>
      </w:r>
      <w:r>
        <w:rPr>
          <w:rFonts w:hint="eastAsia" w:ascii="宋体" w:hAnsi="宋体" w:eastAsia="宋体" w:cs="宋体"/>
          <w:color w:val="auto"/>
          <w:sz w:val="24"/>
          <w:szCs w:val="24"/>
          <w:lang w:val="en-US" w:eastAsia="zh-CN"/>
        </w:rPr>
        <w:t>采购、工程建设</w:t>
      </w:r>
      <w:r>
        <w:rPr>
          <w:rFonts w:hint="eastAsia" w:ascii="宋体" w:hAnsi="宋体" w:eastAsia="宋体" w:cs="宋体"/>
          <w:color w:val="auto"/>
          <w:sz w:val="24"/>
          <w:szCs w:val="24"/>
        </w:rPr>
        <w:t>等市场经济活动的法律法规、政策及廉洁规定，不得为获取不正当利益，损害国家、集体和合同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w:t>
      </w:r>
      <w:r>
        <w:rPr>
          <w:rFonts w:hint="eastAsia" w:ascii="宋体" w:hAnsi="宋体" w:eastAsia="宋体" w:cs="宋体"/>
          <w:color w:val="auto"/>
          <w:sz w:val="24"/>
          <w:szCs w:val="24"/>
          <w:lang w:val="en-US" w:eastAsia="zh-CN"/>
        </w:rPr>
        <w:t>权益</w:t>
      </w:r>
      <w:r>
        <w:rPr>
          <w:rFonts w:hint="eastAsia" w:ascii="宋体" w:hAnsi="宋体" w:eastAsia="宋体" w:cs="宋体"/>
          <w:color w:val="auto"/>
          <w:sz w:val="24"/>
          <w:szCs w:val="24"/>
        </w:rPr>
        <w:t>。</w:t>
      </w:r>
    </w:p>
    <w:p w14:paraId="548A741F">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highlight w:val="none"/>
        </w:rPr>
      </w:pPr>
      <w:r>
        <w:rPr>
          <w:rFonts w:hint="default"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2</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包括甲方工作</w:t>
      </w:r>
      <w:r>
        <w:rPr>
          <w:rFonts w:hint="eastAsia" w:ascii="宋体" w:hAnsi="宋体" w:eastAsia="宋体" w:cs="宋体"/>
          <w:color w:val="auto"/>
          <w:sz w:val="24"/>
          <w:szCs w:val="24"/>
        </w:rPr>
        <w:t>人员</w:t>
      </w:r>
      <w:r>
        <w:rPr>
          <w:rFonts w:hint="eastAsia" w:ascii="宋体" w:hAnsi="宋体" w:eastAsia="宋体" w:cs="宋体"/>
          <w:color w:val="auto"/>
          <w:sz w:val="24"/>
          <w:szCs w:val="24"/>
          <w:lang w:val="en-US" w:eastAsia="zh-CN"/>
        </w:rPr>
        <w:t>及其特定关系人，下同）应</w:t>
      </w:r>
      <w:r>
        <w:rPr>
          <w:rFonts w:hint="eastAsia" w:ascii="宋体" w:hAnsi="宋体" w:eastAsia="宋体" w:cs="宋体"/>
          <w:color w:val="auto"/>
          <w:sz w:val="24"/>
          <w:szCs w:val="24"/>
        </w:rPr>
        <w:t>遵守廉洁规定，</w:t>
      </w:r>
      <w:r>
        <w:rPr>
          <w:rFonts w:hint="eastAsia" w:ascii="宋体" w:hAnsi="宋体" w:eastAsia="宋体" w:cs="宋体"/>
          <w:color w:val="auto"/>
          <w:sz w:val="24"/>
          <w:szCs w:val="24"/>
          <w:lang w:val="en-US" w:eastAsia="zh-CN"/>
        </w:rPr>
        <w:t>不得</w:t>
      </w:r>
      <w:r>
        <w:rPr>
          <w:rFonts w:hint="eastAsia" w:ascii="宋体" w:hAnsi="宋体" w:eastAsia="宋体" w:cs="宋体"/>
          <w:color w:val="auto"/>
          <w:sz w:val="24"/>
          <w:szCs w:val="24"/>
          <w:lang w:eastAsia="zh-CN"/>
        </w:rPr>
        <w:t>利用职权或者职务上的影响谋取</w:t>
      </w:r>
      <w:r>
        <w:rPr>
          <w:rFonts w:hint="eastAsia" w:ascii="宋体" w:hAnsi="宋体" w:eastAsia="宋体" w:cs="宋体"/>
          <w:color w:val="auto"/>
          <w:sz w:val="24"/>
          <w:szCs w:val="24"/>
          <w:lang w:val="en-US" w:eastAsia="zh-CN"/>
        </w:rPr>
        <w:t>不正当利益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w:t>
      </w:r>
      <w:r>
        <w:rPr>
          <w:rFonts w:hint="eastAsia" w:ascii="宋体" w:hAnsi="宋体" w:eastAsia="宋体" w:cs="宋体"/>
          <w:color w:val="auto"/>
          <w:sz w:val="24"/>
          <w:szCs w:val="24"/>
          <w:lang w:val="en-US" w:eastAsia="zh-CN"/>
        </w:rPr>
        <w:t>索取或收受乙方</w:t>
      </w:r>
      <w:r>
        <w:rPr>
          <w:rFonts w:hint="eastAsia" w:ascii="宋体" w:hAnsi="宋体" w:eastAsia="宋体" w:cs="宋体"/>
          <w:color w:val="auto"/>
          <w:sz w:val="24"/>
          <w:szCs w:val="24"/>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4"/>
          <w:szCs w:val="24"/>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4"/>
          <w:szCs w:val="24"/>
        </w:rPr>
        <w:t>可能影响公正</w:t>
      </w:r>
      <w:r>
        <w:rPr>
          <w:rFonts w:hint="eastAsia" w:ascii="宋体" w:hAnsi="宋体" w:eastAsia="宋体" w:cs="宋体"/>
          <w:color w:val="auto"/>
          <w:sz w:val="24"/>
          <w:szCs w:val="24"/>
          <w:lang w:val="en-US" w:eastAsia="zh-CN"/>
        </w:rPr>
        <w:t>执行公务</w:t>
      </w:r>
      <w:r>
        <w:rPr>
          <w:rFonts w:hint="eastAsia" w:ascii="宋体" w:hAnsi="宋体" w:eastAsia="宋体" w:cs="宋体"/>
          <w:color w:val="auto"/>
          <w:sz w:val="24"/>
          <w:szCs w:val="24"/>
        </w:rPr>
        <w:t>的宴请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旅游、健身、娱乐</w:t>
      </w:r>
      <w:r>
        <w:rPr>
          <w:rFonts w:hint="eastAsia" w:ascii="宋体" w:hAnsi="宋体" w:eastAsia="宋体" w:cs="宋体"/>
          <w:color w:val="auto"/>
          <w:sz w:val="24"/>
          <w:szCs w:val="24"/>
          <w:lang w:val="en-US" w:eastAsia="zh-CN"/>
        </w:rPr>
        <w:t>等活动；不得要求或接受乙方为个人装修住房、婚丧嫁娶及亲属工作安排等提供便利；</w:t>
      </w:r>
      <w:r>
        <w:rPr>
          <w:rFonts w:hint="eastAsia" w:ascii="宋体" w:hAnsi="宋体" w:eastAsia="宋体" w:cs="宋体"/>
          <w:color w:val="auto"/>
          <w:sz w:val="24"/>
          <w:szCs w:val="24"/>
        </w:rPr>
        <w:t>不得向乙方</w:t>
      </w:r>
      <w:r>
        <w:rPr>
          <w:rFonts w:hint="eastAsia" w:ascii="宋体" w:hAnsi="宋体" w:eastAsia="宋体" w:cs="宋体"/>
          <w:color w:val="auto"/>
          <w:sz w:val="24"/>
          <w:szCs w:val="24"/>
          <w:lang w:val="en-US" w:eastAsia="zh-CN"/>
        </w:rPr>
        <w:t>介绍亲属或其他特定关系人参与可能获取不正当利益的经济活动</w:t>
      </w:r>
      <w:r>
        <w:rPr>
          <w:rFonts w:hint="eastAsia" w:ascii="宋体" w:hAnsi="宋体" w:eastAsia="宋体" w:cs="宋体"/>
          <w:color w:val="auto"/>
          <w:sz w:val="24"/>
          <w:szCs w:val="24"/>
          <w:lang w:eastAsia="zh-CN"/>
        </w:rPr>
        <w:t>；不</w:t>
      </w:r>
      <w:r>
        <w:rPr>
          <w:rFonts w:hint="eastAsia" w:ascii="宋体" w:hAnsi="宋体" w:eastAsia="宋体" w:cs="宋体"/>
          <w:color w:val="auto"/>
          <w:sz w:val="24"/>
          <w:szCs w:val="24"/>
          <w:lang w:val="en-US" w:eastAsia="zh-CN"/>
        </w:rPr>
        <w:t>得</w:t>
      </w:r>
      <w:r>
        <w:rPr>
          <w:rFonts w:hint="eastAsia" w:ascii="宋体" w:hAnsi="宋体" w:eastAsia="宋体" w:cs="宋体"/>
          <w:color w:val="auto"/>
          <w:sz w:val="24"/>
          <w:szCs w:val="24"/>
          <w:lang w:eastAsia="zh-CN"/>
        </w:rPr>
        <w:t>向乙方泄漏涉及有关业务活动的秘密。</w:t>
      </w:r>
    </w:p>
    <w:p w14:paraId="26173DCA">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乙方应遵守廉洁规定，</w:t>
      </w:r>
      <w:r>
        <w:rPr>
          <w:rFonts w:hint="eastAsia" w:ascii="宋体" w:hAnsi="宋体" w:eastAsia="宋体" w:cs="宋体"/>
          <w:color w:val="auto"/>
          <w:sz w:val="24"/>
          <w:szCs w:val="24"/>
          <w:highlight w:val="none"/>
          <w:lang w:val="en-US" w:eastAsia="zh-CN"/>
        </w:rPr>
        <w:t>不得利用本合同项下业务合作便利谋取不正当利益，</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不得向甲方</w:t>
      </w:r>
      <w:r>
        <w:rPr>
          <w:rFonts w:hint="eastAsia" w:ascii="宋体" w:hAnsi="宋体" w:eastAsia="宋体" w:cs="宋体"/>
          <w:color w:val="auto"/>
          <w:sz w:val="24"/>
          <w:szCs w:val="24"/>
          <w:lang w:val="en-US" w:eastAsia="zh-CN"/>
        </w:rPr>
        <w:t>提供或</w:t>
      </w:r>
      <w:r>
        <w:rPr>
          <w:rFonts w:hint="eastAsia" w:ascii="宋体" w:hAnsi="宋体" w:eastAsia="宋体" w:cs="宋体"/>
          <w:color w:val="auto"/>
          <w:sz w:val="24"/>
          <w:szCs w:val="24"/>
        </w:rPr>
        <w:t>赠送</w:t>
      </w:r>
      <w:r>
        <w:rPr>
          <w:rFonts w:hint="eastAsia" w:ascii="宋体" w:hAnsi="宋体" w:eastAsia="宋体" w:cs="宋体"/>
          <w:color w:val="auto"/>
          <w:sz w:val="24"/>
          <w:szCs w:val="24"/>
          <w:lang w:val="en-US" w:eastAsia="zh-CN"/>
        </w:rPr>
        <w:t>礼品、礼金、回扣、有价证券等财物，以及其他非财产性利益</w:t>
      </w:r>
      <w:r>
        <w:rPr>
          <w:rFonts w:hint="eastAsia" w:ascii="宋体" w:hAnsi="宋体" w:eastAsia="宋体" w:cs="宋体"/>
          <w:color w:val="auto"/>
          <w:sz w:val="24"/>
          <w:szCs w:val="24"/>
          <w:lang w:eastAsia="zh-CN"/>
        </w:rPr>
        <w:t>；不得</w:t>
      </w:r>
      <w:r>
        <w:rPr>
          <w:rFonts w:hint="eastAsia" w:ascii="宋体" w:hAnsi="宋体" w:eastAsia="宋体" w:cs="宋体"/>
          <w:color w:val="auto"/>
          <w:sz w:val="24"/>
          <w:szCs w:val="24"/>
          <w:lang w:val="en-US" w:eastAsia="zh-CN"/>
        </w:rPr>
        <w:t>向甲方借出</w:t>
      </w:r>
      <w:r>
        <w:rPr>
          <w:rFonts w:hint="eastAsia" w:ascii="宋体" w:hAnsi="宋体" w:eastAsia="宋体" w:cs="宋体"/>
          <w:color w:val="auto"/>
          <w:sz w:val="24"/>
          <w:szCs w:val="24"/>
          <w:lang w:eastAsia="zh-CN"/>
        </w:rPr>
        <w:t>钱款、住房、车辆等；不得</w:t>
      </w:r>
      <w:r>
        <w:rPr>
          <w:rFonts w:hint="eastAsia" w:ascii="宋体" w:hAnsi="宋体" w:eastAsia="宋体" w:cs="宋体"/>
          <w:color w:val="auto"/>
          <w:sz w:val="24"/>
          <w:szCs w:val="24"/>
          <w:lang w:val="en-US" w:eastAsia="zh-CN"/>
        </w:rPr>
        <w:t>为甲方提供</w:t>
      </w:r>
      <w:r>
        <w:rPr>
          <w:rFonts w:hint="eastAsia" w:ascii="宋体" w:hAnsi="宋体" w:eastAsia="宋体" w:cs="宋体"/>
          <w:color w:val="auto"/>
          <w:sz w:val="24"/>
          <w:szCs w:val="24"/>
          <w:lang w:eastAsia="zh-CN"/>
        </w:rPr>
        <w:t>宴请、旅游、健身、娱乐等活动</w:t>
      </w:r>
      <w:r>
        <w:rPr>
          <w:rFonts w:hint="eastAsia" w:ascii="宋体" w:hAnsi="宋体" w:eastAsia="宋体" w:cs="宋体"/>
          <w:color w:val="auto"/>
          <w:sz w:val="24"/>
          <w:szCs w:val="24"/>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4362FE4D">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发现甲方有违反廉洁规定的，应及时向甲方反映或举报。受理部门：</w:t>
      </w:r>
      <w:permStart w:id="126" w:edGrp="everyone"/>
      <w:r>
        <w:rPr>
          <w:rFonts w:hint="eastAsia" w:ascii="宋体" w:hAnsi="宋体" w:eastAsia="宋体" w:cs="宋体"/>
          <w:color w:val="auto"/>
          <w:sz w:val="24"/>
          <w:szCs w:val="24"/>
          <w:u w:val="single"/>
          <w:lang w:val="en-US" w:eastAsia="zh-CN"/>
        </w:rPr>
        <w:t xml:space="preserve">    </w:t>
      </w:r>
      <w:permEnd w:id="126"/>
      <w:r>
        <w:rPr>
          <w:rFonts w:hint="eastAsia" w:ascii="宋体" w:hAnsi="宋体" w:eastAsia="宋体" w:cs="宋体"/>
          <w:color w:val="auto"/>
          <w:sz w:val="24"/>
          <w:szCs w:val="24"/>
        </w:rPr>
        <w:t>；举报地址：</w:t>
      </w:r>
      <w:permStart w:id="127" w:edGrp="everyone"/>
      <w:r>
        <w:rPr>
          <w:rFonts w:hint="eastAsia" w:ascii="宋体" w:hAnsi="宋体" w:eastAsia="宋体" w:cs="宋体"/>
          <w:color w:val="auto"/>
          <w:sz w:val="24"/>
          <w:szCs w:val="24"/>
          <w:u w:val="single"/>
          <w:lang w:val="en-US"/>
        </w:rPr>
        <w:t xml:space="preserve">    </w:t>
      </w:r>
      <w:permEnd w:id="127"/>
      <w:r>
        <w:rPr>
          <w:rFonts w:hint="eastAsia" w:ascii="宋体" w:hAnsi="宋体" w:eastAsia="宋体" w:cs="宋体"/>
          <w:color w:val="auto"/>
          <w:sz w:val="24"/>
          <w:szCs w:val="24"/>
        </w:rPr>
        <w:t>；举报邮箱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ermStart w:id="128" w:edGrp="everyone"/>
      <w:r>
        <w:rPr>
          <w:rFonts w:hint="eastAsia" w:ascii="宋体" w:hAnsi="宋体" w:eastAsia="宋体" w:cs="宋体"/>
          <w:color w:val="auto"/>
          <w:sz w:val="24"/>
          <w:szCs w:val="24"/>
          <w:u w:val="single"/>
          <w:lang w:val="en-US"/>
        </w:rPr>
        <w:t xml:space="preserve">     </w:t>
      </w:r>
      <w:permEnd w:id="128"/>
      <w:r>
        <w:rPr>
          <w:rFonts w:hint="eastAsia" w:ascii="宋体" w:hAnsi="宋体" w:eastAsia="宋体" w:cs="宋体"/>
          <w:color w:val="auto"/>
          <w:sz w:val="24"/>
          <w:szCs w:val="24"/>
        </w:rPr>
        <w:t>；举报电话：</w:t>
      </w:r>
      <w:permStart w:id="129" w:edGrp="everyone"/>
      <w:r>
        <w:rPr>
          <w:rFonts w:hint="eastAsia" w:ascii="宋体" w:hAnsi="宋体" w:eastAsia="宋体" w:cs="宋体"/>
          <w:b w:val="0"/>
          <w:bCs w:val="0"/>
          <w:color w:val="auto"/>
          <w:sz w:val="24"/>
          <w:szCs w:val="24"/>
          <w:u w:val="single"/>
          <w:lang w:val="en-US"/>
        </w:rPr>
        <w:t xml:space="preserve">    </w:t>
      </w:r>
      <w:permEnd w:id="129"/>
      <w:r>
        <w:rPr>
          <w:rFonts w:hint="eastAsia" w:ascii="宋体" w:hAnsi="宋体" w:eastAsia="宋体" w:cs="宋体"/>
          <w:color w:val="auto"/>
          <w:sz w:val="24"/>
          <w:szCs w:val="24"/>
        </w:rPr>
        <w:t>。</w:t>
      </w:r>
    </w:p>
    <w:p w14:paraId="17CE3B9B">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甲方违反国家及本合同有关廉洁规定的，</w:t>
      </w:r>
      <w:r>
        <w:rPr>
          <w:rFonts w:hint="eastAsia" w:ascii="宋体" w:hAnsi="宋体" w:eastAsia="宋体" w:cs="宋体"/>
          <w:color w:val="auto"/>
          <w:sz w:val="24"/>
          <w:szCs w:val="24"/>
          <w:lang w:val="en-US" w:eastAsia="zh-CN"/>
        </w:rPr>
        <w:t>由相关部门（机构）</w:t>
      </w:r>
      <w:r>
        <w:rPr>
          <w:rFonts w:hint="eastAsia" w:ascii="宋体" w:hAnsi="宋体" w:eastAsia="宋体" w:cs="宋体"/>
          <w:color w:val="auto"/>
          <w:sz w:val="24"/>
          <w:szCs w:val="24"/>
        </w:rPr>
        <w:t>依法依规给予纪律处分或处理；涉嫌</w:t>
      </w:r>
      <w:r>
        <w:rPr>
          <w:rFonts w:hint="eastAsia" w:ascii="宋体" w:hAnsi="宋体" w:eastAsia="宋体" w:cs="宋体"/>
          <w:color w:val="auto"/>
          <w:sz w:val="24"/>
          <w:szCs w:val="24"/>
          <w:lang w:val="en-US" w:eastAsia="zh-CN"/>
        </w:rPr>
        <w:t>职务</w:t>
      </w:r>
      <w:r>
        <w:rPr>
          <w:rFonts w:hint="eastAsia" w:ascii="宋体" w:hAnsi="宋体" w:eastAsia="宋体" w:cs="宋体"/>
          <w:color w:val="auto"/>
          <w:sz w:val="24"/>
          <w:szCs w:val="24"/>
        </w:rPr>
        <w:t>犯罪的，移</w:t>
      </w:r>
      <w:r>
        <w:rPr>
          <w:rFonts w:hint="eastAsia" w:ascii="宋体" w:hAnsi="宋体" w:eastAsia="宋体" w:cs="宋体"/>
          <w:color w:val="auto"/>
          <w:sz w:val="24"/>
          <w:szCs w:val="24"/>
          <w:lang w:val="en-US" w:eastAsia="zh-CN"/>
        </w:rPr>
        <w:t>交监察机构办理</w:t>
      </w:r>
      <w:r>
        <w:rPr>
          <w:rFonts w:hint="eastAsia" w:ascii="宋体" w:hAnsi="宋体" w:eastAsia="宋体" w:cs="宋体"/>
          <w:color w:val="auto"/>
          <w:sz w:val="24"/>
          <w:szCs w:val="24"/>
        </w:rPr>
        <w:t>。</w:t>
      </w:r>
    </w:p>
    <w:p w14:paraId="58B03E84">
      <w:pPr>
        <w:kinsoku/>
        <w:wordWrap/>
        <w:overflowPunct/>
        <w:topLinePunct w:val="0"/>
        <w:autoSpaceDE w:val="0"/>
        <w:autoSpaceDN w:val="0"/>
        <w:bidi w:val="0"/>
        <w:adjustRightInd w:val="0"/>
        <w:spacing w:line="540" w:lineRule="exact"/>
        <w:ind w:firstLine="482" w:firstLineChars="200"/>
        <w:jc w:val="left"/>
        <w:rPr>
          <w:rFonts w:hint="eastAsia" w:ascii="宋体" w:hAnsi="宋体" w:eastAsia="宋体" w:cs="宋体"/>
          <w:b/>
          <w:bCs/>
          <w:sz w:val="24"/>
          <w:szCs w:val="24"/>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5</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4"/>
          <w:szCs w:val="24"/>
          <w:lang w:val="en-US" w:eastAsia="zh-CN"/>
        </w:rPr>
        <w:t>并有权单方解除合同，因此造成的损失由乙方承担</w:t>
      </w:r>
      <w:r>
        <w:rPr>
          <w:rFonts w:hint="eastAsia" w:ascii="宋体" w:hAnsi="宋体" w:eastAsia="宋体" w:cs="宋体"/>
          <w:b/>
          <w:bCs/>
          <w:color w:val="auto"/>
          <w:sz w:val="24"/>
          <w:szCs w:val="24"/>
        </w:rPr>
        <w:t>；涉嫌犯罪的，移送司法机关依法追究刑事责任。</w:t>
      </w:r>
    </w:p>
    <w:p w14:paraId="37C550BA">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permStart w:id="130" w:edGrp="everyone"/>
      <w:bookmarkStart w:id="10" w:name="_Toc20644923"/>
      <w:bookmarkStart w:id="11" w:name="_Toc296719074"/>
      <w:bookmarkStart w:id="12" w:name="_Toc203886151"/>
      <w:bookmarkStart w:id="13" w:name="_Toc156796853"/>
      <w:r>
        <w:rPr>
          <w:rFonts w:hint="eastAsia" w:ascii="宋体" w:hAnsi="宋体" w:eastAsia="宋体" w:cs="宋体"/>
          <w:sz w:val="24"/>
          <w:szCs w:val="24"/>
        </w:rPr>
        <w:t>第四节 合同附件格式</w:t>
      </w:r>
      <w:bookmarkEnd w:id="10"/>
      <w:bookmarkEnd w:id="11"/>
      <w:bookmarkEnd w:id="12"/>
      <w:bookmarkEnd w:id="13"/>
      <w:bookmarkStart w:id="14" w:name="_Toc296719075"/>
    </w:p>
    <w:p w14:paraId="15A1FE15">
      <w:pPr>
        <w:kinsoku/>
        <w:wordWrap/>
        <w:overflowPunct/>
        <w:topLinePunct w:val="0"/>
        <w:bidi w:val="0"/>
        <w:spacing w:line="540" w:lineRule="exact"/>
        <w:rPr>
          <w:rFonts w:hint="eastAsia" w:ascii="宋体" w:hAnsi="宋体" w:eastAsia="宋体" w:cs="宋体"/>
          <w:sz w:val="24"/>
          <w:szCs w:val="24"/>
        </w:rPr>
      </w:pPr>
    </w:p>
    <w:p w14:paraId="0F472053">
      <w:pPr>
        <w:kinsoku/>
        <w:wordWrap/>
        <w:overflowPunct/>
        <w:topLinePunct w:val="0"/>
        <w:bidi w:val="0"/>
        <w:spacing w:line="540" w:lineRule="exact"/>
        <w:outlineLvl w:val="2"/>
        <w:rPr>
          <w:rFonts w:hint="eastAsia" w:ascii="宋体" w:hAnsi="宋体" w:eastAsia="宋体" w:cs="宋体"/>
          <w:sz w:val="24"/>
          <w:szCs w:val="24"/>
        </w:rPr>
      </w:pPr>
      <w:bookmarkStart w:id="15" w:name="_Toc247339743"/>
      <w:bookmarkStart w:id="16" w:name="_Toc341772039"/>
      <w:bookmarkStart w:id="17" w:name="_Toc223334880"/>
      <w:r>
        <w:rPr>
          <w:rFonts w:hint="eastAsia" w:ascii="宋体" w:hAnsi="宋体" w:eastAsia="宋体" w:cs="宋体"/>
          <w:sz w:val="24"/>
          <w:szCs w:val="24"/>
        </w:rPr>
        <w:t>附件一 履约保函</w:t>
      </w:r>
      <w:bookmarkEnd w:id="15"/>
      <w:bookmarkEnd w:id="16"/>
      <w:r>
        <w:rPr>
          <w:rFonts w:hint="eastAsia" w:ascii="宋体" w:hAnsi="宋体" w:eastAsia="宋体" w:cs="宋体"/>
          <w:sz w:val="24"/>
          <w:szCs w:val="24"/>
        </w:rPr>
        <w:t>（担保的形式包括银行提供的保函、央企财务公司提供的保函、保险公司提供的国家认可的具有法律效力的保险等，格式自定）</w:t>
      </w:r>
    </w:p>
    <w:p w14:paraId="283FB616">
      <w:pPr>
        <w:kinsoku/>
        <w:wordWrap/>
        <w:overflowPunct/>
        <w:topLinePunct w:val="0"/>
        <w:bidi w:val="0"/>
        <w:spacing w:line="540" w:lineRule="exact"/>
        <w:jc w:val="center"/>
        <w:rPr>
          <w:rFonts w:hint="eastAsia" w:ascii="宋体" w:hAnsi="宋体" w:eastAsia="宋体" w:cs="宋体"/>
          <w:b/>
          <w:sz w:val="24"/>
          <w:szCs w:val="24"/>
        </w:rPr>
      </w:pPr>
    </w:p>
    <w:p w14:paraId="614AC27D">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履 约 保 函</w:t>
      </w:r>
    </w:p>
    <w:p w14:paraId="2C72A521">
      <w:pPr>
        <w:kinsoku/>
        <w:wordWrap/>
        <w:overflowPunct/>
        <w:topLinePunct w:val="0"/>
        <w:bidi w:val="0"/>
        <w:spacing w:line="540" w:lineRule="exact"/>
        <w:jc w:val="center"/>
        <w:rPr>
          <w:rFonts w:hint="eastAsia" w:ascii="宋体" w:hAnsi="宋体" w:eastAsia="宋体" w:cs="宋体"/>
          <w:sz w:val="24"/>
          <w:szCs w:val="24"/>
        </w:rPr>
      </w:pPr>
      <w:r>
        <w:rPr>
          <w:rFonts w:hint="eastAsia" w:ascii="宋体" w:hAnsi="宋体" w:eastAsia="宋体" w:cs="宋体"/>
          <w:sz w:val="24"/>
          <w:szCs w:val="24"/>
        </w:rPr>
        <w:t xml:space="preserve">                                                     编号：</w:t>
      </w:r>
    </w:p>
    <w:p w14:paraId="688A795A">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致受益人（招标方）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4789025">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因保函申请人       与你方签订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（合同或协议）编号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，我行已接受保函申请人的请求，愿就保函申请人履行上述合同（或协议）约定的义务向你方提供如下保证：</w:t>
      </w:r>
    </w:p>
    <w:p w14:paraId="4540D51E">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一、本保函担保的金额最高不超过(币种、金额大写)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14:paraId="327BC8E3">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二、本保函担保的方式为连带责任保证。</w:t>
      </w:r>
    </w:p>
    <w:p w14:paraId="43B2334C">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三、本保函的保证期间自</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至</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w:t>
      </w:r>
    </w:p>
    <w:p w14:paraId="34D0CB6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四、在本保函的有效期内，如保函申请人违反上述合同或协议约定的义务，我行将在收到你方符合下列条件的索赔通知后</w:t>
      </w:r>
      <w:r>
        <w:rPr>
          <w:rFonts w:hint="eastAsia" w:ascii="宋体" w:hAnsi="宋体" w:eastAsia="宋体" w:cs="宋体"/>
          <w:sz w:val="24"/>
          <w:szCs w:val="24"/>
          <w:u w:val="single"/>
        </w:rPr>
        <w:t xml:space="preserve">   </w:t>
      </w:r>
      <w:r>
        <w:rPr>
          <w:rFonts w:hint="eastAsia" w:ascii="宋体" w:hAnsi="宋体" w:eastAsia="宋体" w:cs="宋体"/>
          <w:sz w:val="24"/>
          <w:szCs w:val="24"/>
        </w:rPr>
        <w:t>个银行工作日内，凭本保函向你方支付本保函担保范围内你方索赔的金额：</w:t>
      </w:r>
    </w:p>
    <w:p w14:paraId="092AA7D6">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（一）你方的索赔通知必须以书面形式提出，索赔通知应由你方法定代表人（负责人）或授权代理人签字并加盖单位公章；</w:t>
      </w:r>
    </w:p>
    <w:p w14:paraId="770D763E">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（二）你方的索赔通知必须在本保函有效期内送达我行；</w:t>
      </w:r>
    </w:p>
    <w:p w14:paraId="11DD9C1E">
      <w:pPr>
        <w:kinsoku/>
        <w:wordWrap/>
        <w:overflowPunct/>
        <w:topLinePunct w:val="0"/>
        <w:bidi w:val="0"/>
        <w:spacing w:line="540" w:lineRule="exact"/>
        <w:ind w:firstLine="420"/>
        <w:rPr>
          <w:rFonts w:hint="eastAsia" w:ascii="宋体" w:hAnsi="宋体" w:eastAsia="宋体" w:cs="宋体"/>
          <w:sz w:val="24"/>
          <w:szCs w:val="24"/>
        </w:rPr>
      </w:pPr>
      <w:r>
        <w:rPr>
          <w:rFonts w:hint="eastAsia" w:ascii="宋体" w:hAnsi="宋体" w:eastAsia="宋体" w:cs="宋体"/>
          <w:sz w:val="24"/>
          <w:szCs w:val="24"/>
        </w:rPr>
        <w:t>（三）你方的索赔通知必须同时附有：</w:t>
      </w:r>
    </w:p>
    <w:p w14:paraId="67181C89">
      <w:pPr>
        <w:kinsoku/>
        <w:wordWrap/>
        <w:overflowPunct/>
        <w:topLinePunct w:val="0"/>
        <w:bidi w:val="0"/>
        <w:spacing w:line="540" w:lineRule="exact"/>
        <w:ind w:firstLine="420"/>
        <w:rPr>
          <w:rFonts w:hint="eastAsia" w:ascii="宋体" w:hAnsi="宋体" w:eastAsia="宋体" w:cs="宋体"/>
          <w:sz w:val="24"/>
          <w:szCs w:val="24"/>
        </w:rPr>
      </w:pPr>
      <w:r>
        <w:rPr>
          <w:rFonts w:hint="eastAsia" w:ascii="宋体" w:hAnsi="宋体" w:eastAsia="宋体" w:cs="宋体"/>
          <w:sz w:val="24"/>
          <w:szCs w:val="24"/>
        </w:rPr>
        <w:t>1.声明你方索赔的款额并未由保函申请人或其代理人以其他方式直接或间接地支付给你方；</w:t>
      </w:r>
    </w:p>
    <w:p w14:paraId="5FDB09C6">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五、本保函所附声明条款系本保函的不可撤销、不可变更的组成部分。</w:t>
      </w:r>
    </w:p>
    <w:p w14:paraId="7CE0DF18">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六、本保函自本行负责人或授权代理人签字并加盖公章之日起生效。</w:t>
      </w:r>
    </w:p>
    <w:p w14:paraId="069D2146">
      <w:pPr>
        <w:kinsoku/>
        <w:wordWrap/>
        <w:overflowPunct/>
        <w:topLinePunct w:val="0"/>
        <w:bidi w:val="0"/>
        <w:spacing w:line="540" w:lineRule="exact"/>
        <w:rPr>
          <w:rFonts w:hint="eastAsia" w:ascii="宋体" w:hAnsi="宋体" w:eastAsia="宋体" w:cs="宋体"/>
          <w:sz w:val="24"/>
          <w:szCs w:val="24"/>
        </w:rPr>
      </w:pPr>
    </w:p>
    <w:p w14:paraId="0AF8EAB4">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保证人（盖章）：</w:t>
      </w:r>
    </w:p>
    <w:p w14:paraId="55779129">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负责人或授权代理人（签字）：</w:t>
      </w:r>
    </w:p>
    <w:p w14:paraId="13D44B3E">
      <w:pPr>
        <w:kinsoku/>
        <w:wordWrap/>
        <w:overflowPunct/>
        <w:topLinePunct w:val="0"/>
        <w:autoSpaceDE w:val="0"/>
        <w:autoSpaceDN w:val="0"/>
        <w:bidi w:val="0"/>
        <w:spacing w:line="540" w:lineRule="exact"/>
        <w:ind w:firstLine="3960" w:firstLineChars="1650"/>
        <w:rPr>
          <w:rFonts w:hint="eastAsia" w:ascii="宋体" w:hAnsi="宋体" w:eastAsia="宋体" w:cs="宋体"/>
          <w:sz w:val="24"/>
          <w:szCs w:val="24"/>
        </w:rPr>
      </w:pPr>
      <w:r>
        <w:rPr>
          <w:rFonts w:hint="eastAsia" w:ascii="宋体" w:hAnsi="宋体" w:eastAsia="宋体" w:cs="宋体"/>
          <w:sz w:val="24"/>
          <w:szCs w:val="24"/>
        </w:rPr>
        <w:t xml:space="preserve"> 签发日期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E6CD417">
      <w:pPr>
        <w:kinsoku/>
        <w:wordWrap/>
        <w:overflowPunct/>
        <w:topLinePunct w:val="0"/>
        <w:autoSpaceDE w:val="0"/>
        <w:autoSpaceDN w:val="0"/>
        <w:bidi w:val="0"/>
        <w:spacing w:line="540" w:lineRule="exact"/>
        <w:ind w:firstLine="3960" w:firstLineChars="1650"/>
        <w:rPr>
          <w:rFonts w:hint="eastAsia" w:ascii="宋体" w:hAnsi="宋体" w:eastAsia="宋体" w:cs="宋体"/>
          <w:sz w:val="24"/>
          <w:szCs w:val="24"/>
        </w:rPr>
      </w:pPr>
    </w:p>
    <w:p w14:paraId="1AFEBC78">
      <w:pPr>
        <w:kinsoku/>
        <w:wordWrap/>
        <w:overflowPunct/>
        <w:topLinePunct w:val="0"/>
        <w:bidi w:val="0"/>
        <w:spacing w:line="540" w:lineRule="exact"/>
        <w:outlineLvl w:val="2"/>
        <w:rPr>
          <w:rFonts w:hint="eastAsia" w:ascii="宋体" w:hAnsi="宋体" w:eastAsia="宋体" w:cs="宋体"/>
          <w:sz w:val="24"/>
          <w:szCs w:val="24"/>
        </w:rPr>
      </w:pPr>
      <w:bookmarkStart w:id="18" w:name="_Toc341772040"/>
      <w:r>
        <w:rPr>
          <w:rFonts w:hint="eastAsia" w:ascii="宋体" w:hAnsi="宋体" w:eastAsia="宋体" w:cs="宋体"/>
          <w:sz w:val="24"/>
          <w:szCs w:val="24"/>
        </w:rPr>
        <w:br w:type="page"/>
      </w:r>
      <w:r>
        <w:rPr>
          <w:rFonts w:hint="eastAsia" w:ascii="宋体" w:hAnsi="宋体" w:eastAsia="宋体" w:cs="宋体"/>
          <w:sz w:val="24"/>
          <w:szCs w:val="24"/>
        </w:rPr>
        <w:t>附件二 质量保证金保函（担保的形式包括银行提供的保函、央企财务公司提供的保函、保险公司提供的国家认可的具有法律效力的保险等，格式自定）</w:t>
      </w:r>
    </w:p>
    <w:p w14:paraId="1AF68DA6">
      <w:pPr>
        <w:kinsoku/>
        <w:wordWrap/>
        <w:overflowPunct/>
        <w:topLinePunct w:val="0"/>
        <w:bidi w:val="0"/>
        <w:spacing w:line="540" w:lineRule="exact"/>
        <w:jc w:val="left"/>
        <w:rPr>
          <w:rFonts w:hint="eastAsia" w:ascii="宋体" w:hAnsi="宋体" w:eastAsia="宋体" w:cs="宋体"/>
          <w:sz w:val="24"/>
          <w:szCs w:val="24"/>
        </w:rPr>
      </w:pPr>
    </w:p>
    <w:p w14:paraId="289594A4">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质量保证金保函</w:t>
      </w:r>
    </w:p>
    <w:p w14:paraId="244E0332">
      <w:pPr>
        <w:kinsoku/>
        <w:wordWrap/>
        <w:overflowPunct/>
        <w:topLinePunct w:val="0"/>
        <w:autoSpaceDE w:val="0"/>
        <w:autoSpaceDN w:val="0"/>
        <w:bidi w:val="0"/>
        <w:spacing w:line="540" w:lineRule="exact"/>
        <w:rPr>
          <w:rFonts w:hint="eastAsia" w:ascii="宋体" w:hAnsi="宋体" w:eastAsia="宋体" w:cs="宋体"/>
          <w:sz w:val="24"/>
          <w:szCs w:val="24"/>
          <w:u w:val="single"/>
        </w:rPr>
      </w:pPr>
      <w:r>
        <w:rPr>
          <w:rFonts w:hint="eastAsia" w:ascii="宋体" w:hAnsi="宋体" w:eastAsia="宋体" w:cs="宋体"/>
          <w:sz w:val="24"/>
          <w:szCs w:val="24"/>
        </w:rPr>
        <w:t>（发包人名称）：</w:t>
      </w:r>
      <w:r>
        <w:rPr>
          <w:rFonts w:hint="eastAsia" w:ascii="宋体" w:hAnsi="宋体" w:eastAsia="宋体" w:cs="宋体"/>
          <w:sz w:val="24"/>
          <w:szCs w:val="24"/>
          <w:u w:val="single"/>
        </w:rPr>
        <w:t xml:space="preserve">               </w:t>
      </w:r>
    </w:p>
    <w:p w14:paraId="026A8098">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根据           （承包人名称）（以下称“承包人”）与         （发包人名称）（以下简称“发包人”）于</w:t>
      </w:r>
      <w:r>
        <w:rPr>
          <w:rFonts w:hint="eastAsia" w:ascii="宋体" w:hAnsi="宋体" w:eastAsia="宋体" w:cs="宋体"/>
          <w:sz w:val="24"/>
          <w:szCs w:val="24"/>
          <w:u w:val="single"/>
          <w:lang w:val="en-US" w:eastAsia="zh-CN"/>
        </w:rPr>
        <w:t xml:space="preserve">       年      月      日</w:t>
      </w:r>
      <w:r>
        <w:rPr>
          <w:rFonts w:hint="eastAsia" w:ascii="宋体" w:hAnsi="宋体" w:eastAsia="宋体" w:cs="宋体"/>
          <w:sz w:val="24"/>
          <w:szCs w:val="24"/>
          <w:u w:val="single"/>
        </w:rPr>
        <w:t>签订的    （项目名称）施工承包合同，承包人按约定的金额向发包人提交一份质量保证金担保，即有权得到发包人支付相等金额的质量保证金。我方愿意就你方提供给承包人的质量保证金提供担保。</w:t>
      </w:r>
    </w:p>
    <w:p w14:paraId="093F04F6">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1. 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00E6256">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 担保有效期自质量保证金支付给承包人起生效，至质保期结束止。</w:t>
      </w:r>
    </w:p>
    <w:p w14:paraId="02F686A8">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 在本保函有效期内，因承包人违反合同约定而拒绝履行质保期相关义务时，我方在收到你方的书面通知后，在７天内无条件支付。但本保函的担保金额，在任何时候不应超过质保金金额。</w:t>
      </w:r>
    </w:p>
    <w:p w14:paraId="4B029037">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 发包人和承包人变更合同时，我方承担本保函规定的义务不变。</w:t>
      </w:r>
    </w:p>
    <w:p w14:paraId="01231475">
      <w:pPr>
        <w:kinsoku/>
        <w:wordWrap/>
        <w:overflowPunct/>
        <w:topLinePunct w:val="0"/>
        <w:autoSpaceDE w:val="0"/>
        <w:autoSpaceDN w:val="0"/>
        <w:bidi w:val="0"/>
        <w:spacing w:line="540" w:lineRule="exact"/>
        <w:ind w:firstLine="480" w:firstLineChars="200"/>
        <w:jc w:val="right"/>
        <w:rPr>
          <w:rFonts w:hint="eastAsia" w:ascii="宋体" w:hAnsi="宋体" w:eastAsia="宋体" w:cs="宋体"/>
          <w:sz w:val="24"/>
          <w:szCs w:val="24"/>
        </w:rPr>
      </w:pPr>
    </w:p>
    <w:p w14:paraId="7EE23801">
      <w:pPr>
        <w:kinsoku/>
        <w:wordWrap/>
        <w:overflowPunct/>
        <w:topLinePunct w:val="0"/>
        <w:autoSpaceDE w:val="0"/>
        <w:autoSpaceDN w:val="0"/>
        <w:bidi w:val="0"/>
        <w:spacing w:line="5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担 保 人：</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5FCB4E10">
      <w:pPr>
        <w:kinsoku/>
        <w:wordWrap/>
        <w:overflowPunct/>
        <w:topLinePunct w:val="0"/>
        <w:autoSpaceDE w:val="0"/>
        <w:autoSpaceDN w:val="0"/>
        <w:bidi w:val="0"/>
        <w:spacing w:line="540" w:lineRule="exact"/>
        <w:jc w:val="right"/>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p>
    <w:p w14:paraId="32D5EC6E">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2090A58">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449DC734">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750C9BF2">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7892590D">
      <w:pPr>
        <w:pStyle w:val="22"/>
        <w:kinsoku/>
        <w:wordWrap/>
        <w:overflowPunct/>
        <w:topLinePunct w:val="0"/>
        <w:bidi w:val="0"/>
        <w:spacing w:line="540" w:lineRule="exact"/>
        <w:ind w:firstLine="480" w:firstLineChars="200"/>
        <w:jc w:val="center"/>
        <w:rPr>
          <w:rFonts w:hint="eastAsia"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67B2103">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附件三 安全文明施工协议书</w:t>
      </w:r>
      <w:bookmarkEnd w:id="18"/>
    </w:p>
    <w:p w14:paraId="67C87EAD">
      <w:pPr>
        <w:kinsoku/>
        <w:wordWrap/>
        <w:overflowPunct/>
        <w:topLinePunct w:val="0"/>
        <w:bidi w:val="0"/>
        <w:spacing w:line="540" w:lineRule="exact"/>
        <w:rPr>
          <w:rFonts w:hint="eastAsia" w:ascii="宋体" w:hAnsi="宋体" w:eastAsia="宋体" w:cs="宋体"/>
          <w:sz w:val="24"/>
          <w:szCs w:val="24"/>
        </w:rPr>
      </w:pPr>
    </w:p>
    <w:p w14:paraId="174C2E0C">
      <w:pPr>
        <w:kinsoku/>
        <w:wordWrap/>
        <w:overflowPunct/>
        <w:topLinePunct w:val="0"/>
        <w:bidi w:val="0"/>
        <w:spacing w:line="540" w:lineRule="exact"/>
        <w:jc w:val="center"/>
        <w:rPr>
          <w:rFonts w:hint="eastAsia" w:ascii="宋体" w:hAnsi="宋体" w:eastAsia="宋体" w:cs="宋体"/>
          <w:b/>
          <w:sz w:val="24"/>
          <w:szCs w:val="24"/>
        </w:rPr>
      </w:pPr>
      <w:bookmarkStart w:id="19" w:name="_Toc341772041"/>
      <w:bookmarkStart w:id="20" w:name="_Toc247339745"/>
      <w:r>
        <w:rPr>
          <w:rFonts w:hint="eastAsia" w:ascii="宋体" w:hAnsi="宋体" w:eastAsia="宋体" w:cs="宋体"/>
          <w:b/>
          <w:sz w:val="24"/>
          <w:szCs w:val="24"/>
        </w:rPr>
        <w:t>发、承包工程安全文明施工协议书（施工）</w:t>
      </w:r>
    </w:p>
    <w:p w14:paraId="07E0AFB0">
      <w:pPr>
        <w:kinsoku/>
        <w:wordWrap/>
        <w:overflowPunct/>
        <w:topLinePunct w:val="0"/>
        <w:bidi w:val="0"/>
        <w:spacing w:line="540" w:lineRule="exact"/>
        <w:rPr>
          <w:rFonts w:hint="eastAsia" w:ascii="宋体" w:hAnsi="宋体" w:eastAsia="宋体" w:cs="宋体"/>
          <w:sz w:val="24"/>
          <w:szCs w:val="24"/>
        </w:rPr>
      </w:pPr>
    </w:p>
    <w:p w14:paraId="5BE89D4F">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发包单位（甲方）：</w:t>
      </w:r>
      <w:r>
        <w:rPr>
          <w:rFonts w:hint="eastAsia" w:ascii="宋体" w:hAnsi="宋体" w:eastAsia="宋体" w:cs="宋体"/>
          <w:sz w:val="24"/>
          <w:szCs w:val="24"/>
          <w:u w:val="single"/>
        </w:rPr>
        <w:t xml:space="preserve">                          </w:t>
      </w:r>
    </w:p>
    <w:p w14:paraId="3E7A79C1">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承包单位（乙方）：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5C52EDD">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工程内容：</w:t>
      </w:r>
      <w:r>
        <w:rPr>
          <w:rFonts w:hint="eastAsia" w:ascii="宋体" w:hAnsi="宋体" w:eastAsia="宋体" w:cs="宋体"/>
          <w:sz w:val="24"/>
          <w:szCs w:val="24"/>
          <w:u w:val="single"/>
        </w:rPr>
        <w:t xml:space="preserve">                          </w:t>
      </w:r>
    </w:p>
    <w:p w14:paraId="4B214D32">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工程地点：</w:t>
      </w:r>
      <w:r>
        <w:rPr>
          <w:rFonts w:hint="eastAsia" w:ascii="宋体" w:hAnsi="宋体" w:eastAsia="宋体" w:cs="宋体"/>
          <w:sz w:val="24"/>
          <w:szCs w:val="24"/>
          <w:u w:val="single"/>
        </w:rPr>
        <w:t xml:space="preserve">                          </w:t>
      </w:r>
    </w:p>
    <w:p w14:paraId="2372FA71">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工程期限：从工程开工至合同范围内的所有项目全部投产</w:t>
      </w:r>
    </w:p>
    <w:p w14:paraId="03501B89">
      <w:pPr>
        <w:kinsoku/>
        <w:wordWrap/>
        <w:overflowPunct/>
        <w:topLinePunct w:val="0"/>
        <w:bidi w:val="0"/>
        <w:spacing w:line="54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一、甲方安全责任</w:t>
      </w:r>
    </w:p>
    <w:p w14:paraId="36490199">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1．贯彻落实《中华人民共和国安全生产法》《中华人民共和国特种设备安全法》《建设工程安全生产管理条例》《电力监管条例》《生产安全事故报告和调查处理条例》， 《电力建设工程施工安全监督管理办法》等国家法律法规、行业标准及南方电网公司管理规定。</w:t>
      </w:r>
    </w:p>
    <w:p w14:paraId="75D8AF13">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2．建立健全安全生产保证体系和监督体系，建立安全生产责任制和安全生产规章制度，并逐级落实，保证电力建设工程施工安全。</w:t>
      </w:r>
    </w:p>
    <w:p w14:paraId="40D151BB">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3．建立健全安全生产组织和管理机制，负责电力建设工程安全生产组织、协调、监督职责。</w:t>
      </w:r>
    </w:p>
    <w:p w14:paraId="45F91B18">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4．建立健全安全生产监督检查和隐患排查治理机制，实施施工现场全过程安全管理和监督检查，及时纠正乙方施工人员违章指挥、违章作业、违反劳动纪律行为，并按照有关规定督促整改。</w:t>
      </w:r>
    </w:p>
    <w:p w14:paraId="6CFB637C">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5．建立健全安全生产应急响应和事故处置机制，实施突发事件应急抢险和事故救援。</w:t>
      </w:r>
    </w:p>
    <w:p w14:paraId="2269FD7C">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6．对乙方进行资质审查，确认乙方符合承包本工程的各项要求。</w:t>
      </w:r>
    </w:p>
    <w:p w14:paraId="0641C014">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7．应当审查确认乙方项目负责人、专职安全生产管理人员等项目管理人员及特种作业人员、特种设备操作人员满足国家规定的资格要求，同时督促乙方落实施工现场一般作业人员管理。</w:t>
      </w:r>
    </w:p>
    <w:p w14:paraId="0E400987">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8．开工前向乙方项目负责人、工程技术人员和安全生产管理人员等进行全面的安全技术交底，并留存有双方签名的、完整的记录或资料。</w:t>
      </w:r>
    </w:p>
    <w:p w14:paraId="49151345">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本工程是在有危险性的电力生产区域内作业，有可能造成火灾、爆炸、触电、中毒、窒息、机械伤害、烧烫伤等及可能引起生产设备停电、停运事故；乙方应事先制订相应的安全技术措施，经甲方审查合格后监督乙方实施。</w:t>
      </w:r>
    </w:p>
    <w:p w14:paraId="1BDBDD20">
      <w:pPr>
        <w:kinsoku/>
        <w:wordWrap/>
        <w:overflowPunct/>
        <w:topLinePunct w:val="0"/>
        <w:bidi w:val="0"/>
        <w:spacing w:line="54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二、乙方安全责任</w:t>
      </w:r>
    </w:p>
    <w:p w14:paraId="3608A0C7">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1．严格执行《中华人民共和国安全生产法》《中华人民共和国特种设备安全法》《建设工程安全生产管理条例》《电力监管条例》《生产安全事故报告和调查处理条例》， 《电力建设工程施工安全监督管理办法》《电力安全工作规程》《电力建设安全工作规程》等国家法律法规、行业标准及南方电网公司管理规定。</w:t>
      </w:r>
    </w:p>
    <w:p w14:paraId="158D2988">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2．乙方应当具备承接本工程相应的资质等级，具备国家、行业及南方电网公司规定的安全生产条件，取得安全生产许可证，在许可的范围内从事电力建设工程施工活动。</w:t>
      </w:r>
    </w:p>
    <w:p w14:paraId="276AC234">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3．建立健全安全生产保证体系和监督体系，建立安全生产责任制和安全生产规章制度，并逐级落实，保证电力建设工程施工安全。</w:t>
      </w:r>
    </w:p>
    <w:p w14:paraId="53CAFF4D">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乙方应当按照国家法律法规、行业标准及南方电网公司管理规定组织施工，对其施工现场的安全生产负责。应当设立安全生产管理机构，按规定配备专（兼）职安全生产管理人员，制定安全管理制度和操作规程。</w:t>
      </w:r>
    </w:p>
    <w:p w14:paraId="710E5BB9">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5．乙方应当按照国家有关规定计列和使用安全生产费用。应当编制安全生产费用使用计划，专款专用。</w:t>
      </w:r>
    </w:p>
    <w:p w14:paraId="1C989C0F">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确保项目负责人、专职安全生产管理人员等项目管理人员及特种作业人员、特种设备操作人员满足国家规定的资格要求，同时严格落实施工现场一般作业人员的管理措施。严禁使用未成年工和不适应现场安全施工要求的老、弱、病、残人员进行施工。</w:t>
      </w:r>
    </w:p>
    <w:p w14:paraId="53D288FA">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7．开工前，应当开展现场查勘，编制施工组织设计、施工方案和安全技术措施并按技术管理相关规定报建设单位、监理单位同意。</w:t>
      </w:r>
    </w:p>
    <w:p w14:paraId="73F18415">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分部分项工程施工前，施工单位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14:paraId="009DD609">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9．应当定期组织施工现场安全检查和隐患排查治理，严格落实施工现场安全措施，杜绝违章指挥、违章作业、违反劳动纪律行为发生。</w:t>
      </w:r>
    </w:p>
    <w:p w14:paraId="6EC7A709">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10．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14:paraId="095538EF">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11．应当制定用火、用电、易燃易爆材料使用等消防安全管理制度，确定消防安全责任人，按规定设置消防通道、消防水源，配备消防设施和灭火器材。</w:t>
      </w:r>
    </w:p>
    <w:p w14:paraId="3BC4D8F6">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12．应当按照国家、行业、南方电网公司管理规定采购、租赁、验收、检测、发放、使用、维护和管理施工机械、特种设备，建立施工设备安全管理制度、安全操作规程及相应的管理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（清册）和维保记录档案。</w:t>
      </w:r>
    </w:p>
    <w:p w14:paraId="7CFA2A53">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13．开工前对施工机械与机具及安全防护设施进行全面检查，确保符合相应安全规定方可使用。</w:t>
      </w:r>
    </w:p>
    <w:p w14:paraId="2E1C908E">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14．应当按照相关规定组织开展安全生产教育培训工作。项目负责人、专职安全生产管理人员、特种作业人员需经培训合格后持证上岗，新入场人员应当按规定经过三级安全教育。</w:t>
      </w:r>
    </w:p>
    <w:p w14:paraId="126C4717">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15．对工程进行调试、试运行前，应当按照法律法规和工程建设强制性标准，编制调试大纲、试验方案，对各项试验方案制定安全技术措施并严格实施。</w:t>
      </w:r>
    </w:p>
    <w:p w14:paraId="695474E0">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16．应当根据工程施工特点、范围，制定应急救援预案、现场处置方案，对施工现场易发生事故的部位、环节进行监控。</w:t>
      </w:r>
    </w:p>
    <w:p w14:paraId="7AAC68C8">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17．施工中，严格执行《电力安全工作规程》《电力建设安全工作规程》和甲方颁布的安全、文明生产规定。进入电力生产区域内施工，严格执行工作票制度。对规定可以不办理工作票的工作，开工前应征得值班负责人的同意方可进入施工现场。</w:t>
      </w:r>
    </w:p>
    <w:p w14:paraId="396605A5">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18．开工前组织施工人员学习上述规程、规定中与本工程施工有关部分，经考试合格并将考试成绩单盖乙方安监部门或乙方分公司章报甲方备案，经甲方确认后方可进行工作。 </w:t>
      </w:r>
    </w:p>
    <w:p w14:paraId="2AE8FAD4">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19．严禁转包、违法分包。</w:t>
      </w:r>
    </w:p>
    <w:p w14:paraId="21C190FC">
      <w:pPr>
        <w:kinsoku/>
        <w:wordWrap/>
        <w:overflowPunct/>
        <w:topLinePunct w:val="0"/>
        <w:bidi w:val="0"/>
        <w:spacing w:line="540" w:lineRule="exact"/>
        <w:ind w:firstLine="600" w:firstLineChars="250"/>
        <w:rPr>
          <w:rFonts w:hint="eastAsia" w:ascii="宋体" w:hAnsi="宋体" w:cs="宋体"/>
          <w:sz w:val="24"/>
          <w:szCs w:val="24"/>
          <w:lang w:eastAsia="zh-CN"/>
        </w:rPr>
      </w:pPr>
      <w:r>
        <w:rPr>
          <w:rFonts w:hint="eastAsia" w:ascii="宋体" w:hAnsi="宋体" w:eastAsia="宋体" w:cs="宋体"/>
          <w:sz w:val="24"/>
          <w:szCs w:val="24"/>
        </w:rPr>
        <w:t>20．</w:t>
      </w:r>
      <w:r>
        <w:rPr>
          <w:rFonts w:hint="eastAsia" w:ascii="宋体" w:hAnsi="宋体" w:cs="宋体"/>
          <w:sz w:val="24"/>
          <w:szCs w:val="24"/>
          <w:lang w:val="en-US" w:eastAsia="zh-CN"/>
        </w:rPr>
        <w:t>承包人应</w:t>
      </w:r>
      <w:r>
        <w:rPr>
          <w:rFonts w:hint="eastAsia" w:ascii="宋体" w:hAnsi="宋体" w:eastAsia="宋体" w:cs="宋体"/>
          <w:sz w:val="24"/>
          <w:szCs w:val="24"/>
        </w:rPr>
        <w:t>在分包合同中明确分包工程开工后一个月内支付分包单位不低于50%的安措费，并监督分包单位使用</w:t>
      </w:r>
      <w:r>
        <w:rPr>
          <w:rFonts w:hint="eastAsia" w:ascii="宋体" w:hAnsi="宋体" w:cs="宋体"/>
          <w:sz w:val="24"/>
          <w:szCs w:val="24"/>
          <w:lang w:eastAsia="zh-CN"/>
        </w:rPr>
        <w:t>。</w:t>
      </w:r>
    </w:p>
    <w:p w14:paraId="6365700B">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cs="宋体"/>
          <w:sz w:val="24"/>
          <w:szCs w:val="24"/>
          <w:lang w:val="en-US" w:eastAsia="zh-CN"/>
        </w:rPr>
        <w:t>21.</w:t>
      </w:r>
      <w:r>
        <w:rPr>
          <w:rFonts w:hint="eastAsia" w:ascii="宋体" w:hAnsi="宋体" w:eastAsia="宋体" w:cs="宋体"/>
          <w:sz w:val="24"/>
          <w:szCs w:val="24"/>
        </w:rPr>
        <w:t>接受甲方监督、管理指导。乙方负责人（安全施工第一责任人）对甲方安全监督部门提出的意见必须及时整改；发生人身事故或危及生产运行的不安全情况，立即报告甲方安全监督部门。</w:t>
      </w:r>
    </w:p>
    <w:p w14:paraId="0ABDE5D8">
      <w:pPr>
        <w:kinsoku/>
        <w:wordWrap/>
        <w:overflowPunct/>
        <w:topLinePunct w:val="0"/>
        <w:bidi w:val="0"/>
        <w:spacing w:line="54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三、严格执行本安全协议</w:t>
      </w:r>
    </w:p>
    <w:p w14:paraId="2BD4CA99">
      <w:pPr>
        <w:kinsoku/>
        <w:wordWrap/>
        <w:overflowPunct/>
        <w:topLinePunct w:val="0"/>
        <w:bidi w:val="0"/>
        <w:spacing w:line="540" w:lineRule="exact"/>
        <w:ind w:firstLine="600"/>
        <w:rPr>
          <w:rFonts w:hint="eastAsia" w:ascii="宋体" w:hAnsi="宋体" w:eastAsia="宋体" w:cs="宋体"/>
          <w:sz w:val="24"/>
          <w:szCs w:val="24"/>
          <w:u w:val="single"/>
        </w:rPr>
      </w:pPr>
      <w:r>
        <w:rPr>
          <w:rFonts w:hint="eastAsia" w:ascii="宋体" w:hAnsi="宋体" w:eastAsia="宋体" w:cs="宋体"/>
          <w:sz w:val="24"/>
          <w:szCs w:val="24"/>
        </w:rPr>
        <w:t>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44365A6E">
      <w:pPr>
        <w:kinsoku/>
        <w:wordWrap/>
        <w:overflowPunct/>
        <w:topLinePunct w:val="0"/>
        <w:bidi w:val="0"/>
        <w:spacing w:line="540" w:lineRule="exact"/>
        <w:rPr>
          <w:rFonts w:hint="eastAsia" w:ascii="宋体" w:hAnsi="宋体" w:eastAsia="宋体" w:cs="宋体"/>
          <w:b/>
          <w:sz w:val="24"/>
          <w:szCs w:val="24"/>
        </w:rPr>
      </w:pPr>
    </w:p>
    <w:p w14:paraId="0B359C10">
      <w:pPr>
        <w:kinsoku/>
        <w:wordWrap/>
        <w:overflowPunct/>
        <w:topLinePunct w:val="0"/>
        <w:bidi w:val="0"/>
        <w:spacing w:line="540" w:lineRule="exact"/>
        <w:rPr>
          <w:rFonts w:hint="eastAsia" w:ascii="宋体" w:hAnsi="宋体" w:eastAsia="宋体" w:cs="宋体"/>
          <w:sz w:val="24"/>
          <w:szCs w:val="24"/>
          <w:u w:val="single"/>
        </w:rPr>
      </w:pPr>
      <w:r>
        <w:rPr>
          <w:rFonts w:hint="eastAsia" w:ascii="宋体" w:hAnsi="宋体" w:eastAsia="宋体" w:cs="宋体"/>
          <w:b/>
          <w:sz w:val="24"/>
          <w:szCs w:val="24"/>
        </w:rPr>
        <w:t>本协议与本工程承包合同为一整体合同文件</w:t>
      </w:r>
    </w:p>
    <w:p w14:paraId="44867229">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bookmarkEnd w:id="19"/>
      <w:bookmarkEnd w:id="20"/>
      <w:r>
        <w:rPr>
          <w:rFonts w:hint="eastAsia" w:ascii="宋体" w:hAnsi="宋体" w:eastAsia="宋体" w:cs="宋体"/>
          <w:sz w:val="24"/>
          <w:szCs w:val="24"/>
        </w:rPr>
        <w:t>附件四 廉洁协议书</w:t>
      </w:r>
    </w:p>
    <w:p w14:paraId="1AA4AD41">
      <w:pPr>
        <w:kinsoku/>
        <w:wordWrap/>
        <w:overflowPunct/>
        <w:topLinePunct w:val="0"/>
        <w:bidi w:val="0"/>
        <w:snapToGrid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廉洁协议书</w:t>
      </w:r>
    </w:p>
    <w:p w14:paraId="701F271E">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5D78456C">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甲、乙双方的共同责任</w:t>
      </w:r>
    </w:p>
    <w:p w14:paraId="1EB5E4F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（一）严格遵守国家关于市场准入、招标投标、工程建设、物资采购等市场经济活动的法律法规、政策以及廉洁建设规定。</w:t>
      </w:r>
    </w:p>
    <w:p w14:paraId="4612EAD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（二）严格履行合同约定，自觉承担合同义务。</w:t>
      </w:r>
    </w:p>
    <w:p w14:paraId="7873DE2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（三）业务活动必须坚持公平、公正、公开和诚实守信的原则（除法律法规另有规定者外），不得为获取不正当利益，损害国家、集体和对方利益，不违反招标投标、工程建设管理、物资采购等方面的规章制度。</w:t>
      </w:r>
    </w:p>
    <w:p w14:paraId="1F9B1C57">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（四）建立健全自我制约制度，开展廉洁教育，公布举报方式，监督并认真查处违法违纪行为。</w:t>
      </w:r>
    </w:p>
    <w:p w14:paraId="346A82CC">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（五）发现对方在业务活动中有违规、违纪、违法行为的，应及时提醒对方，情节严重的，应向有关纪检监察部门举报。</w:t>
      </w:r>
    </w:p>
    <w:p w14:paraId="228F66FB">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  甲方的责任</w:t>
      </w:r>
    </w:p>
    <w:p w14:paraId="13E88A0E">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甲方相关工作人员，在业务活动的事前、事中、事后，应遵守以下规定：</w:t>
      </w:r>
    </w:p>
    <w:p w14:paraId="09EE72A1">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（一）贯彻落实中国南方电网有限责任公司有关党风廉政建设责任制及廉洁从业的规定，建立企业诚信档案； </w:t>
      </w:r>
    </w:p>
    <w:p w14:paraId="2BEFC401">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（二）按照公平、公正、公开和诚实守信的原则开展各项业务活动，为乙方提供公平的竞争环境与平台； </w:t>
      </w:r>
    </w:p>
    <w:p w14:paraId="6397D87F">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（三）不准向乙方</w:t>
      </w:r>
      <w:r>
        <w:rPr>
          <w:rFonts w:hint="eastAsia" w:ascii="宋体" w:hAnsi="宋体" w:eastAsia="宋体" w:cs="宋体"/>
          <w:sz w:val="24"/>
          <w:szCs w:val="24"/>
          <w:lang w:val="en-US" w:eastAsia="zh-CN"/>
        </w:rPr>
        <w:t>泄露</w:t>
      </w:r>
      <w:r>
        <w:rPr>
          <w:rFonts w:hint="eastAsia" w:ascii="宋体" w:hAnsi="宋体" w:eastAsia="宋体" w:cs="宋体"/>
          <w:sz w:val="24"/>
          <w:szCs w:val="24"/>
        </w:rPr>
        <w:t xml:space="preserve">涉及有关业务活动的秘密； </w:t>
      </w:r>
    </w:p>
    <w:p w14:paraId="60C4C25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（四）不准向乙方和相关单位索要或接受回扣、红包、礼金、购物卡、有价证券、贵重物品和好处费、感谢费等； </w:t>
      </w:r>
    </w:p>
    <w:p w14:paraId="704CCF20">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（五）不准在乙方和相关单位报销任何应由甲方或个人支付的费用；</w:t>
      </w:r>
    </w:p>
    <w:p w14:paraId="22EA5D08">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（六）不准要求、暗示或接受乙方和相关单位为个人装修住房、婚丧嫁娶、配偶子女的工作安排以及境内外旅游等提供方便；</w:t>
      </w:r>
    </w:p>
    <w:p w14:paraId="1ECF4C2F">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（七）不准向乙方介绍配偶、子女、亲属参与与甲方有关的经济活动，不得以任何理由向乙方和相关单位推荐第三方单位；</w:t>
      </w:r>
    </w:p>
    <w:p w14:paraId="7CDA4B0E">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（八）不准参与影响相关工作正常和公正开展的其他活动；</w:t>
      </w:r>
    </w:p>
    <w:p w14:paraId="17B5921B">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（九）不准违反《中共中央纪委关于严格禁止利用职务上的便利谋取不正当利益的若干规定》的内容。</w:t>
      </w:r>
    </w:p>
    <w:p w14:paraId="32F5AA94">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乙方的责任</w:t>
      </w:r>
    </w:p>
    <w:p w14:paraId="008E6EA3">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在与甲方业务交往过程中，按照有关法律法规和程序开展工作，严格执行国家的有关方针、政策，并遵守以下规定：</w:t>
      </w:r>
    </w:p>
    <w:p w14:paraId="7F24F7A8">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（一）不准以任何理由为甲方和相关单位报销应由对方或个人支付的费用；</w:t>
      </w:r>
    </w:p>
    <w:p w14:paraId="2A516452">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（二）不准以任何理由向甲方负责人及其工作人员赠送回扣、红包、礼金、购物卡、有价证券、贵重物品和好处费、感谢费等；</w:t>
      </w:r>
    </w:p>
    <w:p w14:paraId="583FC3E2">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（三）不准以任何理由为甲方、与甲方相关的单位或个人提供高消费宴请及娱乐活动；</w:t>
      </w:r>
    </w:p>
    <w:p w14:paraId="00FAA622">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（四）不准以任何理由为甲方、与甲方相关的单位或个人购置或提供通讯工具、交通工具和高档办公用品；</w:t>
      </w:r>
    </w:p>
    <w:p w14:paraId="345DFB0A">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（五）不准接受或暗示为甲方、与甲方相关的单位或个人装修住房、</w:t>
      </w:r>
      <w:r>
        <w:rPr>
          <w:rFonts w:hint="eastAsia" w:ascii="宋体" w:hAnsi="宋体" w:eastAsia="宋体" w:cs="宋体"/>
          <w:sz w:val="24"/>
          <w:szCs w:val="24"/>
          <w:lang w:eastAsia="zh-CN"/>
        </w:rPr>
        <w:t>婚丧嫁娶</w:t>
      </w:r>
      <w:r>
        <w:rPr>
          <w:rFonts w:hint="eastAsia" w:ascii="宋体" w:hAnsi="宋体" w:eastAsia="宋体" w:cs="宋体"/>
          <w:sz w:val="24"/>
          <w:szCs w:val="24"/>
        </w:rPr>
        <w:t>、配偶子女的工作安排以及境内外旅游等提供方便；</w:t>
      </w:r>
    </w:p>
    <w:p w14:paraId="7452B95C">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（六）不准以谋取非正当利益为目的，擅自与甲方工作人员就业务问题进行私下商谈或者达成利益默契；</w:t>
      </w:r>
    </w:p>
    <w:p w14:paraId="5B631F7E">
      <w:pPr>
        <w:pStyle w:val="22"/>
        <w:kinsoku/>
        <w:wordWrap/>
        <w:overflowPunct/>
        <w:topLinePunct w:val="0"/>
        <w:bidi w:val="0"/>
        <w:spacing w:line="54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（七）发现甲方工作人员有违反本廉洁协议书规定的，应向甲方单位举报。</w:t>
      </w:r>
      <w:r>
        <w:rPr>
          <w:rFonts w:hint="eastAsia" w:hAnsi="宋体" w:cs="宋体"/>
          <w:sz w:val="24"/>
          <w:szCs w:val="24"/>
          <w:lang w:val="en-US" w:eastAsia="zh-CN"/>
        </w:rPr>
        <w:t>中国</w:t>
      </w:r>
      <w:r>
        <w:rPr>
          <w:rFonts w:hint="eastAsia" w:ascii="宋体" w:hAnsi="宋体" w:eastAsia="宋体" w:cs="宋体"/>
          <w:b/>
          <w:sz w:val="24"/>
          <w:szCs w:val="24"/>
          <w:u w:val="single"/>
        </w:rPr>
        <w:t>南方电网</w:t>
      </w:r>
      <w:r>
        <w:rPr>
          <w:rFonts w:hint="eastAsia" w:hAnsi="宋体" w:cs="宋体"/>
          <w:b/>
          <w:sz w:val="24"/>
          <w:szCs w:val="24"/>
          <w:u w:val="single"/>
          <w:lang w:val="en-US" w:eastAsia="zh-CN"/>
        </w:rPr>
        <w:t>有限责任</w:t>
      </w:r>
      <w:r>
        <w:rPr>
          <w:rFonts w:hint="eastAsia" w:ascii="宋体" w:hAnsi="宋体" w:eastAsia="宋体" w:cs="宋体"/>
          <w:b/>
          <w:sz w:val="24"/>
          <w:szCs w:val="24"/>
          <w:u w:val="single"/>
        </w:rPr>
        <w:t>公司（或XX电网公司、XX供电局）</w:t>
      </w:r>
      <w:r>
        <w:rPr>
          <w:rFonts w:hint="eastAsia" w:hAnsi="宋体" w:cs="宋体"/>
          <w:b/>
          <w:sz w:val="24"/>
          <w:szCs w:val="24"/>
          <w:u w:val="single"/>
          <w:lang w:val="en-US" w:eastAsia="zh-CN"/>
        </w:rPr>
        <w:t>受理部门：</w:t>
      </w:r>
      <w:r>
        <w:rPr>
          <w:rFonts w:hint="eastAsia" w:ascii="宋体" w:hAnsi="宋体" w:eastAsia="宋体" w:cs="宋体"/>
          <w:b/>
          <w:sz w:val="24"/>
          <w:szCs w:val="24"/>
          <w:u w:val="single"/>
        </w:rPr>
        <w:t>纪检监察部门。通讯地址：     ，邮政编码：     ；举报网站(邮箱)：     。</w:t>
      </w:r>
      <w:r>
        <w:rPr>
          <w:rFonts w:hint="eastAsia" w:hAnsi="宋体" w:cs="宋体"/>
          <w:b/>
          <w:sz w:val="24"/>
          <w:szCs w:val="24"/>
          <w:u w:val="single"/>
          <w:lang w:val="en-US" w:eastAsia="zh-CN"/>
        </w:rPr>
        <w:t xml:space="preserve"> </w:t>
      </w:r>
    </w:p>
    <w:p w14:paraId="0C8E9ED0">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  相关责任</w:t>
      </w:r>
    </w:p>
    <w:p w14:paraId="5EBC9D2E">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185F364E">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（二）乙方违反本廉洁协议书第一、三条规定的，根据国家和南方电网公司招投标等有关规定，对乙方进行处理；涉嫌犯罪的，移送司法机关依法追究刑事责任；给甲方单位造成经济损失的，应依法予以赔偿。</w:t>
      </w:r>
    </w:p>
    <w:p w14:paraId="03127873">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7DD3B593">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协议书生效及法律效力</w:t>
      </w:r>
    </w:p>
    <w:p w14:paraId="558BDCE1">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（一）本廉洁协议书作为合同的附件，与合同具有同等法律效力</w:t>
      </w:r>
      <w:r>
        <w:rPr>
          <w:rFonts w:hint="eastAsia" w:ascii="宋体" w:hAnsi="宋体" w:cs="宋体"/>
          <w:sz w:val="24"/>
          <w:szCs w:val="24"/>
          <w:lang w:eastAsia="zh-CN"/>
        </w:rPr>
        <w:t>。</w:t>
      </w:r>
      <w:r>
        <w:rPr>
          <w:rFonts w:hint="eastAsia" w:ascii="宋体" w:hAnsi="宋体"/>
          <w:sz w:val="24"/>
          <w:szCs w:val="24"/>
          <w:lang w:val="en-US" w:eastAsia="zh-CN"/>
        </w:rPr>
        <w:t>与合同同时</w:t>
      </w:r>
      <w:r>
        <w:rPr>
          <w:rFonts w:hint="eastAsia" w:ascii="宋体" w:hAnsi="宋体"/>
          <w:sz w:val="24"/>
          <w:szCs w:val="24"/>
        </w:rPr>
        <w:t>生效</w:t>
      </w:r>
    </w:p>
    <w:p w14:paraId="4FDF0B40">
      <w:pPr>
        <w:kinsoku/>
        <w:wordWrap/>
        <w:overflowPunct/>
        <w:topLinePunct w:val="0"/>
        <w:bidi w:val="0"/>
        <w:spacing w:line="540" w:lineRule="exact"/>
        <w:ind w:firstLine="491" w:firstLineChars="205"/>
        <w:rPr>
          <w:rFonts w:hint="eastAsia" w:ascii="宋体" w:hAnsi="宋体" w:eastAsia="宋体" w:cs="宋体"/>
          <w:sz w:val="24"/>
          <w:szCs w:val="24"/>
        </w:rPr>
      </w:pPr>
      <w:r>
        <w:rPr>
          <w:rFonts w:hint="eastAsia" w:ascii="宋体" w:hAnsi="宋体" w:eastAsia="宋体" w:cs="宋体"/>
          <w:sz w:val="24"/>
          <w:szCs w:val="24"/>
        </w:rPr>
        <w:t>（二）除非甲乙双方另行签订新的廉洁协议书，否则本廉洁协议书在甲方与乙方存在业务关系期间均对双方产生约束力。</w:t>
      </w:r>
    </w:p>
    <w:p w14:paraId="3CA80965">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协议书份数</w:t>
      </w:r>
    </w:p>
    <w:p w14:paraId="1892F04D">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本廉洁协议书一式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份，甲方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份，乙方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w:t>
      </w:r>
    </w:p>
    <w:p w14:paraId="45453B2C">
      <w:pPr>
        <w:pStyle w:val="25"/>
        <w:kinsoku/>
        <w:wordWrap/>
        <w:overflowPunct/>
        <w:topLinePunct w:val="0"/>
        <w:bidi w:val="0"/>
        <w:spacing w:after="0" w:line="540" w:lineRule="exact"/>
        <w:ind w:left="0" w:leftChars="0" w:firstLine="200"/>
        <w:rPr>
          <w:rFonts w:hint="eastAsia" w:ascii="宋体" w:hAnsi="宋体" w:eastAsia="宋体" w:cs="宋体"/>
          <w:sz w:val="24"/>
          <w:szCs w:val="24"/>
        </w:rPr>
      </w:pPr>
    </w:p>
    <w:p w14:paraId="230F5A73">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甲乙双方确认对</w:t>
      </w:r>
      <w:r>
        <w:rPr>
          <w:rFonts w:hint="eastAsia" w:ascii="宋体" w:hAnsi="宋体" w:cs="宋体"/>
          <w:b/>
          <w:sz w:val="24"/>
          <w:szCs w:val="24"/>
          <w:lang w:val="en-US" w:eastAsia="zh-CN"/>
        </w:rPr>
        <w:t>违反</w:t>
      </w:r>
      <w:r>
        <w:rPr>
          <w:rFonts w:hint="eastAsia" w:ascii="宋体" w:hAnsi="宋体" w:eastAsia="宋体" w:cs="宋体"/>
          <w:b/>
          <w:sz w:val="24"/>
          <w:szCs w:val="24"/>
        </w:rPr>
        <w:t>本廉洁协议书所产生的法律责任已清楚知悉并承诺遵守。</w:t>
      </w:r>
    </w:p>
    <w:p w14:paraId="4C6795B4">
      <w:pPr>
        <w:kinsoku/>
        <w:wordWrap/>
        <w:overflowPunct/>
        <w:topLinePunct w:val="0"/>
        <w:bidi w:val="0"/>
        <w:spacing w:line="540" w:lineRule="exact"/>
        <w:ind w:firstLine="200"/>
        <w:jc w:val="left"/>
        <w:rPr>
          <w:rFonts w:hint="eastAsia" w:ascii="宋体" w:hAnsi="宋体" w:eastAsia="宋体" w:cs="宋体"/>
          <w:sz w:val="24"/>
          <w:szCs w:val="24"/>
        </w:rPr>
      </w:pPr>
    </w:p>
    <w:p w14:paraId="47BFB461">
      <w:pPr>
        <w:kinsoku/>
        <w:wordWrap/>
        <w:overflowPunct/>
        <w:topLinePunct w:val="0"/>
        <w:bidi w:val="0"/>
        <w:spacing w:line="540" w:lineRule="exact"/>
        <w:ind w:firstLine="200"/>
        <w:jc w:val="left"/>
        <w:rPr>
          <w:rFonts w:hint="eastAsia" w:ascii="宋体" w:hAnsi="宋体" w:eastAsia="宋体" w:cs="宋体"/>
          <w:sz w:val="24"/>
          <w:szCs w:val="24"/>
        </w:rPr>
      </w:pPr>
    </w:p>
    <w:p w14:paraId="35B675DF">
      <w:pPr>
        <w:kinsoku/>
        <w:wordWrap/>
        <w:overflowPunct/>
        <w:topLinePunct w:val="0"/>
        <w:bidi w:val="0"/>
        <w:snapToGrid w:val="0"/>
        <w:spacing w:line="540" w:lineRule="exact"/>
        <w:ind w:firstLine="602" w:firstLineChars="250"/>
        <w:rPr>
          <w:rFonts w:hint="eastAsia" w:ascii="宋体" w:hAnsi="宋体" w:eastAsia="宋体" w:cs="宋体"/>
          <w:b/>
          <w:sz w:val="24"/>
          <w:szCs w:val="24"/>
        </w:rPr>
      </w:pPr>
      <w:r>
        <w:rPr>
          <w:rFonts w:hint="eastAsia" w:ascii="宋体" w:hAnsi="宋体" w:eastAsia="宋体" w:cs="宋体"/>
          <w:b/>
          <w:sz w:val="24"/>
          <w:szCs w:val="24"/>
        </w:rPr>
        <w:t>本协议与本工程承包合同为一整体合同文件</w:t>
      </w:r>
    </w:p>
    <w:p w14:paraId="09D88ED8">
      <w:pPr>
        <w:kinsoku/>
        <w:wordWrap/>
        <w:overflowPunct/>
        <w:topLinePunct w:val="0"/>
        <w:bidi w:val="0"/>
        <w:spacing w:line="540" w:lineRule="exact"/>
        <w:rPr>
          <w:rFonts w:hint="eastAsia" w:ascii="宋体" w:hAnsi="宋体" w:eastAsia="宋体" w:cs="宋体"/>
          <w:b/>
          <w:sz w:val="24"/>
          <w:szCs w:val="24"/>
        </w:rPr>
      </w:pPr>
    </w:p>
    <w:p w14:paraId="1F775D1E">
      <w:pPr>
        <w:kinsoku/>
        <w:wordWrap/>
        <w:overflowPunct/>
        <w:topLinePunct w:val="0"/>
        <w:bidi w:val="0"/>
        <w:spacing w:line="540" w:lineRule="exact"/>
        <w:rPr>
          <w:rFonts w:hint="eastAsia" w:ascii="宋体" w:hAnsi="宋体" w:eastAsia="宋体" w:cs="宋体"/>
          <w:sz w:val="24"/>
          <w:szCs w:val="24"/>
        </w:rPr>
      </w:pPr>
    </w:p>
    <w:p w14:paraId="3D8D3674">
      <w:pPr>
        <w:kinsoku/>
        <w:wordWrap/>
        <w:overflowPunct/>
        <w:topLinePunct w:val="0"/>
        <w:bidi w:val="0"/>
        <w:spacing w:line="540" w:lineRule="exact"/>
        <w:outlineLvl w:val="2"/>
        <w:rPr>
          <w:rFonts w:hint="eastAsia" w:ascii="宋体" w:hAnsi="宋体" w:eastAsia="宋体" w:cs="宋体"/>
          <w:sz w:val="24"/>
          <w:szCs w:val="24"/>
        </w:rPr>
      </w:pPr>
      <w:bookmarkStart w:id="21" w:name="_Toc341772042"/>
      <w:bookmarkStart w:id="22" w:name="_Toc247339746"/>
      <w:r>
        <w:rPr>
          <w:rFonts w:hint="eastAsia" w:ascii="宋体" w:hAnsi="宋体" w:eastAsia="宋体" w:cs="宋体"/>
          <w:sz w:val="24"/>
          <w:szCs w:val="24"/>
        </w:rPr>
        <w:br w:type="page"/>
      </w:r>
      <w:r>
        <w:rPr>
          <w:rFonts w:hint="eastAsia" w:ascii="宋体" w:hAnsi="宋体" w:eastAsia="宋体" w:cs="宋体"/>
          <w:sz w:val="24"/>
          <w:szCs w:val="24"/>
        </w:rPr>
        <w:t>附件五 工程施工质量保修责任书</w:t>
      </w:r>
      <w:bookmarkEnd w:id="21"/>
      <w:bookmarkEnd w:id="22"/>
    </w:p>
    <w:p w14:paraId="560C3CEE">
      <w:pPr>
        <w:kinsoku/>
        <w:wordWrap/>
        <w:overflowPunct/>
        <w:topLinePunct w:val="0"/>
        <w:bidi w:val="0"/>
        <w:snapToGrid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工程施工质量保修责任书</w:t>
      </w:r>
    </w:p>
    <w:p w14:paraId="4434C2FC">
      <w:pPr>
        <w:kinsoku/>
        <w:wordWrap/>
        <w:overflowPunct/>
        <w:topLinePunct w:val="0"/>
        <w:bidi w:val="0"/>
        <w:snapToGrid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14:paraId="560DF12E">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承包人（全称）： </w:t>
      </w:r>
      <w:r>
        <w:rPr>
          <w:rFonts w:hint="eastAsia" w:ascii="宋体" w:hAnsi="宋体" w:eastAsia="宋体" w:cs="宋体"/>
          <w:sz w:val="24"/>
          <w:szCs w:val="24"/>
          <w:u w:val="single"/>
        </w:rPr>
        <w:t xml:space="preserve">              </w:t>
      </w:r>
    </w:p>
    <w:p w14:paraId="6664E063">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工程</w:t>
      </w:r>
      <w:r>
        <w:rPr>
          <w:rFonts w:hint="eastAsia" w:ascii="宋体" w:hAnsi="宋体" w:eastAsia="宋体" w:cs="宋体"/>
          <w:sz w:val="24"/>
          <w:szCs w:val="24"/>
        </w:rPr>
        <w:t>在合理使用期限内正常使用，发包人与承包人协商一致签订工程质量保修责任书。承包人在质量保修期内按照有关管理规定及双方约定承担本工程质量保修责任。</w:t>
      </w:r>
    </w:p>
    <w:p w14:paraId="7F6AFF5C">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5F80C0ED">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质量保修范围包括本建设工程总承包合同中所含的项目。具体质量保修内容双方约定如下：</w:t>
      </w:r>
    </w:p>
    <w:p w14:paraId="7B3919C5">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 总承包人对竣工交付使用的工程所存在的质量缺陷负责保修。 </w:t>
      </w:r>
    </w:p>
    <w:p w14:paraId="035E679D">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质量保修范围为协议书第1条规定的总承包范围内的全部工程内容。</w:t>
      </w:r>
    </w:p>
    <w:p w14:paraId="3C64F8C8">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执行电力建设工程启动及竣工验收规程、建设工程质量管理办法等规定。</w:t>
      </w:r>
    </w:p>
    <w:p w14:paraId="04B353CC">
      <w:pPr>
        <w:tabs>
          <w:tab w:val="left" w:pos="3360"/>
        </w:tabs>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（二）质量保修期</w:t>
      </w:r>
    </w:p>
    <w:p w14:paraId="7529832A">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 质量保修期从工程实际竣工之日算起。整体工程或其中分单项、单位、分项、分部验收交付的工程，均从移交之日起分别计算保修期。保修期为2 年。</w:t>
      </w:r>
    </w:p>
    <w:p w14:paraId="2A18ACD3">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在正常使用条件下，建设工程的最低保修期限为：（一）基础设施工程、房屋建筑的地基基础工程和主体结构工程，为设计文件规定的该工程的合理使用年限；（二）屋面防水工程、有防水要求的卫生间、房间和外墙面的</w:t>
      </w:r>
      <w:r>
        <w:rPr>
          <w:rFonts w:hint="eastAsia" w:ascii="宋体" w:hAnsi="宋体" w:cs="宋体"/>
          <w:sz w:val="24"/>
          <w:szCs w:val="24"/>
          <w:lang w:eastAsia="zh-CN"/>
        </w:rPr>
        <w:t>防</w:t>
      </w:r>
      <w:r>
        <w:rPr>
          <w:rFonts w:hint="eastAsia" w:ascii="宋体" w:hAnsi="宋体" w:eastAsia="宋体" w:cs="宋体"/>
          <w:sz w:val="24"/>
          <w:szCs w:val="24"/>
        </w:rPr>
        <w:t>渗漏，为5年；（三）供热与供冷系统，为2个采暖期、供冷期；（四）电气管线、给排水管道、设备安装和装修工程，为2年，（五）绿化工程，为1年。其他项目的保修期限由发包人与承包人约定。建设工程的保修期，自竣工验收合格之日起计算。</w:t>
      </w:r>
    </w:p>
    <w:p w14:paraId="2F3F79C8">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其他约定：按中华人民共和国建设部令第80号执行。</w:t>
      </w:r>
    </w:p>
    <w:p w14:paraId="1AA73511">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（三）质量保修责任</w:t>
      </w:r>
    </w:p>
    <w:p w14:paraId="230B5F17">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属于保修范围的内容项目，承包人应在接到修理通知之日后七天内派人员修理。</w:t>
      </w:r>
    </w:p>
    <w:p w14:paraId="73EF05F6">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cs="宋体"/>
          <w:sz w:val="24"/>
          <w:szCs w:val="24"/>
          <w:lang w:eastAsia="zh-CN"/>
        </w:rPr>
        <w:t>发生</w:t>
      </w:r>
      <w:r>
        <w:rPr>
          <w:rFonts w:hint="eastAsia" w:ascii="宋体" w:hAnsi="宋体" w:eastAsia="宋体" w:cs="宋体"/>
          <w:sz w:val="24"/>
          <w:szCs w:val="24"/>
        </w:rPr>
        <w:t>紧急抢修事故，承包人接到事故通知后，应立即到达事故现场抢修。由于工程质量造成的事故，抢修费用由承包人承担。</w:t>
      </w:r>
    </w:p>
    <w:p w14:paraId="4E4034B2">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承包人负责维修由于承包人原因形成的质量缺陷，承担由于承包人原因造成的发包人直接损失。所发生的费用从合同余款中扣除，不足部分由承包人支付。如果承包人未能在规定的时间内修补缺陷和损害，发包人可确定一个合理的日期，要求承包人在该日期之前修补好缺陷或损害，并应将该日期及时通知承包人。如果承包人到该通知日期仍未修补好缺陷或损害，且此项修补工作根据合同规定应由承包人承担实施的费用，发包人可以自行选择：</w:t>
      </w:r>
    </w:p>
    <w:p w14:paraId="0CA4BD33">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委托其他单位进行此项工作，由此产生的费用由承包人承担，但承包人对此项工作将不再负责任；</w:t>
      </w:r>
    </w:p>
    <w:p w14:paraId="33F36EA5">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和承包人商定或确定合同价格的合理减少额；</w:t>
      </w:r>
    </w:p>
    <w:p w14:paraId="3A088896">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如果上述缺陷或损害使发包人实质上丧失了工程或工程的任何主要部分的利益时，发包人可以终止整个合同，或合同中有关不能按原定意图使用的该主要部分。发包人还有权在不损害根据合同或其他规定所具有的任何其他权利的情况下，收回对工程或该部分工程（视情况而定）的全部支出总额，加上融资费用和拆除工程、清理场地以及将生产设备和材料退还给承包人所支付的费用。</w:t>
      </w:r>
    </w:p>
    <w:p w14:paraId="69C0167A">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在国家规定的工程合理使用期限内，承包人确保工程质量和安全。因承包人原因致使工程在合理使用期限内存在或产生因质量或安全方面的缺陷造成人身和财产损害的，承包人应承担损害赔偿责任。</w:t>
      </w:r>
    </w:p>
    <w:p w14:paraId="59FEDCDA">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（四）质量保证金的支付</w:t>
      </w:r>
    </w:p>
    <w:p w14:paraId="1BC05D68">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工程竣工结算时，承包人提交金额为竣工结算价</w:t>
      </w:r>
      <w:sdt>
        <w:sdtPr>
          <w:rPr>
            <w:rFonts w:hint="eastAsia" w:ascii="宋体" w:hAnsi="宋体" w:eastAsia="宋体" w:cs="宋体"/>
            <w:sz w:val="24"/>
            <w:szCs w:val="24"/>
            <w:lang w:val="en-US" w:eastAsia="zh-CN"/>
          </w:rPr>
          <w:alias w:val="应与招投标文件一致，建设工程质量保证金总预留比例不得高于工程价款结算总额的3%"/>
          <w:tag w:val="质量担保比例"/>
          <w:id w:val="901582837"/>
          <w:placeholder>
            <w:docPart w:val="{3bbf677d-2cf9-4124-b72b-ee0fee01b7a4}"/>
          </w:placeholder>
          <w:text w:multiLine="1"/>
        </w:sdtPr>
        <w:sdtEndPr>
          <w:rPr>
            <w:rFonts w:hint="eastAsia" w:ascii="宋体" w:hAnsi="宋体" w:eastAsia="宋体" w:cs="宋体"/>
            <w:sz w:val="24"/>
            <w:szCs w:val="24"/>
            <w:lang w:val="en-US" w:eastAsia="zh-CN"/>
          </w:rPr>
        </w:sdtEndPr>
        <w:sdtContent>
          <w:r>
            <w:rPr>
              <w:rFonts w:hint="eastAsia" w:ascii="宋体" w:hAnsi="宋体" w:eastAsia="宋体" w:cs="宋体"/>
              <w:sz w:val="24"/>
              <w:szCs w:val="24"/>
              <w:lang w:val="en-US" w:eastAsia="zh-CN"/>
            </w:rPr>
            <w:t xml:space="preserve"> 【 3%  】 </w:t>
          </w:r>
        </w:sdtContent>
      </w:sdt>
      <w:r>
        <w:rPr>
          <w:rFonts w:hint="eastAsia" w:ascii="宋体" w:hAnsi="宋体" w:eastAsia="宋体" w:cs="宋体"/>
          <w:sz w:val="24"/>
          <w:szCs w:val="24"/>
        </w:rPr>
        <w:t>的质量保证金保函，承包人应确保质量保证金保函在工程缺陷责任期内有效。严格执行《关于印发中国南方电网有限责任公司工程项目质量保证金管理工作指引的通知》。</w:t>
      </w:r>
    </w:p>
    <w:p w14:paraId="6FD13B4E">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（五）其他</w:t>
      </w:r>
    </w:p>
    <w:p w14:paraId="2CADBE76">
      <w:pPr>
        <w:kinsoku/>
        <w:wordWrap/>
        <w:overflowPunct/>
        <w:topLinePunct w:val="0"/>
        <w:bidi w:val="0"/>
        <w:snapToGrid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工程缺陷责任期如有需要延续的，承包人应确保质量保证金保函在缺陷责任期的延续期内有效。</w:t>
      </w:r>
    </w:p>
    <w:p w14:paraId="038B9FA3">
      <w:pPr>
        <w:kinsoku/>
        <w:wordWrap/>
        <w:overflowPunct/>
        <w:topLinePunct w:val="0"/>
        <w:bidi w:val="0"/>
        <w:snapToGrid w:val="0"/>
        <w:spacing w:line="54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本工程质量保修责任书</w:t>
      </w:r>
      <w:r>
        <w:rPr>
          <w:rFonts w:hint="eastAsia" w:ascii="宋体" w:hAnsi="宋体" w:cs="宋体"/>
          <w:sz w:val="24"/>
          <w:szCs w:val="24"/>
          <w:lang w:val="en-US" w:eastAsia="zh-CN"/>
        </w:rPr>
        <w:t>是</w:t>
      </w:r>
      <w:r>
        <w:rPr>
          <w:rFonts w:hint="eastAsia" w:ascii="宋体" w:hAnsi="宋体" w:eastAsia="宋体" w:cs="宋体"/>
          <w:sz w:val="24"/>
          <w:szCs w:val="24"/>
        </w:rPr>
        <w:t>本项目总承包合同附件</w:t>
      </w:r>
      <w:r>
        <w:rPr>
          <w:rFonts w:hint="eastAsia" w:ascii="宋体" w:hAnsi="宋体" w:cs="宋体"/>
          <w:sz w:val="24"/>
          <w:szCs w:val="24"/>
          <w:lang w:eastAsia="zh-CN"/>
        </w:rPr>
        <w:t>，</w:t>
      </w:r>
      <w:r>
        <w:rPr>
          <w:rFonts w:hint="eastAsia" w:ascii="宋体" w:hAnsi="宋体" w:eastAsia="宋体" w:cs="宋体"/>
          <w:b/>
          <w:sz w:val="24"/>
          <w:szCs w:val="24"/>
        </w:rPr>
        <w:t>与本工程承包合同为一整体合同文件</w:t>
      </w:r>
    </w:p>
    <w:bookmarkEnd w:id="17"/>
    <w:p w14:paraId="7E6EC199">
      <w:pPr>
        <w:kinsoku/>
        <w:wordWrap/>
        <w:overflowPunct/>
        <w:topLinePunct w:val="0"/>
        <w:bidi w:val="0"/>
        <w:spacing w:line="540" w:lineRule="exact"/>
        <w:outlineLvl w:val="2"/>
        <w:rPr>
          <w:rFonts w:hint="eastAsia" w:ascii="宋体" w:hAnsi="宋体" w:eastAsia="宋体" w:cs="宋体"/>
          <w:sz w:val="24"/>
          <w:szCs w:val="24"/>
        </w:rPr>
      </w:pPr>
      <w:bookmarkStart w:id="23" w:name="_Toc341772043"/>
      <w:r>
        <w:rPr>
          <w:rFonts w:hint="eastAsia" w:ascii="宋体" w:hAnsi="宋体" w:eastAsia="宋体" w:cs="宋体"/>
          <w:sz w:val="24"/>
          <w:szCs w:val="24"/>
        </w:rPr>
        <w:br w:type="page"/>
      </w:r>
      <w:r>
        <w:rPr>
          <w:rFonts w:hint="eastAsia" w:ascii="宋体" w:hAnsi="宋体" w:eastAsia="宋体" w:cs="宋体"/>
          <w:sz w:val="24"/>
          <w:szCs w:val="24"/>
        </w:rPr>
        <w:t xml:space="preserve">附件六  </w:t>
      </w:r>
      <w:r>
        <w:rPr>
          <w:rFonts w:hint="eastAsia" w:ascii="宋体" w:hAnsi="宋体" w:eastAsia="宋体" w:cs="宋体"/>
          <w:kern w:val="0"/>
          <w:sz w:val="24"/>
          <w:szCs w:val="24"/>
        </w:rPr>
        <w:t>中国南方电网有限责任公司基建工作“八不准”细则</w:t>
      </w:r>
    </w:p>
    <w:p w14:paraId="62000714">
      <w:pPr>
        <w:kinsoku/>
        <w:wordWrap/>
        <w:overflowPunct/>
        <w:topLinePunct w:val="0"/>
        <w:bidi w:val="0"/>
        <w:snapToGrid w:val="0"/>
        <w:spacing w:line="540" w:lineRule="exact"/>
        <w:ind w:firstLine="602" w:firstLineChars="250"/>
        <w:rPr>
          <w:rFonts w:hint="eastAsia" w:ascii="宋体" w:hAnsi="宋体" w:eastAsia="宋体" w:cs="宋体"/>
          <w:b/>
          <w:strike/>
          <w:sz w:val="24"/>
          <w:szCs w:val="24"/>
        </w:rPr>
      </w:pPr>
    </w:p>
    <w:p w14:paraId="1EC92DDD">
      <w:pPr>
        <w:kinsoku/>
        <w:wordWrap/>
        <w:overflowPunct/>
        <w:topLinePunct w:val="0"/>
        <w:bidi w:val="0"/>
        <w:snapToGrid w:val="0"/>
        <w:spacing w:line="54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总  则</w:t>
      </w:r>
    </w:p>
    <w:p w14:paraId="7FEBF87E">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为贯彻落实国家有关法律法规，推进公司依法治企建设，防止基建领域权力寻租、违规向职工持股企业输送利益问题，结合公司实际，制定本细则。</w:t>
      </w:r>
    </w:p>
    <w:p w14:paraId="6557ED81">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本细则适用于参与公司基建工程管理的各级人员。</w:t>
      </w:r>
    </w:p>
    <w:p w14:paraId="09CD0A7A">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管理要求</w:t>
      </w:r>
    </w:p>
    <w:p w14:paraId="23E9B29E">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第一条 不准违规干预基建工程招标及合同管理。</w:t>
      </w:r>
    </w:p>
    <w:p w14:paraId="7D206A05">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各级领导干部应当严格遵守国家法律法规和公司有关规定，不准有下列违规行为：</w:t>
      </w:r>
    </w:p>
    <w:p w14:paraId="564474EA">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（一）在基建工程招标、合同变更和结算等环节为项目承包商请托说情，授意、纵容身边工作人员或亲属为项目承包商请托说情；</w:t>
      </w:r>
    </w:p>
    <w:p w14:paraId="5BF69AF9">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（二）要求基建管理人员或基建单位负责人私下会见项目承包商或代理人以及其他与基建项目有利害关系的人；</w:t>
      </w:r>
    </w:p>
    <w:p w14:paraId="72B5BAB1">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（三）超越职权对基建工程招标及采购提出倾向性意见或者具体要求；</w:t>
      </w:r>
    </w:p>
    <w:p w14:paraId="3EB896DA">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（四）其他违法的基建管理活动，妨碍基建招标、合同管理公平、公正、公开的行为。</w:t>
      </w:r>
    </w:p>
    <w:p w14:paraId="181DF5CF">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对领导人员干预招标、插手工程项目的情况，基建人员应当全面如实记录，做到全程留痕、有据可查。</w:t>
      </w:r>
    </w:p>
    <w:p w14:paraId="2562DE55">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第二条 不准利用基建工程进行权力寻租。</w:t>
      </w:r>
    </w:p>
    <w:p w14:paraId="5C032300">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各级人员应当严格遵守国家法律法规和公司有关规定，按有关规章制度和流程标准办事，不得在基建工程招标采购、合同签订、设计评审、工程量变更、事故责任认定、项目验收、合同结算、承包商管理等环节吃、拿、卡、要，损害公司形象，谋取不正当利益。</w:t>
      </w:r>
    </w:p>
    <w:p w14:paraId="70D90948">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第三条 不准违规开展招标工作。</w:t>
      </w:r>
    </w:p>
    <w:p w14:paraId="02620A5E">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基建工程招标不得违反国家法律法规和公司招投标有关规定，严格按规章制度、作业标准及办事流程办事，不得以权谋私、违规操作。</w:t>
      </w:r>
    </w:p>
    <w:p w14:paraId="01A777C1">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达到公开招标条件的项目，必须公开招标。应当核准或备案的项目，在未取得核准或备案手续前，原则上不准招标。未列入公司固定资产投资计划的项目，不准开展招标工作。</w:t>
      </w:r>
    </w:p>
    <w:p w14:paraId="66E99A99">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工程建设过程必须合法合规，严禁先实施、后招标。严禁建设单位将工程发包给不具备相应资质的单位或个人。</w:t>
      </w:r>
    </w:p>
    <w:p w14:paraId="57065810">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第四条 不准违规进行评标。</w:t>
      </w:r>
    </w:p>
    <w:p w14:paraId="3D8E3494">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评标委员会的组建，必须严格符合国家法律法规和公司有关制度以及招标方案和招标文件。与投标人有利益相关方的评标专家必须按照规定进行回避。</w:t>
      </w:r>
    </w:p>
    <w:p w14:paraId="11FC6DA0">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评标专家必须认真履行职责，依据招标文件的评分规则和投标人递交的资料进行评标。评标过程应客观公正、严谨完整，不准存在错打或遗漏现象。</w:t>
      </w:r>
    </w:p>
    <w:p w14:paraId="2EF20696">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第五条 不准违反合同管理有关规定。</w:t>
      </w:r>
    </w:p>
    <w:p w14:paraId="325ADEFF">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合同的签订、履行、变更和结算应严格遵守公司相关管理规定。</w:t>
      </w:r>
    </w:p>
    <w:p w14:paraId="56893EED">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按照规定的程序和权限对合同进行审批和签订，合同条款要采用合同标准文本且符合招投标文件要求，对变动的专用条款须严格审查。严格开展合同履约和合同变更管理，坚持“先审批，后实施”的变更原则；合同变更须依据合同变更条款和规定的审批程序进行；变更的工程量、价应符合实际，由相关各方签字确认，变更资料及时、完备。规范合同的结算工作，严禁超前结算；合同结算须按结算审核指导书要求，严格审核，结算原则应与合同保持一致。</w:t>
      </w:r>
    </w:p>
    <w:p w14:paraId="437D35C7">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第六条 不准非法转包、非法分包和挂靠行为。</w:t>
      </w:r>
    </w:p>
    <w:p w14:paraId="2811232C">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不准存在分包管理不到位现象。不准基建管理人员私下指定分包单位，违规指定分包范围。加强分包审批与备案管理，防止“阴阳合同”，严格项目现场的分包检查。</w:t>
      </w:r>
    </w:p>
    <w:p w14:paraId="11FE54AC">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第七条 不准对承包商管理不公。</w:t>
      </w:r>
    </w:p>
    <w:p w14:paraId="68127EA3">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严格承包商管理，确保公平、公正、公开，防止人为干预。</w:t>
      </w:r>
    </w:p>
    <w:p w14:paraId="5CBC85B6">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基建管理人员在承包商建立资信档案过程中，人为提高或降低审核标准；不准在承包商考核扣分中徇私舞弊，没有严格按照扣分标准进行检查扣分；不准在承包商履约评价中偏袒或歧视承包商等不公正行为。在承包商管理中严格复核，不准弄虚作假。</w:t>
      </w:r>
    </w:p>
    <w:p w14:paraId="213A31C0">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第八条 不准违规向职工持股企业输送利益。</w:t>
      </w:r>
    </w:p>
    <w:p w14:paraId="31EEF610">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禁直接将应招标基建项目交由职工持股企业承接，职工持股企业必须经过合法的程序（如公开招投标），通过市场竞争取得基建项目。招投标过程必须依法依规、一视同仁，不得有偏袒不公，采购价格符合市场水平。</w:t>
      </w:r>
    </w:p>
    <w:p w14:paraId="2ACEBF15">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加强对职工持股企业承接项目的管控，防止在项目实施过程中发生违规利益输送问题；强化责任落实，特别是加强变更管理，杜绝工程量与实际不符的情况；加强结算管理，严格结算审查；加强分包管理，严禁职工持股企业发生非法转包、非法分包和挂靠等行为。</w:t>
      </w:r>
    </w:p>
    <w:p w14:paraId="1EFCF6D5">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检查与监督</w:t>
      </w:r>
    </w:p>
    <w:p w14:paraId="45EC2EF4">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各级基建人员应定期开展自查自纠，对违反规定的行为，应及时予以纠正、处理。公司总部和各分子公司不定期地进行巡查，检查中发现问题，严肃处理。问题严重的，责任单位领导负责向上级说清楚。</w:t>
      </w:r>
    </w:p>
    <w:p w14:paraId="2D3438F8">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对违反规定，造成重大损失或恶劣影响的，应当按照国家法律法规和公司有关规定，由纪检监察部门进行立案调查，涉嫌构成犯罪的移交司法机关处置。</w:t>
      </w:r>
    </w:p>
    <w:p w14:paraId="371A8D86">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本细则自发布之日起实施，公司基建部负责解释。</w:t>
      </w:r>
    </w:p>
    <w:p w14:paraId="7B3248D9">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14:paraId="18A5F5D2">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14:paraId="3CB76FE3">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14:paraId="249630AA">
      <w:pPr>
        <w:kinsoku/>
        <w:wordWrap/>
        <w:overflowPunct/>
        <w:topLinePunct w:val="0"/>
        <w:bidi w:val="0"/>
        <w:snapToGrid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本通知与本工程承包合同为一整体合同文件。</w:t>
      </w:r>
    </w:p>
    <w:p w14:paraId="270A643C">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b/>
          <w:strike/>
          <w:sz w:val="24"/>
          <w:szCs w:val="24"/>
        </w:rPr>
        <w:br w:type="page"/>
      </w:r>
      <w:r>
        <w:rPr>
          <w:rFonts w:hint="eastAsia" w:ascii="宋体" w:hAnsi="宋体" w:eastAsia="宋体" w:cs="宋体"/>
          <w:sz w:val="24"/>
          <w:szCs w:val="24"/>
        </w:rPr>
        <w:t>附件七 现场作业人员统计表</w:t>
      </w:r>
      <w:bookmarkEnd w:id="23"/>
    </w:p>
    <w:p w14:paraId="5A1F91D8">
      <w:pPr>
        <w:kinsoku/>
        <w:wordWrap/>
        <w:overflowPunct/>
        <w:topLinePunct w:val="0"/>
        <w:bidi w:val="0"/>
        <w:spacing w:line="540" w:lineRule="exact"/>
        <w:rPr>
          <w:rFonts w:hint="eastAsia" w:ascii="宋体" w:hAnsi="宋体" w:eastAsia="宋体" w:cs="宋体"/>
          <w:sz w:val="24"/>
          <w:szCs w:val="24"/>
        </w:rPr>
      </w:pPr>
    </w:p>
    <w:p w14:paraId="7471E98E">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**单位</w:t>
      </w:r>
      <w:r>
        <w:rPr>
          <w:rFonts w:hint="eastAsia" w:ascii="宋体" w:hAnsi="宋体" w:eastAsia="宋体" w:cs="宋体"/>
          <w:b/>
          <w:sz w:val="24"/>
          <w:szCs w:val="24"/>
          <w:u w:val="single"/>
        </w:rPr>
        <w:t xml:space="preserve">   </w:t>
      </w:r>
      <w:r>
        <w:rPr>
          <w:rFonts w:hint="eastAsia" w:ascii="宋体" w:hAnsi="宋体" w:eastAsia="宋体" w:cs="宋体"/>
          <w:b/>
          <w:sz w:val="24"/>
          <w:szCs w:val="24"/>
        </w:rPr>
        <w:t>项目现场作业人员统计表</w:t>
      </w:r>
    </w:p>
    <w:tbl>
      <w:tblPr>
        <w:tblStyle w:val="41"/>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900"/>
        <w:gridCol w:w="900"/>
        <w:gridCol w:w="1080"/>
        <w:gridCol w:w="1085"/>
        <w:gridCol w:w="816"/>
        <w:gridCol w:w="984"/>
        <w:gridCol w:w="858"/>
        <w:gridCol w:w="1117"/>
        <w:gridCol w:w="1440"/>
      </w:tblGrid>
      <w:tr w14:paraId="544EFED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20" w:type="dxa"/>
            <w:vMerge w:val="restart"/>
            <w:tcBorders>
              <w:top w:val="single" w:color="000000" w:sz="4" w:space="0"/>
              <w:left w:val="single" w:color="000000" w:sz="4" w:space="0"/>
              <w:right w:val="single" w:color="000000" w:sz="4" w:space="0"/>
            </w:tcBorders>
            <w:noWrap w:val="0"/>
            <w:vAlign w:val="center"/>
          </w:tcPr>
          <w:p w14:paraId="408A171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900" w:type="dxa"/>
            <w:vMerge w:val="restart"/>
            <w:tcBorders>
              <w:top w:val="single" w:color="000000" w:sz="4" w:space="0"/>
              <w:left w:val="single" w:color="000000" w:sz="4" w:space="0"/>
              <w:right w:val="single" w:color="000000" w:sz="4" w:space="0"/>
            </w:tcBorders>
            <w:noWrap w:val="0"/>
            <w:vAlign w:val="center"/>
          </w:tcPr>
          <w:p w14:paraId="2DD0D78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姓名</w:t>
            </w:r>
          </w:p>
        </w:tc>
        <w:tc>
          <w:tcPr>
            <w:tcW w:w="900" w:type="dxa"/>
            <w:vMerge w:val="restart"/>
            <w:tcBorders>
              <w:top w:val="single" w:color="000000" w:sz="4" w:space="0"/>
              <w:left w:val="single" w:color="000000" w:sz="4" w:space="0"/>
              <w:right w:val="single" w:color="000000" w:sz="4" w:space="0"/>
            </w:tcBorders>
            <w:noWrap w:val="0"/>
            <w:vAlign w:val="center"/>
          </w:tcPr>
          <w:p w14:paraId="75B98DBD">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工作岗位</w:t>
            </w:r>
          </w:p>
        </w:tc>
        <w:tc>
          <w:tcPr>
            <w:tcW w:w="1080" w:type="dxa"/>
            <w:vMerge w:val="restart"/>
            <w:tcBorders>
              <w:top w:val="single" w:color="000000" w:sz="4" w:space="0"/>
              <w:left w:val="single" w:color="000000" w:sz="4" w:space="0"/>
              <w:right w:val="single" w:color="000000" w:sz="4" w:space="0"/>
            </w:tcBorders>
            <w:noWrap w:val="0"/>
            <w:vAlign w:val="center"/>
          </w:tcPr>
          <w:p w14:paraId="10B27E51">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执业资格</w:t>
            </w:r>
          </w:p>
          <w:p w14:paraId="5C05E772">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及证书号</w:t>
            </w:r>
          </w:p>
        </w:tc>
        <w:tc>
          <w:tcPr>
            <w:tcW w:w="2885" w:type="dxa"/>
            <w:gridSpan w:val="3"/>
            <w:tcBorders>
              <w:top w:val="single" w:color="000000" w:sz="4" w:space="0"/>
              <w:left w:val="single" w:color="000000" w:sz="4" w:space="0"/>
              <w:bottom w:val="single" w:color="000000" w:sz="4" w:space="0"/>
              <w:right w:val="single" w:color="000000" w:sz="4" w:space="0"/>
            </w:tcBorders>
            <w:noWrap w:val="0"/>
            <w:vAlign w:val="center"/>
          </w:tcPr>
          <w:p w14:paraId="76A9722F">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职业资格/技术职务</w:t>
            </w:r>
          </w:p>
        </w:tc>
        <w:tc>
          <w:tcPr>
            <w:tcW w:w="3415" w:type="dxa"/>
            <w:gridSpan w:val="3"/>
            <w:tcBorders>
              <w:top w:val="single" w:color="000000" w:sz="4" w:space="0"/>
              <w:left w:val="single" w:color="000000" w:sz="4" w:space="0"/>
              <w:bottom w:val="single" w:color="000000" w:sz="4" w:space="0"/>
              <w:right w:val="single" w:color="000000" w:sz="4" w:space="0"/>
            </w:tcBorders>
            <w:noWrap w:val="0"/>
            <w:vAlign w:val="center"/>
          </w:tcPr>
          <w:p w14:paraId="5DF5449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特种/一般作业人员</w:t>
            </w:r>
          </w:p>
        </w:tc>
      </w:tr>
      <w:tr w14:paraId="7C56CE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vMerge w:val="continue"/>
            <w:tcBorders>
              <w:left w:val="single" w:color="000000" w:sz="4" w:space="0"/>
              <w:bottom w:val="single" w:color="000000" w:sz="4" w:space="0"/>
              <w:right w:val="single" w:color="000000" w:sz="4" w:space="0"/>
            </w:tcBorders>
            <w:noWrap w:val="0"/>
            <w:vAlign w:val="center"/>
          </w:tcPr>
          <w:p w14:paraId="5185DCD0">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14:paraId="0AE82612">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14:paraId="35DF626D">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vMerge w:val="continue"/>
            <w:tcBorders>
              <w:left w:val="single" w:color="000000" w:sz="4" w:space="0"/>
              <w:bottom w:val="single" w:color="000000" w:sz="4" w:space="0"/>
              <w:right w:val="single" w:color="000000" w:sz="4" w:space="0"/>
            </w:tcBorders>
            <w:noWrap w:val="0"/>
            <w:vAlign w:val="center"/>
          </w:tcPr>
          <w:p w14:paraId="43E01A0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20363AC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职称/技能</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564D0F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专业</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02EFB4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证书号</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5F1E7F0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79765579">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特种作业操作证书号</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EF9678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电网建设作业人员资格认定证书号</w:t>
            </w:r>
          </w:p>
        </w:tc>
      </w:tr>
      <w:tr w14:paraId="138CC0A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60E647B">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1DA28649">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30F7AF22">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468265CC">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14:paraId="0F62D021">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14:paraId="6EB317C3">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14:paraId="154146A5">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14:paraId="66C4FB6C">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14:paraId="0A1EBA0D">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14:paraId="45B07AB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736A92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C8F70FE">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56ADB09B">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7548B1D5">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33D25818">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14:paraId="7C97BF42">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14:paraId="21FDB8C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14:paraId="3EF9CAF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14:paraId="5694625E">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14:paraId="50CCCBAC">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14:paraId="71BFCF7F">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4540C32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3BEB8EF2">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5892D7FF">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14:paraId="32233F9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3A932DAF">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14:paraId="1BBBCEB5">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14:paraId="00916502">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14:paraId="3C799ED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14:paraId="29AA995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14:paraId="76740A9A">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14:paraId="55206337">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bl>
    <w:p w14:paraId="2334A1CC">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注：1、执业资格为建造师、安全工程师等。职称为高、中、初级工程师；技能为高级技师、技师等。</w:t>
      </w:r>
    </w:p>
    <w:p w14:paraId="446E858C">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2、同时要求提交项目经理、主要管理人员、专业工种人员、法人代表的相关资料。</w:t>
      </w:r>
    </w:p>
    <w:p w14:paraId="402E420A">
      <w:pPr>
        <w:kinsoku/>
        <w:wordWrap/>
        <w:overflowPunct/>
        <w:topLinePunct w:val="0"/>
        <w:bidi w:val="0"/>
        <w:spacing w:line="540" w:lineRule="exact"/>
        <w:ind w:firstLine="480" w:firstLineChars="200"/>
        <w:rPr>
          <w:rFonts w:hint="eastAsia" w:ascii="宋体" w:hAnsi="宋体" w:eastAsia="宋体" w:cs="宋体"/>
          <w:sz w:val="24"/>
          <w:szCs w:val="24"/>
        </w:rPr>
      </w:pPr>
    </w:p>
    <w:p w14:paraId="0EA3968C">
      <w:pPr>
        <w:kinsoku/>
        <w:wordWrap/>
        <w:overflowPunct/>
        <w:topLinePunct w:val="0"/>
        <w:bidi w:val="0"/>
        <w:spacing w:line="540" w:lineRule="exact"/>
        <w:ind w:firstLine="480" w:firstLineChars="200"/>
        <w:rPr>
          <w:rFonts w:hint="eastAsia" w:ascii="宋体" w:hAnsi="宋体" w:eastAsia="宋体" w:cs="宋体"/>
          <w:sz w:val="24"/>
          <w:szCs w:val="24"/>
        </w:rPr>
      </w:pPr>
    </w:p>
    <w:p w14:paraId="1306FA93">
      <w:pPr>
        <w:kinsoku/>
        <w:wordWrap/>
        <w:overflowPunct/>
        <w:topLinePunct w:val="0"/>
        <w:bidi w:val="0"/>
        <w:spacing w:line="540" w:lineRule="exact"/>
        <w:ind w:firstLine="480" w:firstLineChars="200"/>
        <w:rPr>
          <w:rFonts w:hint="eastAsia" w:ascii="宋体" w:hAnsi="宋体" w:eastAsia="宋体" w:cs="宋体"/>
          <w:sz w:val="24"/>
          <w:szCs w:val="24"/>
        </w:rPr>
      </w:pPr>
    </w:p>
    <w:p w14:paraId="4EF64D87">
      <w:pPr>
        <w:kinsoku/>
        <w:wordWrap/>
        <w:overflowPunct/>
        <w:topLinePunct w:val="0"/>
        <w:bidi w:val="0"/>
        <w:spacing w:line="540" w:lineRule="exact"/>
        <w:ind w:firstLine="480" w:firstLineChars="200"/>
        <w:rPr>
          <w:rFonts w:hint="eastAsia" w:ascii="宋体" w:hAnsi="宋体" w:eastAsia="宋体" w:cs="宋体"/>
          <w:sz w:val="24"/>
          <w:szCs w:val="24"/>
        </w:rPr>
      </w:pPr>
    </w:p>
    <w:p w14:paraId="66E26493">
      <w:pPr>
        <w:kinsoku/>
        <w:wordWrap/>
        <w:overflowPunct/>
        <w:topLinePunct w:val="0"/>
        <w:bidi w:val="0"/>
        <w:spacing w:line="540" w:lineRule="exact"/>
        <w:ind w:firstLine="480" w:firstLineChars="200"/>
        <w:rPr>
          <w:rFonts w:hint="eastAsia" w:ascii="宋体" w:hAnsi="宋体" w:eastAsia="宋体" w:cs="宋体"/>
          <w:sz w:val="24"/>
          <w:szCs w:val="24"/>
        </w:rPr>
      </w:pPr>
    </w:p>
    <w:p w14:paraId="6018E610">
      <w:pPr>
        <w:kinsoku/>
        <w:wordWrap/>
        <w:overflowPunct/>
        <w:topLinePunct w:val="0"/>
        <w:bidi w:val="0"/>
        <w:spacing w:line="540" w:lineRule="exact"/>
        <w:ind w:firstLine="480" w:firstLineChars="200"/>
        <w:rPr>
          <w:rFonts w:hint="eastAsia" w:ascii="宋体" w:hAnsi="宋体" w:eastAsia="宋体" w:cs="宋体"/>
          <w:sz w:val="24"/>
          <w:szCs w:val="24"/>
        </w:rPr>
      </w:pPr>
    </w:p>
    <w:p w14:paraId="0F3B703B">
      <w:pPr>
        <w:kinsoku/>
        <w:wordWrap/>
        <w:overflowPunct/>
        <w:topLinePunct w:val="0"/>
        <w:bidi w:val="0"/>
        <w:spacing w:line="540" w:lineRule="exact"/>
        <w:ind w:firstLine="480" w:firstLineChars="200"/>
        <w:rPr>
          <w:rFonts w:hint="eastAsia" w:ascii="宋体" w:hAnsi="宋体" w:eastAsia="宋体" w:cs="宋体"/>
          <w:sz w:val="24"/>
          <w:szCs w:val="24"/>
        </w:rPr>
      </w:pPr>
    </w:p>
    <w:p w14:paraId="597D4052">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附件八 开展标准建设清单</w:t>
      </w:r>
    </w:p>
    <w:p w14:paraId="787C56DD">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**单项目开展标准建设清单</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72C44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149628B5">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14:paraId="14E32714">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标准点</w:t>
            </w:r>
          </w:p>
        </w:tc>
        <w:tc>
          <w:tcPr>
            <w:tcW w:w="2268" w:type="dxa"/>
            <w:noWrap w:val="0"/>
            <w:vAlign w:val="center"/>
          </w:tcPr>
          <w:p w14:paraId="74E588FF">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部位</w:t>
            </w:r>
          </w:p>
        </w:tc>
        <w:tc>
          <w:tcPr>
            <w:tcW w:w="1541" w:type="dxa"/>
            <w:noWrap w:val="0"/>
            <w:vAlign w:val="center"/>
          </w:tcPr>
          <w:p w14:paraId="157D2EDF">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作法</w:t>
            </w:r>
          </w:p>
        </w:tc>
        <w:tc>
          <w:tcPr>
            <w:tcW w:w="1541" w:type="dxa"/>
            <w:noWrap w:val="0"/>
            <w:vAlign w:val="center"/>
          </w:tcPr>
          <w:p w14:paraId="64184B01">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14:paraId="5C05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58BE1214">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0EC21BFE">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14:paraId="57B7936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45336CE5">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0F5855F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3217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4EAF9CEB">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1B7C7842">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14:paraId="6ED22B8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46610BF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25D3DCF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2393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62D6D53A">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2B83FBAA">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14:paraId="317E3CE4">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4732171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4C2A1B82">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1706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548C72A0">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41178D6D">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14:paraId="70E0AE2F">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16266EFA">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14:paraId="5191D63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14:paraId="278B430A">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17E46334">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0EC02859">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47862A39">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3C691E7B">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73F22C80">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6BB5516F">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附件九 甲供设备材料明细表</w:t>
      </w:r>
    </w:p>
    <w:p w14:paraId="324250F8">
      <w:pPr>
        <w:kinsoku/>
        <w:wordWrap/>
        <w:overflowPunct/>
        <w:topLinePunct w:val="0"/>
        <w:autoSpaceDE w:val="0"/>
        <w:autoSpaceDN w:val="0"/>
        <w:bidi w:val="0"/>
        <w:spacing w:line="540" w:lineRule="exac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甲供设备材料明细表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1572"/>
        <w:gridCol w:w="1320"/>
        <w:gridCol w:w="1218"/>
        <w:gridCol w:w="1095"/>
      </w:tblGrid>
      <w:tr w14:paraId="3EBF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6B731F3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14:paraId="3BABB44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材料、设备名称</w:t>
            </w:r>
          </w:p>
        </w:tc>
        <w:tc>
          <w:tcPr>
            <w:tcW w:w="1572" w:type="dxa"/>
            <w:noWrap w:val="0"/>
            <w:vAlign w:val="center"/>
          </w:tcPr>
          <w:p w14:paraId="4A3DD4F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1320" w:type="dxa"/>
            <w:noWrap w:val="0"/>
            <w:vAlign w:val="center"/>
          </w:tcPr>
          <w:p w14:paraId="00CE5E63">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单位</w:t>
            </w:r>
          </w:p>
        </w:tc>
        <w:tc>
          <w:tcPr>
            <w:tcW w:w="1218" w:type="dxa"/>
            <w:noWrap w:val="0"/>
            <w:vAlign w:val="center"/>
          </w:tcPr>
          <w:p w14:paraId="72278BBB">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95" w:type="dxa"/>
            <w:noWrap w:val="0"/>
            <w:vAlign w:val="center"/>
          </w:tcPr>
          <w:p w14:paraId="65E0681B">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14:paraId="030E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212112B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05DDAC5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14:paraId="3320391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14:paraId="184BBC61">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14:paraId="353EF10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14:paraId="3FC2A71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2896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2BBAA4D5">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0F330CF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14:paraId="3C729C1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14:paraId="7E76F08E">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14:paraId="3091819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14:paraId="285702AD">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6D7C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771941B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6F4D58F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14:paraId="46A61D13">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14:paraId="228A6035">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14:paraId="38B36B2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14:paraId="320F030C">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22E2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409CD75A">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777FECD4">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14:paraId="2B2AF54A">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14:paraId="32C3A007">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14:paraId="05B0A623">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14:paraId="435644C7">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568F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77ED08D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14:paraId="2A770ECE">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14:paraId="236E2A92">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14:paraId="3EC1AD5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14:paraId="0ED1F56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14:paraId="38B4E870">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14:paraId="40B36F96">
      <w:pPr>
        <w:kinsoku/>
        <w:wordWrap/>
        <w:overflowPunct/>
        <w:topLinePunct w:val="0"/>
        <w:autoSpaceDE w:val="0"/>
        <w:autoSpaceDN w:val="0"/>
        <w:bidi w:val="0"/>
        <w:spacing w:line="540" w:lineRule="exact"/>
        <w:jc w:val="left"/>
        <w:rPr>
          <w:rFonts w:hint="eastAsia" w:ascii="宋体" w:hAnsi="宋体" w:eastAsia="宋体" w:cs="宋体"/>
          <w:sz w:val="24"/>
          <w:szCs w:val="24"/>
        </w:rPr>
      </w:pPr>
    </w:p>
    <w:p w14:paraId="759A333F">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 分包管理</w:t>
      </w:r>
    </w:p>
    <w:p w14:paraId="6C26C8BB">
      <w:pPr>
        <w:kinsoku/>
        <w:wordWrap/>
        <w:overflowPunct/>
        <w:topLinePunct w:val="0"/>
        <w:autoSpaceDE w:val="0"/>
        <w:autoSpaceDN w:val="0"/>
        <w:bidi w:val="0"/>
        <w:spacing w:line="540" w:lineRule="exact"/>
        <w:jc w:val="left"/>
        <w:rPr>
          <w:rFonts w:hint="eastAsia" w:ascii="宋体" w:hAnsi="宋体" w:eastAsia="宋体" w:cs="宋体"/>
          <w:kern w:val="0"/>
          <w:sz w:val="24"/>
          <w:szCs w:val="24"/>
        </w:rPr>
      </w:pPr>
      <w:r>
        <w:rPr>
          <w:rFonts w:hint="eastAsia" w:ascii="宋体" w:hAnsi="宋体" w:eastAsia="宋体" w:cs="宋体"/>
          <w:sz w:val="24"/>
          <w:szCs w:val="24"/>
        </w:rPr>
        <w:t xml:space="preserve">  </w:t>
      </w:r>
    </w:p>
    <w:p w14:paraId="35FBB830">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附件十一  特殊调试项目</w:t>
      </w:r>
    </w:p>
    <w:p w14:paraId="3397C584">
      <w:pPr>
        <w:kinsoku/>
        <w:wordWrap/>
        <w:overflowPunct/>
        <w:topLinePunct w:val="0"/>
        <w:autoSpaceDE w:val="0"/>
        <w:autoSpaceDN w:val="0"/>
        <w:bidi w:val="0"/>
        <w:spacing w:line="540" w:lineRule="exact"/>
        <w:ind w:firstLine="480" w:firstLineChars="200"/>
        <w:jc w:val="center"/>
        <w:rPr>
          <w:rFonts w:hint="eastAsia" w:ascii="宋体" w:hAnsi="宋体" w:eastAsia="宋体" w:cs="宋体"/>
          <w:b/>
          <w:sz w:val="24"/>
          <w:szCs w:val="24"/>
        </w:rPr>
      </w:pPr>
      <w:r>
        <w:rPr>
          <w:rFonts w:hint="eastAsia" w:ascii="宋体" w:hAnsi="宋体" w:eastAsia="宋体" w:cs="宋体"/>
          <w:sz w:val="24"/>
          <w:szCs w:val="24"/>
        </w:rPr>
        <w:t>特殊调试项目明细表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14:paraId="4194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noWrap w:val="0"/>
            <w:vAlign w:val="center"/>
          </w:tcPr>
          <w:p w14:paraId="67DD355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5610" w:type="dxa"/>
            <w:noWrap w:val="0"/>
            <w:vAlign w:val="center"/>
          </w:tcPr>
          <w:p w14:paraId="195A2D53">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特殊调试项目</w:t>
            </w:r>
          </w:p>
        </w:tc>
        <w:tc>
          <w:tcPr>
            <w:tcW w:w="2220" w:type="dxa"/>
            <w:noWrap w:val="0"/>
            <w:vAlign w:val="center"/>
          </w:tcPr>
          <w:p w14:paraId="131FC69B">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14:paraId="5435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14:paraId="75155C62">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14:paraId="57A6CE7E">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14:paraId="37C7448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1A6C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14:paraId="1D9F5B29">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14:paraId="62C7EAF6">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14:paraId="0EBD6142">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14:paraId="5C48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14:paraId="55574805">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14:paraId="0E102847">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14:paraId="6E0C1288">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14:paraId="3990500E">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附件十二  管理规范和技术（规范）标准</w:t>
      </w:r>
    </w:p>
    <w:p w14:paraId="4CA70640">
      <w:pPr>
        <w:pStyle w:val="22"/>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b/>
          <w:sz w:val="24"/>
          <w:szCs w:val="24"/>
        </w:rPr>
        <w:t>管理规范和技术（规范）标准</w:t>
      </w:r>
    </w:p>
    <w:p w14:paraId="30446493">
      <w:pPr>
        <w:pStyle w:val="22"/>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本项目须达到下列现行中华人民共和国以及省、自治区、直辖市或行业的有关法律法规、标准、规范的要求，满足中国南方电网公司有限责任公司的管理制度和规定、技术标准，至少应包括：</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14:paraId="3489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60" w:type="dxa"/>
            <w:noWrap w:val="0"/>
            <w:vAlign w:val="center"/>
          </w:tcPr>
          <w:p w14:paraId="427B3A3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7019" w:type="dxa"/>
            <w:noWrap w:val="0"/>
            <w:vAlign w:val="center"/>
          </w:tcPr>
          <w:p w14:paraId="7FADA56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名称</w:t>
            </w:r>
          </w:p>
        </w:tc>
        <w:tc>
          <w:tcPr>
            <w:tcW w:w="1907" w:type="dxa"/>
            <w:noWrap w:val="0"/>
            <w:vAlign w:val="center"/>
          </w:tcPr>
          <w:p w14:paraId="7AFFF4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备注</w:t>
            </w:r>
          </w:p>
        </w:tc>
      </w:tr>
      <w:tr w14:paraId="53B9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14:paraId="7C555E3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国家法律、行政法规、规章</w:t>
            </w:r>
          </w:p>
        </w:tc>
      </w:tr>
      <w:tr w14:paraId="0724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092AFE5">
            <w:pPr>
              <w:keepNext w:val="0"/>
              <w:keepLines w:val="0"/>
              <w:widowControl/>
              <w:suppressLineNumbers w:val="0"/>
              <w:kinsoku/>
              <w:wordWrap/>
              <w:overflowPunct/>
              <w:topLinePunct w:val="0"/>
              <w:bidi w:val="0"/>
              <w:spacing w:before="0" w:beforeAutospacing="0" w:after="0" w:afterAutospacing="0" w:line="54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019" w:type="dxa"/>
            <w:noWrap w:val="0"/>
            <w:vAlign w:val="center"/>
          </w:tcPr>
          <w:p w14:paraId="7550E5F8">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《中华人民共和国建筑法》 (主席令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29号</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第十三届全国人民代表大会常务委员会第十次会议修改，2019年4月23日施行)</w:t>
            </w:r>
          </w:p>
        </w:tc>
        <w:tc>
          <w:tcPr>
            <w:tcW w:w="1907" w:type="dxa"/>
            <w:noWrap w:val="0"/>
            <w:vAlign w:val="center"/>
          </w:tcPr>
          <w:p w14:paraId="0DACF397">
            <w:pPr>
              <w:keepNext w:val="0"/>
              <w:keepLines w:val="0"/>
              <w:widowControl/>
              <w:suppressLineNumbers w:val="0"/>
              <w:kinsoku/>
              <w:wordWrap/>
              <w:overflowPunct/>
              <w:topLinePunct w:val="0"/>
              <w:bidi w:val="0"/>
              <w:spacing w:before="0" w:beforeAutospacing="0" w:after="0" w:afterAutospacing="0" w:line="54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国家法律法规</w:t>
            </w:r>
          </w:p>
        </w:tc>
      </w:tr>
      <w:tr w14:paraId="5762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635E97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019" w:type="dxa"/>
            <w:noWrap w:val="0"/>
            <w:vAlign w:val="center"/>
          </w:tcPr>
          <w:p w14:paraId="453C7062">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《中华人民共和国民法典》（主席令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45号，2021年1月1日施行）</w:t>
            </w:r>
          </w:p>
        </w:tc>
        <w:tc>
          <w:tcPr>
            <w:tcW w:w="1907" w:type="dxa"/>
            <w:noWrap w:val="0"/>
            <w:vAlign w:val="center"/>
          </w:tcPr>
          <w:p w14:paraId="7AC4833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32A9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E1BFA9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019" w:type="dxa"/>
            <w:noWrap w:val="0"/>
            <w:vAlign w:val="center"/>
          </w:tcPr>
          <w:p w14:paraId="7FB6275A">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《中华人民共和国安全生产法》(主席令第</w:t>
            </w:r>
            <w:r>
              <w:rPr>
                <w:rFonts w:hint="default" w:ascii="宋体" w:hAnsi="宋体" w:cs="宋体"/>
                <w:kern w:val="0"/>
                <w:sz w:val="24"/>
                <w:szCs w:val="24"/>
                <w:lang w:val="en-US"/>
              </w:rPr>
              <w:t>88</w:t>
            </w:r>
            <w:r>
              <w:rPr>
                <w:rFonts w:hint="eastAsia" w:ascii="宋体" w:hAnsi="宋体" w:eastAsia="宋体" w:cs="宋体"/>
                <w:kern w:val="0"/>
                <w:sz w:val="24"/>
                <w:szCs w:val="24"/>
              </w:rPr>
              <w:t>号，20</w:t>
            </w:r>
            <w:r>
              <w:rPr>
                <w:rFonts w:hint="default" w:ascii="宋体" w:hAnsi="宋体" w:eastAsia="宋体" w:cs="宋体"/>
                <w:kern w:val="0"/>
                <w:sz w:val="24"/>
                <w:szCs w:val="24"/>
                <w:lang w:val="en-US"/>
              </w:rPr>
              <w:t>21</w:t>
            </w:r>
            <w:r>
              <w:rPr>
                <w:rFonts w:hint="eastAsia" w:ascii="宋体" w:hAnsi="宋体" w:eastAsia="宋体" w:cs="宋体"/>
                <w:kern w:val="0"/>
                <w:sz w:val="24"/>
                <w:szCs w:val="24"/>
              </w:rPr>
              <w:t>年</w:t>
            </w:r>
            <w:r>
              <w:rPr>
                <w:rFonts w:hint="default" w:ascii="宋体" w:hAnsi="宋体" w:eastAsia="宋体" w:cs="宋体"/>
                <w:kern w:val="0"/>
                <w:sz w:val="24"/>
                <w:szCs w:val="24"/>
                <w:lang w:val="en-US"/>
              </w:rPr>
              <w:t>9</w:t>
            </w:r>
            <w:r>
              <w:rPr>
                <w:rFonts w:hint="eastAsia" w:ascii="宋体" w:hAnsi="宋体" w:eastAsia="宋体" w:cs="宋体"/>
                <w:kern w:val="0"/>
                <w:sz w:val="24"/>
                <w:szCs w:val="24"/>
              </w:rPr>
              <w:t>月1日施行)</w:t>
            </w:r>
          </w:p>
        </w:tc>
        <w:tc>
          <w:tcPr>
            <w:tcW w:w="1907" w:type="dxa"/>
            <w:noWrap w:val="0"/>
            <w:vAlign w:val="center"/>
          </w:tcPr>
          <w:p w14:paraId="28DEAB0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0C2A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81D761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7019" w:type="dxa"/>
            <w:noWrap w:val="0"/>
            <w:vAlign w:val="center"/>
          </w:tcPr>
          <w:p w14:paraId="6BC778FB">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《中华人民共和国招标投标法》(主席令</w:t>
            </w:r>
            <w:r>
              <w:rPr>
                <w:rFonts w:hint="eastAsia" w:ascii="宋体" w:hAnsi="宋体" w:cs="宋体"/>
                <w:kern w:val="0"/>
                <w:sz w:val="24"/>
                <w:szCs w:val="24"/>
                <w:lang w:val="en-US" w:eastAsia="zh-CN"/>
              </w:rPr>
              <w:t>第86</w:t>
            </w:r>
            <w:r>
              <w:rPr>
                <w:rFonts w:hint="eastAsia" w:ascii="宋体" w:hAnsi="宋体" w:eastAsia="宋体" w:cs="宋体"/>
                <w:kern w:val="0"/>
                <w:sz w:val="24"/>
                <w:szCs w:val="24"/>
              </w:rPr>
              <w:t>号，2017年12月28日起施行)</w:t>
            </w:r>
          </w:p>
        </w:tc>
        <w:tc>
          <w:tcPr>
            <w:tcW w:w="1907" w:type="dxa"/>
            <w:noWrap w:val="0"/>
            <w:vAlign w:val="center"/>
          </w:tcPr>
          <w:p w14:paraId="428A19F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0961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753955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7019" w:type="dxa"/>
            <w:noWrap w:val="0"/>
            <w:vAlign w:val="center"/>
          </w:tcPr>
          <w:p w14:paraId="338F289C">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《中华人民共和国环境保护法》（主席令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9号，2015年1月1日实施）</w:t>
            </w:r>
          </w:p>
        </w:tc>
        <w:tc>
          <w:tcPr>
            <w:tcW w:w="1907" w:type="dxa"/>
            <w:noWrap w:val="0"/>
            <w:vAlign w:val="center"/>
          </w:tcPr>
          <w:p w14:paraId="3746CE1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5F0C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740475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7019" w:type="dxa"/>
            <w:noWrap w:val="0"/>
            <w:vAlign w:val="center"/>
          </w:tcPr>
          <w:p w14:paraId="39AFA3F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《中华人民共和国电力法》（主席令第</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第十三届全国人民代表大会常务委员会第七次会议第三次修订，2018年12月29日施行）</w:t>
            </w:r>
          </w:p>
        </w:tc>
        <w:tc>
          <w:tcPr>
            <w:tcW w:w="1907" w:type="dxa"/>
            <w:noWrap w:val="0"/>
            <w:vAlign w:val="center"/>
          </w:tcPr>
          <w:p w14:paraId="122F517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0510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9B2D30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7019" w:type="dxa"/>
            <w:noWrap w:val="0"/>
            <w:vAlign w:val="center"/>
          </w:tcPr>
          <w:p w14:paraId="2029FFC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《中华人民共和国劳动法》（主席令第</w:t>
            </w:r>
            <w:r>
              <w:rPr>
                <w:rFonts w:hint="eastAsia" w:ascii="宋体" w:hAnsi="宋体" w:cs="宋体"/>
                <w:color w:val="000000"/>
                <w:kern w:val="0"/>
                <w:sz w:val="24"/>
                <w:szCs w:val="24"/>
                <w:lang w:val="en-US" w:eastAsia="zh-CN"/>
              </w:rPr>
              <w:t>24</w:t>
            </w:r>
            <w:r>
              <w:rPr>
                <w:rFonts w:hint="eastAsia" w:ascii="宋体" w:hAnsi="宋体" w:eastAsia="宋体" w:cs="宋体"/>
                <w:color w:val="000000"/>
                <w:kern w:val="0"/>
                <w:sz w:val="24"/>
                <w:szCs w:val="24"/>
              </w:rPr>
              <w:t xml:space="preserve">号，第十三届全国人民代表大会常务委员会第七次会议修订，2018年12月29日施行) </w:t>
            </w:r>
          </w:p>
        </w:tc>
        <w:tc>
          <w:tcPr>
            <w:tcW w:w="1907" w:type="dxa"/>
            <w:noWrap w:val="0"/>
            <w:vAlign w:val="center"/>
          </w:tcPr>
          <w:p w14:paraId="1913E22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35C5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BD8E82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7019" w:type="dxa"/>
            <w:noWrap w:val="0"/>
            <w:vAlign w:val="center"/>
          </w:tcPr>
          <w:p w14:paraId="7E9180B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《中华人民共和国劳动合同法》（主席令第73号，2013年7月1日起施行) </w:t>
            </w:r>
          </w:p>
        </w:tc>
        <w:tc>
          <w:tcPr>
            <w:tcW w:w="1907" w:type="dxa"/>
            <w:noWrap w:val="0"/>
            <w:vAlign w:val="center"/>
          </w:tcPr>
          <w:p w14:paraId="1FF4B0F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3C3A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8300C6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7019" w:type="dxa"/>
            <w:noWrap w:val="0"/>
            <w:vAlign w:val="center"/>
          </w:tcPr>
          <w:p w14:paraId="6DB0F13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《中华人民共和国水土保持法》（主席令</w:t>
            </w:r>
            <w:r>
              <w:rPr>
                <w:rFonts w:hint="eastAsia" w:ascii="宋体" w:hAnsi="宋体" w:cs="宋体"/>
                <w:color w:val="000000"/>
                <w:kern w:val="0"/>
                <w:sz w:val="24"/>
                <w:szCs w:val="24"/>
                <w:lang w:val="en-US" w:eastAsia="zh-CN"/>
              </w:rPr>
              <w:t>第</w:t>
            </w:r>
            <w:r>
              <w:rPr>
                <w:rFonts w:hint="eastAsia" w:ascii="宋体" w:hAnsi="宋体" w:eastAsia="宋体" w:cs="宋体"/>
                <w:color w:val="000000"/>
                <w:kern w:val="0"/>
                <w:sz w:val="24"/>
                <w:szCs w:val="24"/>
              </w:rPr>
              <w:t>39号，2011年3月1日施行）</w:t>
            </w:r>
          </w:p>
        </w:tc>
        <w:tc>
          <w:tcPr>
            <w:tcW w:w="1907" w:type="dxa"/>
            <w:noWrap w:val="0"/>
            <w:vAlign w:val="center"/>
          </w:tcPr>
          <w:p w14:paraId="0F81C7F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0E58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9074F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019" w:type="dxa"/>
            <w:noWrap w:val="0"/>
            <w:vAlign w:val="center"/>
          </w:tcPr>
          <w:p w14:paraId="141DB69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《建设工程质量管理条例》（国务院令第279号，2000年1月30日发布，2019年修订，国务院令第714号，2019年4月23日施行）</w:t>
            </w:r>
          </w:p>
        </w:tc>
        <w:tc>
          <w:tcPr>
            <w:tcW w:w="1907" w:type="dxa"/>
            <w:noWrap w:val="0"/>
            <w:vAlign w:val="center"/>
          </w:tcPr>
          <w:p w14:paraId="76BE73D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2B95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57352A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7019" w:type="dxa"/>
            <w:noWrap w:val="0"/>
            <w:vAlign w:val="center"/>
          </w:tcPr>
          <w:p w14:paraId="07322C8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《建设工程安全生产管理条例》（国务院令第393号，2004年2月1日起施行）</w:t>
            </w:r>
          </w:p>
        </w:tc>
        <w:tc>
          <w:tcPr>
            <w:tcW w:w="1907" w:type="dxa"/>
            <w:noWrap w:val="0"/>
            <w:vAlign w:val="center"/>
          </w:tcPr>
          <w:p w14:paraId="2DD47B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278B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02B654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7019" w:type="dxa"/>
            <w:noWrap w:val="0"/>
            <w:vAlign w:val="center"/>
          </w:tcPr>
          <w:p w14:paraId="2D32C14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《建设项目环境保护管理条例》（国务院令第253号，1998年11月29日发布，2017年修订，国务院令第682号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2017年10月1日施行）</w:t>
            </w:r>
          </w:p>
        </w:tc>
        <w:tc>
          <w:tcPr>
            <w:tcW w:w="1907" w:type="dxa"/>
            <w:noWrap w:val="0"/>
            <w:vAlign w:val="center"/>
          </w:tcPr>
          <w:p w14:paraId="3894208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65F9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42FCD9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7019" w:type="dxa"/>
            <w:noWrap w:val="0"/>
            <w:vAlign w:val="center"/>
          </w:tcPr>
          <w:p w14:paraId="37EF15F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《建设工程勘察设计管理条例》(国务院令第293号，2000年9月20日发布，2017年修订，国务院令第687号，2017年10月7日施行）</w:t>
            </w:r>
          </w:p>
        </w:tc>
        <w:tc>
          <w:tcPr>
            <w:tcW w:w="1907" w:type="dxa"/>
            <w:noWrap w:val="0"/>
            <w:vAlign w:val="center"/>
          </w:tcPr>
          <w:p w14:paraId="3B22EAA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49F6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B1B08B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7019" w:type="dxa"/>
            <w:noWrap w:val="0"/>
            <w:vAlign w:val="center"/>
          </w:tcPr>
          <w:p w14:paraId="6683901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《生产安全事故报告和调查处理条例》(国务院令第493号，2007年6月1日施行)</w:t>
            </w:r>
          </w:p>
        </w:tc>
        <w:tc>
          <w:tcPr>
            <w:tcW w:w="1907" w:type="dxa"/>
            <w:noWrap w:val="0"/>
            <w:vAlign w:val="center"/>
          </w:tcPr>
          <w:p w14:paraId="6BECEBF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7E0D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8F7E8A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7019" w:type="dxa"/>
            <w:noWrap w:val="0"/>
            <w:vAlign w:val="center"/>
          </w:tcPr>
          <w:p w14:paraId="657A596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《电力安全事故应急处置和调查处理条例》(国务院令第599号，2011年9月1日施行)</w:t>
            </w:r>
          </w:p>
        </w:tc>
        <w:tc>
          <w:tcPr>
            <w:tcW w:w="1907" w:type="dxa"/>
            <w:noWrap w:val="0"/>
            <w:vAlign w:val="center"/>
          </w:tcPr>
          <w:p w14:paraId="1E02513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174AC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2B52EF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7019" w:type="dxa"/>
            <w:noWrap w:val="0"/>
            <w:vAlign w:val="center"/>
          </w:tcPr>
          <w:p w14:paraId="3BC1694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《中华人民共和国招标投标法实施条例》(国务院令第613号，2012年2月1日发布，2019年修订，国务院令第709号，2019年3月2日施行）</w:t>
            </w:r>
          </w:p>
        </w:tc>
        <w:tc>
          <w:tcPr>
            <w:tcW w:w="1907" w:type="dxa"/>
            <w:noWrap w:val="0"/>
            <w:vAlign w:val="center"/>
          </w:tcPr>
          <w:p w14:paraId="18FF6B7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4912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B22C7D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7019" w:type="dxa"/>
            <w:noWrap w:val="0"/>
            <w:vAlign w:val="center"/>
          </w:tcPr>
          <w:p w14:paraId="49721AC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《中共中央纪委关于严格禁止利用职务上的便利谋取不正当利益的若干规定》(2007年6月8日发布)</w:t>
            </w:r>
          </w:p>
        </w:tc>
        <w:tc>
          <w:tcPr>
            <w:tcW w:w="1907" w:type="dxa"/>
            <w:noWrap w:val="0"/>
            <w:vAlign w:val="center"/>
          </w:tcPr>
          <w:p w14:paraId="1EEE1D5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3A22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689AA3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7019" w:type="dxa"/>
            <w:noWrap w:val="0"/>
            <w:vAlign w:val="center"/>
          </w:tcPr>
          <w:p w14:paraId="7F1F956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《国务院关于特大安全事故行政责任追究的规定》（国务院令第302号，2001年4月21日起施行)）</w:t>
            </w:r>
          </w:p>
        </w:tc>
        <w:tc>
          <w:tcPr>
            <w:tcW w:w="1907" w:type="dxa"/>
            <w:noWrap w:val="0"/>
            <w:vAlign w:val="center"/>
          </w:tcPr>
          <w:p w14:paraId="64B68FA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3766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3F2E2F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7019" w:type="dxa"/>
            <w:noWrap w:val="0"/>
            <w:vAlign w:val="center"/>
          </w:tcPr>
          <w:p w14:paraId="30806B0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中华人民共和国固体废物污染环境防治法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43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rPr>
              <w:t>第十三届全国人民代表大会常务委员会第十七次会议于2020年4月29日修订通过，自2020年9月1日起施行</w:t>
            </w:r>
            <w:r>
              <w:rPr>
                <w:rFonts w:hint="eastAsia" w:ascii="宋体" w:hAnsi="宋体" w:eastAsia="宋体" w:cs="宋体"/>
                <w:color w:val="000000"/>
                <w:kern w:val="0"/>
                <w:sz w:val="24"/>
                <w:szCs w:val="24"/>
              </w:rPr>
              <w:t>）</w:t>
            </w:r>
          </w:p>
        </w:tc>
        <w:tc>
          <w:tcPr>
            <w:tcW w:w="1907" w:type="dxa"/>
            <w:noWrap w:val="0"/>
            <w:vAlign w:val="center"/>
          </w:tcPr>
          <w:p w14:paraId="4C9F30A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6748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60EB84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7019" w:type="dxa"/>
            <w:noWrap w:val="0"/>
            <w:vAlign w:val="center"/>
          </w:tcPr>
          <w:p w14:paraId="463B8DE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中华人民共和国大气污染防治法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（主席令第31号，第十三届全国人民代表大会常务委员会第六次会议修订，2018年10月26日</w:t>
            </w:r>
            <w:r>
              <w:rPr>
                <w:rFonts w:hint="eastAsia" w:ascii="宋体" w:hAnsi="宋体" w:cs="宋体"/>
                <w:color w:val="000000"/>
                <w:kern w:val="0"/>
                <w:sz w:val="24"/>
                <w:szCs w:val="24"/>
                <w:lang w:val="en-US" w:eastAsia="zh-CN"/>
              </w:rPr>
              <w:t>起</w:t>
            </w:r>
            <w:r>
              <w:rPr>
                <w:rFonts w:hint="eastAsia" w:ascii="宋体" w:hAnsi="宋体" w:eastAsia="宋体" w:cs="宋体"/>
                <w:color w:val="000000"/>
                <w:kern w:val="0"/>
                <w:sz w:val="24"/>
                <w:szCs w:val="24"/>
              </w:rPr>
              <w:t>施行）</w:t>
            </w:r>
          </w:p>
        </w:tc>
        <w:tc>
          <w:tcPr>
            <w:tcW w:w="1907" w:type="dxa"/>
            <w:noWrap w:val="0"/>
            <w:vAlign w:val="center"/>
          </w:tcPr>
          <w:p w14:paraId="55A27ED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7B16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ADE75C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7019" w:type="dxa"/>
            <w:noWrap w:val="0"/>
            <w:vAlign w:val="center"/>
          </w:tcPr>
          <w:p w14:paraId="443F2C9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中华人民共和国计量法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1</w:t>
            </w:r>
            <w:r>
              <w:rPr>
                <w:rFonts w:hint="eastAsia" w:ascii="宋体" w:hAnsi="宋体" w:eastAsia="宋体" w:cs="宋体"/>
                <w:color w:val="000000"/>
                <w:kern w:val="0"/>
                <w:sz w:val="24"/>
                <w:szCs w:val="24"/>
              </w:rPr>
              <w:t>6号，第十三届全国人民代表大会常务委员会第六次会议修订</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w:t>
            </w:r>
            <w:r>
              <w:rPr>
                <w:rFonts w:hint="eastAsia" w:ascii="宋体" w:hAnsi="宋体" w:eastAsia="宋体" w:cs="宋体"/>
                <w:color w:val="000000"/>
                <w:kern w:val="0"/>
                <w:sz w:val="24"/>
                <w:szCs w:val="24"/>
              </w:rPr>
              <w:t>18年10月26日起施行）</w:t>
            </w:r>
          </w:p>
        </w:tc>
        <w:tc>
          <w:tcPr>
            <w:tcW w:w="1907" w:type="dxa"/>
            <w:noWrap w:val="0"/>
            <w:vAlign w:val="center"/>
          </w:tcPr>
          <w:p w14:paraId="537FA58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14:paraId="63E8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EB162B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7019" w:type="dxa"/>
            <w:noWrap w:val="0"/>
            <w:vAlign w:val="center"/>
          </w:tcPr>
          <w:p w14:paraId="419B0AE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《评标委员会和评标方法暂行规定》（七部委12号令）</w:t>
            </w:r>
          </w:p>
        </w:tc>
        <w:tc>
          <w:tcPr>
            <w:tcW w:w="1907" w:type="dxa"/>
            <w:noWrap w:val="0"/>
            <w:vAlign w:val="center"/>
          </w:tcPr>
          <w:p w14:paraId="781B163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13E0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AF5D7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7019" w:type="dxa"/>
            <w:noWrap w:val="0"/>
            <w:vAlign w:val="center"/>
          </w:tcPr>
          <w:p w14:paraId="6A3F7B3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《工程建设项目货物招标投标办法》（七部委27号令）</w:t>
            </w:r>
          </w:p>
        </w:tc>
        <w:tc>
          <w:tcPr>
            <w:tcW w:w="1907" w:type="dxa"/>
            <w:noWrap w:val="0"/>
            <w:vAlign w:val="center"/>
          </w:tcPr>
          <w:p w14:paraId="1F86441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DDA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5996AE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7019" w:type="dxa"/>
            <w:noWrap w:val="0"/>
            <w:vAlign w:val="center"/>
          </w:tcPr>
          <w:p w14:paraId="4ADDAAB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《工程建设项目施工招标投标办法》（七部委30号令，九部委23号令修订，2013年5月1日施行）</w:t>
            </w:r>
          </w:p>
        </w:tc>
        <w:tc>
          <w:tcPr>
            <w:tcW w:w="1907" w:type="dxa"/>
            <w:noWrap w:val="0"/>
            <w:vAlign w:val="center"/>
          </w:tcPr>
          <w:p w14:paraId="5639BB1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ACE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5546C7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7019" w:type="dxa"/>
            <w:noWrap w:val="0"/>
            <w:vAlign w:val="center"/>
          </w:tcPr>
          <w:p w14:paraId="1C40CBD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《工程建设项目勘察设计招标投标办法》（八部委2号令，九部委23号令修订，2013年5月1日施行）</w:t>
            </w:r>
          </w:p>
        </w:tc>
        <w:tc>
          <w:tcPr>
            <w:tcW w:w="1907" w:type="dxa"/>
            <w:noWrap w:val="0"/>
            <w:vAlign w:val="center"/>
          </w:tcPr>
          <w:p w14:paraId="76ED3D2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40C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470BDB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c>
          <w:tcPr>
            <w:tcW w:w="7019" w:type="dxa"/>
            <w:noWrap w:val="0"/>
            <w:vAlign w:val="center"/>
          </w:tcPr>
          <w:p w14:paraId="085F26A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p>
        </w:tc>
        <w:tc>
          <w:tcPr>
            <w:tcW w:w="1907" w:type="dxa"/>
            <w:noWrap w:val="0"/>
            <w:vAlign w:val="center"/>
          </w:tcPr>
          <w:p w14:paraId="61DCFE0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r>
      <w:tr w14:paraId="21B0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F0286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7019" w:type="dxa"/>
            <w:noWrap w:val="0"/>
            <w:vAlign w:val="center"/>
          </w:tcPr>
          <w:p w14:paraId="1831F02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《电子招标投标办法》（八部委20号令）</w:t>
            </w:r>
          </w:p>
        </w:tc>
        <w:tc>
          <w:tcPr>
            <w:tcW w:w="1907" w:type="dxa"/>
            <w:noWrap w:val="0"/>
            <w:vAlign w:val="center"/>
          </w:tcPr>
          <w:p w14:paraId="6A9AA2B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52CA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20BF03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7019" w:type="dxa"/>
            <w:noWrap w:val="0"/>
            <w:vAlign w:val="center"/>
          </w:tcPr>
          <w:p w14:paraId="3DB875B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《电力建设工程施工安全监督管理办法》（国家发展和改革委员会令第28号）</w:t>
            </w:r>
          </w:p>
        </w:tc>
        <w:tc>
          <w:tcPr>
            <w:tcW w:w="1907" w:type="dxa"/>
            <w:noWrap w:val="0"/>
            <w:vAlign w:val="center"/>
          </w:tcPr>
          <w:p w14:paraId="02B33EB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B80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1F8A56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7019" w:type="dxa"/>
            <w:noWrap w:val="0"/>
            <w:vAlign w:val="center"/>
          </w:tcPr>
          <w:p w14:paraId="52A4C63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《建筑业企业资质管理规定》（住建部令第22号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2015年3月1日起发布，2018年修订，住建部令第45号，2018年12月22日施行）</w:t>
            </w:r>
          </w:p>
        </w:tc>
        <w:tc>
          <w:tcPr>
            <w:tcW w:w="1907" w:type="dxa"/>
            <w:noWrap w:val="0"/>
            <w:vAlign w:val="center"/>
          </w:tcPr>
          <w:p w14:paraId="4887526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50E6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30D7F3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7019" w:type="dxa"/>
            <w:noWrap w:val="0"/>
            <w:vAlign w:val="center"/>
          </w:tcPr>
          <w:p w14:paraId="06AF27A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《房屋建筑工程和市政基础设施工程实行见证取样和送检的规定》(建建[2000]211号)</w:t>
            </w:r>
          </w:p>
        </w:tc>
        <w:tc>
          <w:tcPr>
            <w:tcW w:w="1907" w:type="dxa"/>
            <w:noWrap w:val="0"/>
            <w:vAlign w:val="center"/>
          </w:tcPr>
          <w:p w14:paraId="58D3AF3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2138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2992E2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7019" w:type="dxa"/>
            <w:noWrap w:val="0"/>
            <w:vAlign w:val="center"/>
          </w:tcPr>
          <w:p w14:paraId="321DD42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《施工总承包企业特级资质标准》（建市[2007]72号）</w:t>
            </w:r>
          </w:p>
        </w:tc>
        <w:tc>
          <w:tcPr>
            <w:tcW w:w="1907" w:type="dxa"/>
            <w:noWrap w:val="0"/>
            <w:vAlign w:val="center"/>
          </w:tcPr>
          <w:p w14:paraId="5892EA4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394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9CBC0B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7019" w:type="dxa"/>
            <w:noWrap w:val="0"/>
            <w:vAlign w:val="center"/>
          </w:tcPr>
          <w:p w14:paraId="355E52C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《关于进一步加强和完善建筑劳务管理工作的指导意见》（建市[2014]112号）</w:t>
            </w:r>
          </w:p>
        </w:tc>
        <w:tc>
          <w:tcPr>
            <w:tcW w:w="1907" w:type="dxa"/>
            <w:noWrap w:val="0"/>
            <w:vAlign w:val="center"/>
          </w:tcPr>
          <w:p w14:paraId="02DC498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C54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490835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7019" w:type="dxa"/>
            <w:noWrap w:val="0"/>
            <w:vAlign w:val="center"/>
          </w:tcPr>
          <w:p w14:paraId="4E41639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《建筑工程施工发包与承包违法行为认定查处管理办法》（建市规〔2019〕1号）</w:t>
            </w:r>
          </w:p>
        </w:tc>
        <w:tc>
          <w:tcPr>
            <w:tcW w:w="1907" w:type="dxa"/>
            <w:noWrap w:val="0"/>
            <w:vAlign w:val="center"/>
          </w:tcPr>
          <w:p w14:paraId="06ECAC4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183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6EE327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7019" w:type="dxa"/>
            <w:noWrap w:val="0"/>
            <w:vAlign w:val="center"/>
          </w:tcPr>
          <w:p w14:paraId="14454A1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《建筑业企业资质标准》（建市(2014)159号，建市(2016)226号修改，2016年11月1日施行）</w:t>
            </w:r>
          </w:p>
        </w:tc>
        <w:tc>
          <w:tcPr>
            <w:tcW w:w="1907" w:type="dxa"/>
            <w:noWrap w:val="0"/>
            <w:vAlign w:val="center"/>
          </w:tcPr>
          <w:p w14:paraId="204D0F4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2C9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5BD4E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7019" w:type="dxa"/>
            <w:noWrap w:val="0"/>
            <w:vAlign w:val="center"/>
          </w:tcPr>
          <w:p w14:paraId="61BCEAE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《建设单位项目负责人质量安全责任八项规定（试行）》及《建筑工程项目总监理工程师质量安全责任六项规定（试行）》(建市[2015]35号)</w:t>
            </w:r>
          </w:p>
        </w:tc>
        <w:tc>
          <w:tcPr>
            <w:tcW w:w="1907" w:type="dxa"/>
            <w:noWrap w:val="0"/>
            <w:vAlign w:val="center"/>
          </w:tcPr>
          <w:p w14:paraId="673ADDB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2E64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9B596F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7019" w:type="dxa"/>
            <w:noWrap w:val="0"/>
            <w:vAlign w:val="center"/>
          </w:tcPr>
          <w:p w14:paraId="133FFD7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《建设部关于加强建筑意外伤害保险工作的指导意见》（建质[2003]107号）</w:t>
            </w:r>
          </w:p>
        </w:tc>
        <w:tc>
          <w:tcPr>
            <w:tcW w:w="1907" w:type="dxa"/>
            <w:noWrap w:val="0"/>
            <w:vAlign w:val="center"/>
          </w:tcPr>
          <w:p w14:paraId="0517745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5F3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ECAC21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c>
          <w:tcPr>
            <w:tcW w:w="7019" w:type="dxa"/>
            <w:noWrap w:val="0"/>
            <w:vAlign w:val="center"/>
          </w:tcPr>
          <w:p w14:paraId="3E3A6F6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p>
        </w:tc>
        <w:tc>
          <w:tcPr>
            <w:tcW w:w="1907" w:type="dxa"/>
            <w:noWrap w:val="0"/>
            <w:vAlign w:val="center"/>
          </w:tcPr>
          <w:p w14:paraId="73285F4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r>
      <w:tr w14:paraId="31FA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BFFE02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7019" w:type="dxa"/>
            <w:noWrap w:val="0"/>
            <w:vAlign w:val="center"/>
          </w:tcPr>
          <w:p w14:paraId="1187AA9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《建筑施工人员个人劳动保护用品使用管理暂行规定》（建质[2007]255号）</w:t>
            </w:r>
          </w:p>
        </w:tc>
        <w:tc>
          <w:tcPr>
            <w:tcW w:w="1907" w:type="dxa"/>
            <w:noWrap w:val="0"/>
            <w:vAlign w:val="center"/>
          </w:tcPr>
          <w:p w14:paraId="2DD6744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0ED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D9014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7019" w:type="dxa"/>
            <w:noWrap w:val="0"/>
            <w:vAlign w:val="center"/>
          </w:tcPr>
          <w:p w14:paraId="76E4BF3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《建筑施工特种作业人员管理规定》(建质[2008]75号)</w:t>
            </w:r>
          </w:p>
        </w:tc>
        <w:tc>
          <w:tcPr>
            <w:tcW w:w="1907" w:type="dxa"/>
            <w:noWrap w:val="0"/>
            <w:vAlign w:val="center"/>
          </w:tcPr>
          <w:p w14:paraId="7299788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45B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7C73E3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7019" w:type="dxa"/>
            <w:noWrap w:val="0"/>
            <w:vAlign w:val="center"/>
          </w:tcPr>
          <w:p w14:paraId="5850548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《建筑施工企业安全生产管理机构设置及专职安全生产管理人员配备办法》（建质[2008]91号）</w:t>
            </w:r>
          </w:p>
        </w:tc>
        <w:tc>
          <w:tcPr>
            <w:tcW w:w="1907" w:type="dxa"/>
            <w:noWrap w:val="0"/>
            <w:vAlign w:val="center"/>
          </w:tcPr>
          <w:p w14:paraId="2AB94E8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682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64F1CA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w:t>
            </w:r>
          </w:p>
        </w:tc>
        <w:tc>
          <w:tcPr>
            <w:tcW w:w="7019" w:type="dxa"/>
            <w:noWrap w:val="0"/>
            <w:vAlign w:val="center"/>
          </w:tcPr>
          <w:p w14:paraId="09F224F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《建筑施工企业负责人及项目负责人施工现场带班暂行办法》(建质[2011]111号)</w:t>
            </w:r>
          </w:p>
        </w:tc>
        <w:tc>
          <w:tcPr>
            <w:tcW w:w="1907" w:type="dxa"/>
            <w:noWrap w:val="0"/>
            <w:vAlign w:val="center"/>
          </w:tcPr>
          <w:p w14:paraId="1688E77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3C6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F25518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w:t>
            </w:r>
          </w:p>
        </w:tc>
        <w:tc>
          <w:tcPr>
            <w:tcW w:w="7019" w:type="dxa"/>
            <w:noWrap w:val="0"/>
            <w:vAlign w:val="center"/>
          </w:tcPr>
          <w:p w14:paraId="17780CD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《房屋建筑和市政基础设施工程竣工验收规定》（建质[2013]171号）</w:t>
            </w:r>
          </w:p>
        </w:tc>
        <w:tc>
          <w:tcPr>
            <w:tcW w:w="1907" w:type="dxa"/>
            <w:noWrap w:val="0"/>
            <w:vAlign w:val="center"/>
          </w:tcPr>
          <w:p w14:paraId="5E189F0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00E6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D50B0B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w:t>
            </w:r>
          </w:p>
        </w:tc>
        <w:tc>
          <w:tcPr>
            <w:tcW w:w="7019" w:type="dxa"/>
            <w:noWrap w:val="0"/>
            <w:vAlign w:val="center"/>
          </w:tcPr>
          <w:p w14:paraId="2AB5F83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《建筑施工安全生产标准化考评暂行办法》（建质[2014]111号）</w:t>
            </w:r>
          </w:p>
        </w:tc>
        <w:tc>
          <w:tcPr>
            <w:tcW w:w="1907" w:type="dxa"/>
            <w:noWrap w:val="0"/>
            <w:vAlign w:val="center"/>
          </w:tcPr>
          <w:p w14:paraId="78856C4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A65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97B8E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44</w:t>
            </w:r>
          </w:p>
        </w:tc>
        <w:tc>
          <w:tcPr>
            <w:tcW w:w="7019" w:type="dxa"/>
            <w:noWrap w:val="0"/>
            <w:vAlign w:val="center"/>
          </w:tcPr>
          <w:p w14:paraId="690C4FB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《建筑施工项目经理质量安全责任十项规定（试行）》（建质[2014]123号）</w:t>
            </w:r>
          </w:p>
        </w:tc>
        <w:tc>
          <w:tcPr>
            <w:tcW w:w="1907" w:type="dxa"/>
            <w:noWrap w:val="0"/>
            <w:vAlign w:val="center"/>
          </w:tcPr>
          <w:p w14:paraId="080926F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5B49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F4E79D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w:t>
            </w:r>
          </w:p>
        </w:tc>
        <w:tc>
          <w:tcPr>
            <w:tcW w:w="7019" w:type="dxa"/>
            <w:noWrap w:val="0"/>
            <w:vAlign w:val="center"/>
          </w:tcPr>
          <w:p w14:paraId="361CA12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《建筑工程五方责任主体项目负责人质量终身责任追究暂行办法》（建质[2014]124号）</w:t>
            </w:r>
          </w:p>
        </w:tc>
        <w:tc>
          <w:tcPr>
            <w:tcW w:w="1907" w:type="dxa"/>
            <w:noWrap w:val="0"/>
            <w:vAlign w:val="center"/>
          </w:tcPr>
          <w:p w14:paraId="37C266B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3FC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740709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7019" w:type="dxa"/>
            <w:noWrap w:val="0"/>
            <w:vAlign w:val="center"/>
          </w:tcPr>
          <w:p w14:paraId="1E9A89C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《房屋建筑和市政基础设施工程施工安全监督规定》（建质[2014]153号）</w:t>
            </w:r>
          </w:p>
        </w:tc>
        <w:tc>
          <w:tcPr>
            <w:tcW w:w="1907" w:type="dxa"/>
            <w:noWrap w:val="0"/>
            <w:vAlign w:val="center"/>
          </w:tcPr>
          <w:p w14:paraId="66AD85C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4C1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74D996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w:t>
            </w:r>
          </w:p>
        </w:tc>
        <w:tc>
          <w:tcPr>
            <w:tcW w:w="7019" w:type="dxa"/>
            <w:noWrap w:val="0"/>
            <w:vAlign w:val="center"/>
          </w:tcPr>
          <w:p w14:paraId="794794F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《房屋建筑和市政基础设施工程施工安全监督工作规程》（建质[2014]154号）</w:t>
            </w:r>
          </w:p>
        </w:tc>
        <w:tc>
          <w:tcPr>
            <w:tcW w:w="1907" w:type="dxa"/>
            <w:noWrap w:val="0"/>
            <w:vAlign w:val="center"/>
          </w:tcPr>
          <w:p w14:paraId="179D185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23D1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43D605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48</w:t>
            </w:r>
          </w:p>
        </w:tc>
        <w:tc>
          <w:tcPr>
            <w:tcW w:w="7019" w:type="dxa"/>
            <w:noWrap w:val="0"/>
            <w:vAlign w:val="center"/>
          </w:tcPr>
          <w:p w14:paraId="73F8BD2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《关于严格落实建筑工程质量终身责任承诺制的通知》（建办质[2014]44号）</w:t>
            </w:r>
          </w:p>
        </w:tc>
        <w:tc>
          <w:tcPr>
            <w:tcW w:w="1907" w:type="dxa"/>
            <w:noWrap w:val="0"/>
            <w:vAlign w:val="center"/>
          </w:tcPr>
          <w:p w14:paraId="4EB6592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3C5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66BF2B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t>
            </w:r>
          </w:p>
        </w:tc>
        <w:tc>
          <w:tcPr>
            <w:tcW w:w="7019" w:type="dxa"/>
            <w:noWrap w:val="0"/>
            <w:vAlign w:val="center"/>
          </w:tcPr>
          <w:p w14:paraId="6266029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《房屋建筑工程质量保修办法》(建设部令,第80号)</w:t>
            </w:r>
          </w:p>
        </w:tc>
        <w:tc>
          <w:tcPr>
            <w:tcW w:w="1907" w:type="dxa"/>
            <w:noWrap w:val="0"/>
            <w:vAlign w:val="center"/>
          </w:tcPr>
          <w:p w14:paraId="078AFCF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297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B46850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7019" w:type="dxa"/>
            <w:noWrap w:val="0"/>
            <w:vAlign w:val="center"/>
          </w:tcPr>
          <w:p w14:paraId="179A175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《国家优质工程奖评选办法》（中施企协字〔2019〕16号）</w:t>
            </w:r>
          </w:p>
        </w:tc>
        <w:tc>
          <w:tcPr>
            <w:tcW w:w="1907" w:type="dxa"/>
            <w:noWrap w:val="0"/>
            <w:vAlign w:val="center"/>
          </w:tcPr>
          <w:p w14:paraId="3BD74E8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E6D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F01963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7019" w:type="dxa"/>
            <w:noWrap w:val="0"/>
            <w:vAlign w:val="center"/>
          </w:tcPr>
          <w:p w14:paraId="6600539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《实施工程建设强制性标准监督规定》</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住房和城乡建设部令第52号</w:t>
            </w:r>
            <w:r>
              <w:rPr>
                <w:rFonts w:hint="eastAsia" w:ascii="宋体" w:hAnsi="宋体" w:eastAsia="宋体" w:cs="宋体"/>
                <w:color w:val="000000"/>
                <w:kern w:val="0"/>
                <w:sz w:val="24"/>
                <w:szCs w:val="24"/>
              </w:rPr>
              <w:t>）</w:t>
            </w:r>
          </w:p>
        </w:tc>
        <w:tc>
          <w:tcPr>
            <w:tcW w:w="1907" w:type="dxa"/>
            <w:noWrap w:val="0"/>
            <w:vAlign w:val="center"/>
          </w:tcPr>
          <w:p w14:paraId="636D1AF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CAA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DA6572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7019" w:type="dxa"/>
            <w:noWrap w:val="0"/>
            <w:vAlign w:val="center"/>
          </w:tcPr>
          <w:p w14:paraId="1CBDF9D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《建设工程勘察设计资质管理规定》（建设部令第160号，住建部令第45号修改，2018年12月22日施行）</w:t>
            </w:r>
          </w:p>
        </w:tc>
        <w:tc>
          <w:tcPr>
            <w:tcW w:w="1907" w:type="dxa"/>
            <w:noWrap w:val="0"/>
            <w:vAlign w:val="center"/>
          </w:tcPr>
          <w:p w14:paraId="0DB16DC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C44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670C83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w:t>
            </w:r>
          </w:p>
        </w:tc>
        <w:tc>
          <w:tcPr>
            <w:tcW w:w="7019" w:type="dxa"/>
            <w:noWrap w:val="0"/>
            <w:vAlign w:val="center"/>
          </w:tcPr>
          <w:p w14:paraId="026124D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《工程监理企业资质管理规定》（建设部令第158号，住建部令第45号修改，2018年12月22日施行）</w:t>
            </w:r>
          </w:p>
        </w:tc>
        <w:tc>
          <w:tcPr>
            <w:tcW w:w="1907" w:type="dxa"/>
            <w:noWrap w:val="0"/>
            <w:vAlign w:val="center"/>
          </w:tcPr>
          <w:p w14:paraId="4EC031E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2FA4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A88ED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7019" w:type="dxa"/>
            <w:noWrap w:val="0"/>
            <w:vAlign w:val="center"/>
          </w:tcPr>
          <w:p w14:paraId="45672B2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《国家能源局综合司关于开展电力建设工程落实施工方案专项行动的通知》国能综安全［2015］163 号</w:t>
            </w:r>
          </w:p>
        </w:tc>
        <w:tc>
          <w:tcPr>
            <w:tcW w:w="1907" w:type="dxa"/>
            <w:noWrap w:val="0"/>
            <w:vAlign w:val="center"/>
          </w:tcPr>
          <w:p w14:paraId="0FDAFF1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1940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3E81A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55</w:t>
            </w:r>
          </w:p>
        </w:tc>
        <w:tc>
          <w:tcPr>
            <w:tcW w:w="7019" w:type="dxa"/>
            <w:noWrap w:val="0"/>
            <w:vAlign w:val="center"/>
          </w:tcPr>
          <w:p w14:paraId="5F9091B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《国家能源局关于加强电力工程质量监督工作的通知》（国能安全﹙2014）206号）</w:t>
            </w:r>
          </w:p>
        </w:tc>
        <w:tc>
          <w:tcPr>
            <w:tcW w:w="1907" w:type="dxa"/>
            <w:noWrap w:val="0"/>
            <w:vAlign w:val="center"/>
          </w:tcPr>
          <w:p w14:paraId="7F92E78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9C7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DE82C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56</w:t>
            </w:r>
          </w:p>
        </w:tc>
        <w:tc>
          <w:tcPr>
            <w:tcW w:w="7019" w:type="dxa"/>
            <w:noWrap w:val="0"/>
            <w:vAlign w:val="center"/>
          </w:tcPr>
          <w:p w14:paraId="1B1D962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cs="宋体"/>
                <w:color w:val="000000"/>
                <w:kern w:val="0"/>
                <w:sz w:val="24"/>
                <w:szCs w:val="24"/>
              </w:rPr>
              <w:t>国家能源局关于修订印发火力发电、输变电、陆上风力发电、光伏发电建设工程质量监督检查大纲的通知(2023) 》（国能发安全规〔2023〕41号）</w:t>
            </w:r>
          </w:p>
        </w:tc>
        <w:tc>
          <w:tcPr>
            <w:tcW w:w="1907" w:type="dxa"/>
            <w:noWrap w:val="0"/>
            <w:vAlign w:val="center"/>
          </w:tcPr>
          <w:p w14:paraId="74944A4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5830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38FDF9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57</w:t>
            </w:r>
          </w:p>
        </w:tc>
        <w:tc>
          <w:tcPr>
            <w:tcW w:w="7019" w:type="dxa"/>
            <w:noWrap w:val="0"/>
            <w:vAlign w:val="center"/>
          </w:tcPr>
          <w:p w14:paraId="0AA4D1D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《国家能源局关于印发电力工程质量监督体系调整方案的通知》（国能电力（2012）306号）</w:t>
            </w:r>
          </w:p>
        </w:tc>
        <w:tc>
          <w:tcPr>
            <w:tcW w:w="1907" w:type="dxa"/>
            <w:noWrap w:val="0"/>
            <w:vAlign w:val="center"/>
          </w:tcPr>
          <w:p w14:paraId="37485D1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6ABF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293AB7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58</w:t>
            </w:r>
          </w:p>
        </w:tc>
        <w:tc>
          <w:tcPr>
            <w:tcW w:w="7019" w:type="dxa"/>
            <w:noWrap w:val="0"/>
            <w:vAlign w:val="center"/>
          </w:tcPr>
          <w:p w14:paraId="016A087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关于印发《电力工程质量监督实施管理程序（试行）》的通知(中电联质监〔2012〕437号)</w:t>
            </w:r>
          </w:p>
        </w:tc>
        <w:tc>
          <w:tcPr>
            <w:tcW w:w="1907" w:type="dxa"/>
            <w:noWrap w:val="0"/>
            <w:vAlign w:val="center"/>
          </w:tcPr>
          <w:p w14:paraId="21F7888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8DA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A0CCAA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59</w:t>
            </w:r>
          </w:p>
        </w:tc>
        <w:tc>
          <w:tcPr>
            <w:tcW w:w="7019" w:type="dxa"/>
            <w:noWrap w:val="0"/>
            <w:vAlign w:val="center"/>
          </w:tcPr>
          <w:p w14:paraId="0A0DA71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《特种作业人员安全技术培训考核管理规定》(国家安全监督总局第80号令修订，2015年7月1日实施)</w:t>
            </w:r>
          </w:p>
        </w:tc>
        <w:tc>
          <w:tcPr>
            <w:tcW w:w="1907" w:type="dxa"/>
            <w:noWrap w:val="0"/>
            <w:vAlign w:val="center"/>
          </w:tcPr>
          <w:p w14:paraId="5A70DA6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36E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794126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7019" w:type="dxa"/>
            <w:noWrap w:val="0"/>
            <w:vAlign w:val="center"/>
          </w:tcPr>
          <w:p w14:paraId="5FAEB06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《企业安全生产应急管理九条规定》(国家安全监督总局第74号令，2015年1月30日实施)</w:t>
            </w:r>
          </w:p>
        </w:tc>
        <w:tc>
          <w:tcPr>
            <w:tcW w:w="1907" w:type="dxa"/>
            <w:noWrap w:val="0"/>
            <w:vAlign w:val="center"/>
          </w:tcPr>
          <w:p w14:paraId="201170A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0657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63A75A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w:t>
            </w:r>
          </w:p>
        </w:tc>
        <w:tc>
          <w:tcPr>
            <w:tcW w:w="7019" w:type="dxa"/>
            <w:noWrap w:val="0"/>
            <w:vAlign w:val="center"/>
          </w:tcPr>
          <w:p w14:paraId="4953DD2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《防止电力生产事故的二十五项重点要求</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2023版）</w:t>
            </w:r>
            <w:r>
              <w:rPr>
                <w:rFonts w:hint="eastAsia" w:ascii="宋体" w:hAnsi="宋体" w:eastAsia="宋体" w:cs="宋体"/>
                <w:color w:val="000000"/>
                <w:kern w:val="0"/>
                <w:sz w:val="24"/>
                <w:szCs w:val="24"/>
              </w:rPr>
              <w:t>》（国能安全[20</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w:t>
            </w:r>
            <w:r>
              <w:rPr>
                <w:rFonts w:hint="eastAsia" w:ascii="宋体" w:hAnsi="宋体" w:cs="宋体"/>
                <w:color w:val="000000"/>
                <w:kern w:val="0"/>
                <w:sz w:val="24"/>
                <w:szCs w:val="24"/>
                <w:lang w:val="en-US" w:eastAsia="zh-CN"/>
              </w:rPr>
              <w:t>22</w:t>
            </w:r>
            <w:r>
              <w:rPr>
                <w:rFonts w:hint="eastAsia" w:ascii="宋体" w:hAnsi="宋体" w:eastAsia="宋体" w:cs="宋体"/>
                <w:color w:val="000000"/>
                <w:kern w:val="0"/>
                <w:sz w:val="24"/>
                <w:szCs w:val="24"/>
              </w:rPr>
              <w:t>号）</w:t>
            </w:r>
          </w:p>
        </w:tc>
        <w:tc>
          <w:tcPr>
            <w:tcW w:w="1907" w:type="dxa"/>
            <w:noWrap w:val="0"/>
            <w:vAlign w:val="center"/>
          </w:tcPr>
          <w:p w14:paraId="7D898E4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783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3C2301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p>
        </w:tc>
        <w:tc>
          <w:tcPr>
            <w:tcW w:w="7019" w:type="dxa"/>
            <w:noWrap w:val="0"/>
            <w:vAlign w:val="center"/>
          </w:tcPr>
          <w:p w14:paraId="642849A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《国家电力监管委员会令》（第5号）--《电力二次系统安全防护规定》</w:t>
            </w:r>
          </w:p>
        </w:tc>
        <w:tc>
          <w:tcPr>
            <w:tcW w:w="1907" w:type="dxa"/>
            <w:noWrap w:val="0"/>
            <w:vAlign w:val="center"/>
          </w:tcPr>
          <w:p w14:paraId="1CED29A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25C2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0EE217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w:t>
            </w:r>
          </w:p>
        </w:tc>
        <w:tc>
          <w:tcPr>
            <w:tcW w:w="7019" w:type="dxa"/>
            <w:noWrap w:val="0"/>
            <w:vAlign w:val="center"/>
          </w:tcPr>
          <w:p w14:paraId="63CF274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《承装（修、试）电力设施许可证管理办法》（国家发展和改革委员会令第36号）</w:t>
            </w:r>
          </w:p>
        </w:tc>
        <w:tc>
          <w:tcPr>
            <w:tcW w:w="1907" w:type="dxa"/>
            <w:noWrap w:val="0"/>
            <w:vAlign w:val="center"/>
          </w:tcPr>
          <w:p w14:paraId="4DD63CA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7CA8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0687B3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w:t>
            </w:r>
          </w:p>
        </w:tc>
        <w:tc>
          <w:tcPr>
            <w:tcW w:w="7019" w:type="dxa"/>
            <w:noWrap w:val="0"/>
            <w:vAlign w:val="center"/>
          </w:tcPr>
          <w:p w14:paraId="0A2F6FC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《危险性较大的分部分项工程安全管理规定》(中华人民共和国住房和城乡建设部令第37号，建设部令第47号修改，2019年3月13日施行)</w:t>
            </w:r>
          </w:p>
        </w:tc>
        <w:tc>
          <w:tcPr>
            <w:tcW w:w="1907" w:type="dxa"/>
            <w:noWrap w:val="0"/>
            <w:vAlign w:val="center"/>
          </w:tcPr>
          <w:p w14:paraId="1E66E60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003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BA3169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w:t>
            </w:r>
          </w:p>
        </w:tc>
        <w:tc>
          <w:tcPr>
            <w:tcW w:w="7019" w:type="dxa"/>
            <w:noWrap w:val="0"/>
            <w:vAlign w:val="center"/>
          </w:tcPr>
          <w:p w14:paraId="4B188EB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必须招标的工程项目规定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（国家发展和改革委员会令第16号）</w:t>
            </w:r>
          </w:p>
        </w:tc>
        <w:tc>
          <w:tcPr>
            <w:tcW w:w="1907" w:type="dxa"/>
            <w:noWrap w:val="0"/>
            <w:vAlign w:val="center"/>
          </w:tcPr>
          <w:p w14:paraId="50331E6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42DE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103DD7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w:t>
            </w:r>
          </w:p>
        </w:tc>
        <w:tc>
          <w:tcPr>
            <w:tcW w:w="7019" w:type="dxa"/>
            <w:noWrap w:val="0"/>
            <w:vAlign w:val="center"/>
          </w:tcPr>
          <w:p w14:paraId="558B448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必须招标的基础设施和公用事业项目范围规定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（发改法规规【2018】843号）</w:t>
            </w:r>
          </w:p>
        </w:tc>
        <w:tc>
          <w:tcPr>
            <w:tcW w:w="1907" w:type="dxa"/>
            <w:noWrap w:val="0"/>
            <w:vAlign w:val="center"/>
          </w:tcPr>
          <w:p w14:paraId="64D4906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34A7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7A3AAA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w:t>
            </w:r>
          </w:p>
        </w:tc>
        <w:tc>
          <w:tcPr>
            <w:tcW w:w="7019" w:type="dxa"/>
            <w:noWrap w:val="0"/>
            <w:vAlign w:val="center"/>
          </w:tcPr>
          <w:p w14:paraId="2ABABFD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招标公告和公示信息发布管理办法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（国家发展和改革委员会令第10号）</w:t>
            </w:r>
          </w:p>
        </w:tc>
        <w:tc>
          <w:tcPr>
            <w:tcW w:w="1907" w:type="dxa"/>
            <w:noWrap w:val="0"/>
            <w:vAlign w:val="center"/>
          </w:tcPr>
          <w:p w14:paraId="1CB9F0A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14:paraId="162C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0" w:type="dxa"/>
            <w:noWrap w:val="0"/>
            <w:vAlign w:val="center"/>
          </w:tcPr>
          <w:p w14:paraId="70020A56">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7019" w:type="dxa"/>
            <w:noWrap w:val="0"/>
            <w:vAlign w:val="center"/>
          </w:tcPr>
          <w:p w14:paraId="14431E7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kern w:val="0"/>
                <w:sz w:val="24"/>
                <w:szCs w:val="24"/>
              </w:rPr>
            </w:pPr>
            <w:r>
              <w:rPr>
                <w:rFonts w:hint="eastAsia" w:ascii="宋体" w:hAnsi="宋体" w:eastAsia="宋体" w:cs="宋体"/>
                <w:b/>
                <w:kern w:val="0"/>
                <w:sz w:val="24"/>
                <w:szCs w:val="24"/>
              </w:rPr>
              <w:t>国家、行业设计规范和技术标准</w:t>
            </w:r>
          </w:p>
        </w:tc>
        <w:tc>
          <w:tcPr>
            <w:tcW w:w="1907" w:type="dxa"/>
            <w:noWrap w:val="0"/>
            <w:vAlign w:val="center"/>
          </w:tcPr>
          <w:p w14:paraId="005A6BE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p>
        </w:tc>
      </w:tr>
      <w:tr w14:paraId="7432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058631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68</w:t>
            </w:r>
          </w:p>
        </w:tc>
        <w:tc>
          <w:tcPr>
            <w:tcW w:w="7019" w:type="dxa"/>
            <w:noWrap w:val="0"/>
            <w:vAlign w:val="center"/>
          </w:tcPr>
          <w:p w14:paraId="041F552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《电力安全工作规程》发电厂和变电所电气部分、电力线路部分（GB 26860-2011、GB 26859-2011）</w:t>
            </w:r>
          </w:p>
        </w:tc>
        <w:tc>
          <w:tcPr>
            <w:tcW w:w="1907" w:type="dxa"/>
            <w:noWrap w:val="0"/>
            <w:vAlign w:val="center"/>
          </w:tcPr>
          <w:p w14:paraId="5DF8D81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858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FDC26A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69</w:t>
            </w:r>
          </w:p>
        </w:tc>
        <w:tc>
          <w:tcPr>
            <w:tcW w:w="7019" w:type="dxa"/>
            <w:noWrap w:val="0"/>
            <w:vAlign w:val="center"/>
          </w:tcPr>
          <w:p w14:paraId="2FBAF64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《电力建设安全工作规程》电力线路；变电站(DL 5009.2-2013；DL 5009.3-2013)</w:t>
            </w:r>
          </w:p>
        </w:tc>
        <w:tc>
          <w:tcPr>
            <w:tcW w:w="1907" w:type="dxa"/>
            <w:noWrap w:val="0"/>
            <w:vAlign w:val="center"/>
          </w:tcPr>
          <w:p w14:paraId="4E89781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6D2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DF6ED4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7019" w:type="dxa"/>
            <w:noWrap w:val="0"/>
            <w:vAlign w:val="center"/>
          </w:tcPr>
          <w:p w14:paraId="74F638A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《20kV及以下变电所设计规范》GB 50053-2013</w:t>
            </w:r>
          </w:p>
        </w:tc>
        <w:tc>
          <w:tcPr>
            <w:tcW w:w="1907" w:type="dxa"/>
            <w:noWrap w:val="0"/>
            <w:vAlign w:val="center"/>
          </w:tcPr>
          <w:p w14:paraId="2B9F1DA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392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C0F169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71</w:t>
            </w:r>
          </w:p>
        </w:tc>
        <w:tc>
          <w:tcPr>
            <w:tcW w:w="7019" w:type="dxa"/>
            <w:noWrap w:val="0"/>
            <w:vAlign w:val="center"/>
          </w:tcPr>
          <w:p w14:paraId="52055EF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《10kV及以下架空配电线路设计技术规程》DL/T 5220-2005</w:t>
            </w:r>
          </w:p>
        </w:tc>
        <w:tc>
          <w:tcPr>
            <w:tcW w:w="1907" w:type="dxa"/>
            <w:noWrap w:val="0"/>
            <w:vAlign w:val="center"/>
          </w:tcPr>
          <w:p w14:paraId="2FB8904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4C9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D4D497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7019" w:type="dxa"/>
            <w:noWrap w:val="0"/>
            <w:vAlign w:val="center"/>
          </w:tcPr>
          <w:p w14:paraId="207AB4F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《110kV～750kV架空输电线路设计规范》GB 50545-2010</w:t>
            </w:r>
          </w:p>
        </w:tc>
        <w:tc>
          <w:tcPr>
            <w:tcW w:w="1907" w:type="dxa"/>
            <w:noWrap w:val="0"/>
            <w:vAlign w:val="center"/>
          </w:tcPr>
          <w:p w14:paraId="0BB4C5D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565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1926D3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w:t>
            </w:r>
          </w:p>
        </w:tc>
        <w:tc>
          <w:tcPr>
            <w:tcW w:w="7019" w:type="dxa"/>
            <w:noWrap w:val="0"/>
            <w:vAlign w:val="center"/>
          </w:tcPr>
          <w:p w14:paraId="3E614B4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《110kV～750kV架空输电线路施工及验收规范》GB 50233-2014</w:t>
            </w:r>
          </w:p>
        </w:tc>
        <w:tc>
          <w:tcPr>
            <w:tcW w:w="1907" w:type="dxa"/>
            <w:noWrap w:val="0"/>
            <w:vAlign w:val="center"/>
          </w:tcPr>
          <w:p w14:paraId="481EB50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586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EC293E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w:t>
            </w:r>
          </w:p>
        </w:tc>
        <w:tc>
          <w:tcPr>
            <w:tcW w:w="7019" w:type="dxa"/>
            <w:noWrap w:val="0"/>
            <w:vAlign w:val="center"/>
          </w:tcPr>
          <w:p w14:paraId="16E9CC3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《110-750kV架空送电线路工程施工质量检验及评定规程》DL/T 5168-2016</w:t>
            </w:r>
          </w:p>
        </w:tc>
        <w:tc>
          <w:tcPr>
            <w:tcW w:w="1907" w:type="dxa"/>
            <w:noWrap w:val="0"/>
            <w:vAlign w:val="center"/>
          </w:tcPr>
          <w:p w14:paraId="1501F57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F202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7092AE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7019" w:type="dxa"/>
            <w:noWrap w:val="0"/>
            <w:vAlign w:val="center"/>
          </w:tcPr>
          <w:p w14:paraId="24821C5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《110kV及以上送变电工程启动及竣工验收规程》DL/T 782-2001</w:t>
            </w:r>
          </w:p>
        </w:tc>
        <w:tc>
          <w:tcPr>
            <w:tcW w:w="1907" w:type="dxa"/>
            <w:noWrap w:val="0"/>
            <w:vAlign w:val="center"/>
          </w:tcPr>
          <w:p w14:paraId="7826ABF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978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0CA3C8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76</w:t>
            </w:r>
          </w:p>
        </w:tc>
        <w:tc>
          <w:tcPr>
            <w:tcW w:w="7019" w:type="dxa"/>
            <w:noWrap w:val="0"/>
            <w:vAlign w:val="center"/>
          </w:tcPr>
          <w:p w14:paraId="03222D2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《3～110kV高压配电装置设计规范》GB 50060-2008</w:t>
            </w:r>
          </w:p>
        </w:tc>
        <w:tc>
          <w:tcPr>
            <w:tcW w:w="1907" w:type="dxa"/>
            <w:noWrap w:val="0"/>
            <w:vAlign w:val="center"/>
          </w:tcPr>
          <w:p w14:paraId="088CA29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D14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C7F977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77</w:t>
            </w:r>
          </w:p>
        </w:tc>
        <w:tc>
          <w:tcPr>
            <w:tcW w:w="7019" w:type="dxa"/>
            <w:noWrap w:val="0"/>
            <w:vAlign w:val="center"/>
          </w:tcPr>
          <w:p w14:paraId="1FE6CCB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《35kV～110kV变电站设计规范》GB 50059-2011</w:t>
            </w:r>
          </w:p>
        </w:tc>
        <w:tc>
          <w:tcPr>
            <w:tcW w:w="1907" w:type="dxa"/>
            <w:noWrap w:val="0"/>
            <w:vAlign w:val="center"/>
          </w:tcPr>
          <w:p w14:paraId="57AEB30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362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A6E00B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w:t>
            </w:r>
          </w:p>
        </w:tc>
        <w:tc>
          <w:tcPr>
            <w:tcW w:w="7019" w:type="dxa"/>
            <w:noWrap w:val="0"/>
            <w:vAlign w:val="center"/>
          </w:tcPr>
          <w:p w14:paraId="5454170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《66kV及以下架空电力线路设计规范》  GB 50061-2010</w:t>
            </w:r>
          </w:p>
        </w:tc>
        <w:tc>
          <w:tcPr>
            <w:tcW w:w="1907" w:type="dxa"/>
            <w:noWrap w:val="0"/>
            <w:vAlign w:val="center"/>
          </w:tcPr>
          <w:p w14:paraId="0298914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C68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3A6BF4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w:t>
            </w:r>
          </w:p>
        </w:tc>
        <w:tc>
          <w:tcPr>
            <w:tcW w:w="7019" w:type="dxa"/>
            <w:noWrap w:val="0"/>
            <w:vAlign w:val="center"/>
          </w:tcPr>
          <w:p w14:paraId="44D617B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电网建设项目文件归档与档案整理规范DL/T1363-2014</w:t>
            </w:r>
          </w:p>
        </w:tc>
        <w:tc>
          <w:tcPr>
            <w:tcW w:w="1907" w:type="dxa"/>
            <w:noWrap w:val="0"/>
            <w:vAlign w:val="center"/>
          </w:tcPr>
          <w:p w14:paraId="2ACF846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F62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9C91FF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7019" w:type="dxa"/>
            <w:noWrap w:val="0"/>
            <w:vAlign w:val="center"/>
          </w:tcPr>
          <w:p w14:paraId="4D0EFC6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《变电站建筑结构设计技术规程》DL/T 5457-2012</w:t>
            </w:r>
          </w:p>
        </w:tc>
        <w:tc>
          <w:tcPr>
            <w:tcW w:w="1907" w:type="dxa"/>
            <w:noWrap w:val="0"/>
            <w:vAlign w:val="center"/>
          </w:tcPr>
          <w:p w14:paraId="2340123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D8B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79AE72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w:t>
            </w:r>
          </w:p>
        </w:tc>
        <w:tc>
          <w:tcPr>
            <w:tcW w:w="7019" w:type="dxa"/>
            <w:noWrap w:val="0"/>
            <w:vAlign w:val="center"/>
          </w:tcPr>
          <w:p w14:paraId="1059794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《变电站总布置设计技术规程》DL/T 5056-2007</w:t>
            </w:r>
          </w:p>
        </w:tc>
        <w:tc>
          <w:tcPr>
            <w:tcW w:w="1907" w:type="dxa"/>
            <w:noWrap w:val="0"/>
            <w:vAlign w:val="center"/>
          </w:tcPr>
          <w:p w14:paraId="621A3FC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52C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F83E10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82</w:t>
            </w:r>
          </w:p>
        </w:tc>
        <w:tc>
          <w:tcPr>
            <w:tcW w:w="7019" w:type="dxa"/>
            <w:noWrap w:val="0"/>
            <w:vAlign w:val="center"/>
          </w:tcPr>
          <w:p w14:paraId="38BF177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《110kV～750kV架空输电线路张力架线施工工艺导则》DL/T 5343-2018</w:t>
            </w:r>
          </w:p>
        </w:tc>
        <w:tc>
          <w:tcPr>
            <w:tcW w:w="1907" w:type="dxa"/>
            <w:noWrap w:val="0"/>
            <w:vAlign w:val="center"/>
          </w:tcPr>
          <w:p w14:paraId="48B7253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B06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848BB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w:t>
            </w:r>
          </w:p>
        </w:tc>
        <w:tc>
          <w:tcPr>
            <w:tcW w:w="7019" w:type="dxa"/>
            <w:noWrap w:val="0"/>
            <w:vAlign w:val="center"/>
          </w:tcPr>
          <w:p w14:paraId="5770D2A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《城市电力电缆线路设计技术规定》DL/T 5221-2016</w:t>
            </w:r>
          </w:p>
        </w:tc>
        <w:tc>
          <w:tcPr>
            <w:tcW w:w="1907" w:type="dxa"/>
            <w:noWrap w:val="0"/>
            <w:vAlign w:val="center"/>
          </w:tcPr>
          <w:p w14:paraId="0934E90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E9D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8C6142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w:t>
            </w:r>
          </w:p>
        </w:tc>
        <w:tc>
          <w:tcPr>
            <w:tcW w:w="7019" w:type="dxa"/>
            <w:noWrap w:val="0"/>
            <w:vAlign w:val="center"/>
          </w:tcPr>
          <w:p w14:paraId="0E7334F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《城市工程管线综合规划规范》  GB 50289-2016</w:t>
            </w:r>
          </w:p>
        </w:tc>
        <w:tc>
          <w:tcPr>
            <w:tcW w:w="1907" w:type="dxa"/>
            <w:noWrap w:val="0"/>
            <w:vAlign w:val="center"/>
          </w:tcPr>
          <w:p w14:paraId="2D3B7E6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329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D00F3B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w:t>
            </w:r>
          </w:p>
        </w:tc>
        <w:tc>
          <w:tcPr>
            <w:tcW w:w="7019" w:type="dxa"/>
            <w:noWrap w:val="0"/>
            <w:vAlign w:val="center"/>
          </w:tcPr>
          <w:p w14:paraId="095398D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《导体和电器选择设计技术规定》DL/T 5222-2005</w:t>
            </w:r>
          </w:p>
        </w:tc>
        <w:tc>
          <w:tcPr>
            <w:tcW w:w="1907" w:type="dxa"/>
            <w:noWrap w:val="0"/>
            <w:vAlign w:val="center"/>
          </w:tcPr>
          <w:p w14:paraId="5C4BEC9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873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9F9195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w:t>
            </w:r>
          </w:p>
        </w:tc>
        <w:tc>
          <w:tcPr>
            <w:tcW w:w="7019" w:type="dxa"/>
            <w:noWrap w:val="0"/>
            <w:vAlign w:val="center"/>
          </w:tcPr>
          <w:p w14:paraId="716D653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《低合金高强度结构钢》GB/T 1591-2018</w:t>
            </w:r>
          </w:p>
        </w:tc>
        <w:tc>
          <w:tcPr>
            <w:tcW w:w="1907" w:type="dxa"/>
            <w:noWrap w:val="0"/>
            <w:vAlign w:val="center"/>
          </w:tcPr>
          <w:p w14:paraId="4844457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AC6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2B39D6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w:t>
            </w:r>
          </w:p>
        </w:tc>
        <w:tc>
          <w:tcPr>
            <w:tcW w:w="7019" w:type="dxa"/>
            <w:noWrap w:val="0"/>
            <w:vAlign w:val="center"/>
          </w:tcPr>
          <w:p w14:paraId="210C8D8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《低压配电设计规范》GB 50054-2011</w:t>
            </w:r>
          </w:p>
        </w:tc>
        <w:tc>
          <w:tcPr>
            <w:tcW w:w="1907" w:type="dxa"/>
            <w:noWrap w:val="0"/>
            <w:vAlign w:val="center"/>
          </w:tcPr>
          <w:p w14:paraId="2EEE4F3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2D4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B00F0A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w:t>
            </w:r>
          </w:p>
        </w:tc>
        <w:tc>
          <w:tcPr>
            <w:tcW w:w="7019" w:type="dxa"/>
            <w:noWrap w:val="0"/>
            <w:vAlign w:val="center"/>
          </w:tcPr>
          <w:p w14:paraId="56B69D3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《地下防水工程质量验收规范》GB 50208-2011</w:t>
            </w:r>
          </w:p>
        </w:tc>
        <w:tc>
          <w:tcPr>
            <w:tcW w:w="1907" w:type="dxa"/>
            <w:noWrap w:val="0"/>
            <w:vAlign w:val="center"/>
          </w:tcPr>
          <w:p w14:paraId="4E679D1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57F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0487AD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89</w:t>
            </w:r>
          </w:p>
        </w:tc>
        <w:tc>
          <w:tcPr>
            <w:tcW w:w="7019" w:type="dxa"/>
            <w:noWrap w:val="0"/>
            <w:vAlign w:val="center"/>
          </w:tcPr>
          <w:p w14:paraId="4BC5CE1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《地下工程防水技术规范》GB 50108-2008</w:t>
            </w:r>
          </w:p>
        </w:tc>
        <w:tc>
          <w:tcPr>
            <w:tcW w:w="1907" w:type="dxa"/>
            <w:noWrap w:val="0"/>
            <w:vAlign w:val="center"/>
          </w:tcPr>
          <w:p w14:paraId="38FD7C3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380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A09061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90</w:t>
            </w:r>
          </w:p>
        </w:tc>
        <w:tc>
          <w:tcPr>
            <w:tcW w:w="7019" w:type="dxa"/>
            <w:noWrap w:val="0"/>
            <w:vAlign w:val="center"/>
          </w:tcPr>
          <w:p w14:paraId="717AA90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《电工圆铝线》GB/T 3955-2009</w:t>
            </w:r>
          </w:p>
        </w:tc>
        <w:tc>
          <w:tcPr>
            <w:tcW w:w="1907" w:type="dxa"/>
            <w:noWrap w:val="0"/>
            <w:vAlign w:val="center"/>
          </w:tcPr>
          <w:p w14:paraId="423FB69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399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50493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w:t>
            </w:r>
          </w:p>
        </w:tc>
        <w:tc>
          <w:tcPr>
            <w:tcW w:w="7019" w:type="dxa"/>
            <w:noWrap w:val="0"/>
            <w:vAlign w:val="center"/>
          </w:tcPr>
          <w:p w14:paraId="6A1A955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《电工圆铜线》GB/T3953-2009</w:t>
            </w:r>
          </w:p>
        </w:tc>
        <w:tc>
          <w:tcPr>
            <w:tcW w:w="1907" w:type="dxa"/>
            <w:noWrap w:val="0"/>
            <w:vAlign w:val="center"/>
          </w:tcPr>
          <w:p w14:paraId="3916635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0FE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CB853B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92</w:t>
            </w:r>
          </w:p>
        </w:tc>
        <w:tc>
          <w:tcPr>
            <w:tcW w:w="7019" w:type="dxa"/>
            <w:noWrap w:val="0"/>
            <w:vAlign w:val="center"/>
          </w:tcPr>
          <w:p w14:paraId="7558337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《电缆的导体》GB/T 3956-2008</w:t>
            </w:r>
          </w:p>
        </w:tc>
        <w:tc>
          <w:tcPr>
            <w:tcW w:w="1907" w:type="dxa"/>
            <w:noWrap w:val="0"/>
            <w:vAlign w:val="center"/>
          </w:tcPr>
          <w:p w14:paraId="53F9540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AD10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1F176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w:t>
            </w:r>
          </w:p>
        </w:tc>
        <w:tc>
          <w:tcPr>
            <w:tcW w:w="7019" w:type="dxa"/>
            <w:noWrap w:val="0"/>
            <w:vAlign w:val="center"/>
          </w:tcPr>
          <w:p w14:paraId="2D9A22B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14:paraId="422AEFE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E89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718BF5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94</w:t>
            </w:r>
          </w:p>
        </w:tc>
        <w:tc>
          <w:tcPr>
            <w:tcW w:w="7019" w:type="dxa"/>
            <w:noWrap w:val="0"/>
            <w:vAlign w:val="center"/>
          </w:tcPr>
          <w:p w14:paraId="0AD3A21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《电缆外护层》（GB /T 2952.1-2008、GB /T 2952.2-2008、GB /T 2952.3-2008）</w:t>
            </w:r>
          </w:p>
        </w:tc>
        <w:tc>
          <w:tcPr>
            <w:tcW w:w="1907" w:type="dxa"/>
            <w:noWrap w:val="0"/>
            <w:vAlign w:val="center"/>
          </w:tcPr>
          <w:p w14:paraId="6A1C9E8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925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8A03EA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7019" w:type="dxa"/>
            <w:noWrap w:val="0"/>
            <w:vAlign w:val="center"/>
          </w:tcPr>
          <w:p w14:paraId="403751F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《电缆载流量计算》（JB/T 10181.11-2014、JB/T 10181.12-2014、JB/T 10181.21-2014、JB/T 10181.22-2014、JB/T 10181.31-2014、JB/T 10181.32-2014）</w:t>
            </w:r>
          </w:p>
        </w:tc>
        <w:tc>
          <w:tcPr>
            <w:tcW w:w="1907" w:type="dxa"/>
            <w:noWrap w:val="0"/>
            <w:vAlign w:val="center"/>
          </w:tcPr>
          <w:p w14:paraId="7D93F42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0EC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7A5535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96</w:t>
            </w:r>
          </w:p>
        </w:tc>
        <w:tc>
          <w:tcPr>
            <w:tcW w:w="7019" w:type="dxa"/>
            <w:noWrap w:val="0"/>
            <w:vAlign w:val="center"/>
          </w:tcPr>
          <w:p w14:paraId="0027CD7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《电力工程直流电源系统设计技术规程》 DL/T 5044-2014</w:t>
            </w:r>
          </w:p>
        </w:tc>
        <w:tc>
          <w:tcPr>
            <w:tcW w:w="1907" w:type="dxa"/>
            <w:noWrap w:val="0"/>
            <w:vAlign w:val="center"/>
          </w:tcPr>
          <w:p w14:paraId="3425546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1A5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89A76E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97</w:t>
            </w:r>
          </w:p>
        </w:tc>
        <w:tc>
          <w:tcPr>
            <w:tcW w:w="7019" w:type="dxa"/>
            <w:noWrap w:val="0"/>
            <w:vAlign w:val="center"/>
          </w:tcPr>
          <w:p w14:paraId="4E89DD1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《电力建设施工及验收技术规范》DJ 57-1979</w:t>
            </w:r>
          </w:p>
        </w:tc>
        <w:tc>
          <w:tcPr>
            <w:tcW w:w="1907" w:type="dxa"/>
            <w:noWrap w:val="0"/>
            <w:vAlign w:val="center"/>
          </w:tcPr>
          <w:p w14:paraId="35EEE11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A5E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2106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98</w:t>
            </w:r>
          </w:p>
        </w:tc>
        <w:tc>
          <w:tcPr>
            <w:tcW w:w="7019" w:type="dxa"/>
            <w:noWrap w:val="0"/>
            <w:vAlign w:val="center"/>
          </w:tcPr>
          <w:p w14:paraId="3E70B0C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《电力设备典型消防规程》DL 5027-2015</w:t>
            </w:r>
          </w:p>
        </w:tc>
        <w:tc>
          <w:tcPr>
            <w:tcW w:w="1907" w:type="dxa"/>
            <w:noWrap w:val="0"/>
            <w:vAlign w:val="center"/>
          </w:tcPr>
          <w:p w14:paraId="15909C0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F8B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75797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99</w:t>
            </w:r>
          </w:p>
        </w:tc>
        <w:tc>
          <w:tcPr>
            <w:tcW w:w="7019" w:type="dxa"/>
            <w:noWrap w:val="0"/>
            <w:vAlign w:val="center"/>
          </w:tcPr>
          <w:p w14:paraId="5FA05B3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《电力设施抗震设计规范》GB 50260-2013</w:t>
            </w:r>
          </w:p>
        </w:tc>
        <w:tc>
          <w:tcPr>
            <w:tcW w:w="1907" w:type="dxa"/>
            <w:noWrap w:val="0"/>
            <w:vAlign w:val="center"/>
          </w:tcPr>
          <w:p w14:paraId="57BCD05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312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81CFB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19" w:type="dxa"/>
            <w:noWrap w:val="0"/>
            <w:vAlign w:val="center"/>
          </w:tcPr>
          <w:p w14:paraId="5A83F96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《电力系统安全稳定导则》DL 755-2001</w:t>
            </w:r>
          </w:p>
        </w:tc>
        <w:tc>
          <w:tcPr>
            <w:tcW w:w="1907" w:type="dxa"/>
            <w:noWrap w:val="0"/>
            <w:vAlign w:val="center"/>
          </w:tcPr>
          <w:p w14:paraId="4958E2E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49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77F7F6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101</w:t>
            </w:r>
          </w:p>
        </w:tc>
        <w:tc>
          <w:tcPr>
            <w:tcW w:w="7019" w:type="dxa"/>
            <w:noWrap w:val="0"/>
            <w:vAlign w:val="center"/>
          </w:tcPr>
          <w:p w14:paraId="6235F9A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《电力系统设计技术规程》DL/T 5429-2009</w:t>
            </w:r>
          </w:p>
        </w:tc>
        <w:tc>
          <w:tcPr>
            <w:tcW w:w="1907" w:type="dxa"/>
            <w:noWrap w:val="0"/>
            <w:vAlign w:val="center"/>
          </w:tcPr>
          <w:p w14:paraId="1EC2070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02F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5A3C27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102</w:t>
            </w:r>
          </w:p>
        </w:tc>
        <w:tc>
          <w:tcPr>
            <w:tcW w:w="7019" w:type="dxa"/>
            <w:noWrap w:val="0"/>
            <w:vAlign w:val="center"/>
          </w:tcPr>
          <w:p w14:paraId="36AAA57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《电力系统设计内容深度规定》DL/T 5444-2010</w:t>
            </w:r>
          </w:p>
        </w:tc>
        <w:tc>
          <w:tcPr>
            <w:tcW w:w="1907" w:type="dxa"/>
            <w:noWrap w:val="0"/>
            <w:vAlign w:val="center"/>
          </w:tcPr>
          <w:p w14:paraId="278ED07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593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F88CD6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103</w:t>
            </w:r>
          </w:p>
        </w:tc>
        <w:tc>
          <w:tcPr>
            <w:tcW w:w="7019" w:type="dxa"/>
            <w:noWrap w:val="0"/>
            <w:vAlign w:val="center"/>
          </w:tcPr>
          <w:p w14:paraId="256A6E2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高压电器施工及验收规范》GB 50147-2010</w:t>
            </w:r>
          </w:p>
        </w:tc>
        <w:tc>
          <w:tcPr>
            <w:tcW w:w="1907" w:type="dxa"/>
            <w:noWrap w:val="0"/>
            <w:vAlign w:val="center"/>
          </w:tcPr>
          <w:p w14:paraId="2565CF6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7DA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251BD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w:t>
            </w:r>
          </w:p>
        </w:tc>
        <w:tc>
          <w:tcPr>
            <w:tcW w:w="7019" w:type="dxa"/>
            <w:noWrap w:val="0"/>
            <w:vAlign w:val="center"/>
          </w:tcPr>
          <w:p w14:paraId="544E8F8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电力变压器、油浸电抗器、互感器施工及验收规范》GB 50148-2010</w:t>
            </w:r>
          </w:p>
        </w:tc>
        <w:tc>
          <w:tcPr>
            <w:tcW w:w="1907" w:type="dxa"/>
            <w:noWrap w:val="0"/>
            <w:vAlign w:val="center"/>
          </w:tcPr>
          <w:p w14:paraId="4280415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82B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B03206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105</w:t>
            </w:r>
          </w:p>
        </w:tc>
        <w:tc>
          <w:tcPr>
            <w:tcW w:w="7019" w:type="dxa"/>
            <w:noWrap w:val="0"/>
            <w:vAlign w:val="center"/>
          </w:tcPr>
          <w:p w14:paraId="0F70C23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母线装置施工及验收规范》GB 50149-2010</w:t>
            </w:r>
          </w:p>
        </w:tc>
        <w:tc>
          <w:tcPr>
            <w:tcW w:w="1907" w:type="dxa"/>
            <w:noWrap w:val="0"/>
            <w:vAlign w:val="center"/>
          </w:tcPr>
          <w:p w14:paraId="2704D0C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8422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B11CB6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106</w:t>
            </w:r>
          </w:p>
        </w:tc>
        <w:tc>
          <w:tcPr>
            <w:tcW w:w="7019" w:type="dxa"/>
            <w:noWrap w:val="0"/>
            <w:vAlign w:val="center"/>
          </w:tcPr>
          <w:p w14:paraId="4A84B0F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电气设备交接试验标准》GB50150-2016</w:t>
            </w:r>
          </w:p>
        </w:tc>
        <w:tc>
          <w:tcPr>
            <w:tcW w:w="1907" w:type="dxa"/>
            <w:noWrap w:val="0"/>
            <w:vAlign w:val="center"/>
          </w:tcPr>
          <w:p w14:paraId="60AE628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BDF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3E2B92B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w:t>
            </w:r>
          </w:p>
        </w:tc>
        <w:tc>
          <w:tcPr>
            <w:tcW w:w="7019" w:type="dxa"/>
            <w:noWrap w:val="0"/>
            <w:vAlign w:val="center"/>
          </w:tcPr>
          <w:p w14:paraId="1BD2EA0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《电气装置安装工程 电缆线路施工及验收规范 》GB50168-2018 </w:t>
            </w:r>
          </w:p>
        </w:tc>
        <w:tc>
          <w:tcPr>
            <w:tcW w:w="1907" w:type="dxa"/>
            <w:noWrap w:val="0"/>
            <w:vAlign w:val="center"/>
          </w:tcPr>
          <w:p w14:paraId="4BB5FD6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EDD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B563F3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108</w:t>
            </w:r>
          </w:p>
        </w:tc>
        <w:tc>
          <w:tcPr>
            <w:tcW w:w="7019" w:type="dxa"/>
            <w:noWrap w:val="0"/>
            <w:vAlign w:val="center"/>
          </w:tcPr>
          <w:p w14:paraId="398102D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接地装置施工及验收规范》GB 50169-2016</w:t>
            </w:r>
          </w:p>
        </w:tc>
        <w:tc>
          <w:tcPr>
            <w:tcW w:w="1907" w:type="dxa"/>
            <w:noWrap w:val="0"/>
            <w:vAlign w:val="center"/>
          </w:tcPr>
          <w:p w14:paraId="402200A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514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E56183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109</w:t>
            </w:r>
          </w:p>
        </w:tc>
        <w:tc>
          <w:tcPr>
            <w:tcW w:w="7019" w:type="dxa"/>
            <w:noWrap w:val="0"/>
            <w:vAlign w:val="center"/>
          </w:tcPr>
          <w:p w14:paraId="1F17B43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旋转电机施工及验收规范》 GB 50170-2018</w:t>
            </w:r>
          </w:p>
        </w:tc>
        <w:tc>
          <w:tcPr>
            <w:tcW w:w="1907" w:type="dxa"/>
            <w:noWrap w:val="0"/>
            <w:vAlign w:val="center"/>
          </w:tcPr>
          <w:p w14:paraId="406E292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F50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0" w:type="dxa"/>
            <w:noWrap w:val="0"/>
            <w:vAlign w:val="center"/>
          </w:tcPr>
          <w:p w14:paraId="551639A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w:t>
            </w:r>
          </w:p>
        </w:tc>
        <w:tc>
          <w:tcPr>
            <w:tcW w:w="7019" w:type="dxa"/>
            <w:noWrap w:val="0"/>
            <w:vAlign w:val="center"/>
          </w:tcPr>
          <w:p w14:paraId="0E92D99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盘、柜及二次回路接线施工及验收规范》GB 50171-2012</w:t>
            </w:r>
          </w:p>
        </w:tc>
        <w:tc>
          <w:tcPr>
            <w:tcW w:w="1907" w:type="dxa"/>
            <w:noWrap w:val="0"/>
            <w:vAlign w:val="center"/>
          </w:tcPr>
          <w:p w14:paraId="1B80AE3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7B7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10590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p>
        </w:tc>
        <w:tc>
          <w:tcPr>
            <w:tcW w:w="7019" w:type="dxa"/>
            <w:noWrap w:val="0"/>
            <w:vAlign w:val="center"/>
          </w:tcPr>
          <w:p w14:paraId="3CF5F4A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蓄电池施工及验收规范》GB 50172-2012</w:t>
            </w:r>
          </w:p>
        </w:tc>
        <w:tc>
          <w:tcPr>
            <w:tcW w:w="1907" w:type="dxa"/>
            <w:noWrap w:val="0"/>
            <w:vAlign w:val="center"/>
          </w:tcPr>
          <w:p w14:paraId="3C2FDB3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0F0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87CAB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w:t>
            </w:r>
          </w:p>
        </w:tc>
        <w:tc>
          <w:tcPr>
            <w:tcW w:w="7019" w:type="dxa"/>
            <w:noWrap w:val="0"/>
            <w:vAlign w:val="center"/>
          </w:tcPr>
          <w:p w14:paraId="0F10C9F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66kV及以下架空电力线路施工及验收规范》GB 50173-2014</w:t>
            </w:r>
          </w:p>
        </w:tc>
        <w:tc>
          <w:tcPr>
            <w:tcW w:w="1907" w:type="dxa"/>
            <w:noWrap w:val="0"/>
            <w:vAlign w:val="center"/>
          </w:tcPr>
          <w:p w14:paraId="6E082D9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110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12953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w:t>
            </w:r>
          </w:p>
        </w:tc>
        <w:tc>
          <w:tcPr>
            <w:tcW w:w="7019" w:type="dxa"/>
            <w:noWrap w:val="0"/>
            <w:vAlign w:val="center"/>
          </w:tcPr>
          <w:p w14:paraId="0B33982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低压电器施工及验收规范》GB 50254-2014</w:t>
            </w:r>
          </w:p>
        </w:tc>
        <w:tc>
          <w:tcPr>
            <w:tcW w:w="1907" w:type="dxa"/>
            <w:noWrap w:val="0"/>
            <w:vAlign w:val="center"/>
          </w:tcPr>
          <w:p w14:paraId="2BD32CE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9D7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64E5D3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w:t>
            </w:r>
          </w:p>
        </w:tc>
        <w:tc>
          <w:tcPr>
            <w:tcW w:w="7019" w:type="dxa"/>
            <w:noWrap w:val="0"/>
            <w:vAlign w:val="center"/>
          </w:tcPr>
          <w:p w14:paraId="2D9D3E3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电力变流设备施工及验收规范》GB 50255-2014</w:t>
            </w:r>
          </w:p>
        </w:tc>
        <w:tc>
          <w:tcPr>
            <w:tcW w:w="1907" w:type="dxa"/>
            <w:noWrap w:val="0"/>
            <w:vAlign w:val="center"/>
          </w:tcPr>
          <w:p w14:paraId="68A07F6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A74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A87E57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w:t>
            </w:r>
          </w:p>
        </w:tc>
        <w:tc>
          <w:tcPr>
            <w:tcW w:w="7019" w:type="dxa"/>
            <w:noWrap w:val="0"/>
            <w:vAlign w:val="center"/>
          </w:tcPr>
          <w:p w14:paraId="392CB2E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起重机电气装置施工及验收规范》GB 50256-2014</w:t>
            </w:r>
          </w:p>
        </w:tc>
        <w:tc>
          <w:tcPr>
            <w:tcW w:w="1907" w:type="dxa"/>
            <w:noWrap w:val="0"/>
            <w:vAlign w:val="center"/>
          </w:tcPr>
          <w:p w14:paraId="43DDB74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EA8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A20212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116</w:t>
            </w:r>
          </w:p>
        </w:tc>
        <w:tc>
          <w:tcPr>
            <w:tcW w:w="7019" w:type="dxa"/>
            <w:noWrap w:val="0"/>
            <w:vAlign w:val="center"/>
          </w:tcPr>
          <w:p w14:paraId="1521F25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爆炸和火灾危险环境电气装置施工及验收规范》GB 50257-2014</w:t>
            </w:r>
          </w:p>
        </w:tc>
        <w:tc>
          <w:tcPr>
            <w:tcW w:w="1907" w:type="dxa"/>
            <w:noWrap w:val="0"/>
            <w:vAlign w:val="center"/>
          </w:tcPr>
          <w:p w14:paraId="6C1A8FD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96C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00102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117</w:t>
            </w:r>
          </w:p>
        </w:tc>
        <w:tc>
          <w:tcPr>
            <w:tcW w:w="7019" w:type="dxa"/>
            <w:noWrap w:val="0"/>
            <w:vAlign w:val="center"/>
          </w:tcPr>
          <w:p w14:paraId="4FC593C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串联电容器补偿装置施工及验收规范》GB 51049-2014</w:t>
            </w:r>
          </w:p>
        </w:tc>
        <w:tc>
          <w:tcPr>
            <w:tcW w:w="1907" w:type="dxa"/>
            <w:noWrap w:val="0"/>
            <w:vAlign w:val="center"/>
          </w:tcPr>
          <w:p w14:paraId="3967F71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3F3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776C84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118</w:t>
            </w:r>
          </w:p>
        </w:tc>
        <w:tc>
          <w:tcPr>
            <w:tcW w:w="7019" w:type="dxa"/>
            <w:noWrap w:val="0"/>
            <w:vAlign w:val="center"/>
          </w:tcPr>
          <w:p w14:paraId="650B021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《1000kV系统电气装置安装工程电气设备交接试验标准》GB/T 50832-2013</w:t>
            </w:r>
          </w:p>
        </w:tc>
        <w:tc>
          <w:tcPr>
            <w:tcW w:w="1907" w:type="dxa"/>
            <w:noWrap w:val="0"/>
            <w:vAlign w:val="center"/>
          </w:tcPr>
          <w:p w14:paraId="52C4CDA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9F1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DF604B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119</w:t>
            </w:r>
          </w:p>
        </w:tc>
        <w:tc>
          <w:tcPr>
            <w:tcW w:w="7019" w:type="dxa"/>
            <w:noWrap w:val="0"/>
            <w:vAlign w:val="center"/>
          </w:tcPr>
          <w:p w14:paraId="520C819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质量检验及评定规程 DL/T 5161.1-2018～DL/T 5161.15-2018</w:t>
            </w:r>
          </w:p>
        </w:tc>
        <w:tc>
          <w:tcPr>
            <w:tcW w:w="1907" w:type="dxa"/>
            <w:noWrap w:val="0"/>
            <w:vAlign w:val="center"/>
          </w:tcPr>
          <w:p w14:paraId="7E77E37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67D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1434EF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7019" w:type="dxa"/>
            <w:noWrap w:val="0"/>
            <w:vAlign w:val="center"/>
          </w:tcPr>
          <w:p w14:paraId="649A4EB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《电力装置电测量仪表装置设计规范》  GB/T50063-2017</w:t>
            </w:r>
          </w:p>
        </w:tc>
        <w:tc>
          <w:tcPr>
            <w:tcW w:w="1907" w:type="dxa"/>
            <w:noWrap w:val="0"/>
            <w:vAlign w:val="center"/>
          </w:tcPr>
          <w:p w14:paraId="4F8722A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083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2BD06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121</w:t>
            </w:r>
          </w:p>
        </w:tc>
        <w:tc>
          <w:tcPr>
            <w:tcW w:w="7019" w:type="dxa"/>
            <w:noWrap w:val="0"/>
            <w:vAlign w:val="center"/>
          </w:tcPr>
          <w:p w14:paraId="195BF7C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《电力装置的继电保护和自动装置设计规范》  GB/T50062－2008</w:t>
            </w:r>
          </w:p>
        </w:tc>
        <w:tc>
          <w:tcPr>
            <w:tcW w:w="1907" w:type="dxa"/>
            <w:noWrap w:val="0"/>
            <w:vAlign w:val="center"/>
          </w:tcPr>
          <w:p w14:paraId="783FDE0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C94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2F813C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122</w:t>
            </w:r>
          </w:p>
        </w:tc>
        <w:tc>
          <w:tcPr>
            <w:tcW w:w="7019" w:type="dxa"/>
            <w:noWrap w:val="0"/>
            <w:vAlign w:val="center"/>
          </w:tcPr>
          <w:p w14:paraId="05AA77B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《电线电缆电性能试验方法》（GB/T 3048.1-2007、GB/T 3048.2-2007、GB/T 3048.3-2007、GB/T 3048.4-2007、GB/T 3048.5-2007、GB/T 3048.7-2007、GB/T 3048.8-2007、GB/T 3048.9-2007、GB/T 3048.10-2007、GB/T 3048.11-2007、GB/T 3048.12-2007）</w:t>
            </w:r>
          </w:p>
        </w:tc>
        <w:tc>
          <w:tcPr>
            <w:tcW w:w="1907" w:type="dxa"/>
            <w:noWrap w:val="0"/>
            <w:vAlign w:val="center"/>
          </w:tcPr>
          <w:p w14:paraId="5B3F22A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702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96F1CC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w:t>
            </w:r>
          </w:p>
        </w:tc>
        <w:tc>
          <w:tcPr>
            <w:tcW w:w="7019" w:type="dxa"/>
            <w:noWrap w:val="0"/>
            <w:vAlign w:val="center"/>
          </w:tcPr>
          <w:p w14:paraId="50D26A7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《电线电缆交货盘》JB/T 8137.1-4-2013</w:t>
            </w:r>
          </w:p>
        </w:tc>
        <w:tc>
          <w:tcPr>
            <w:tcW w:w="1907" w:type="dxa"/>
            <w:noWrap w:val="0"/>
            <w:vAlign w:val="center"/>
          </w:tcPr>
          <w:p w14:paraId="7B173C3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0C2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CDC1DF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w:t>
            </w:r>
          </w:p>
        </w:tc>
        <w:tc>
          <w:tcPr>
            <w:tcW w:w="7019" w:type="dxa"/>
            <w:noWrap w:val="0"/>
            <w:vAlign w:val="center"/>
          </w:tcPr>
          <w:p w14:paraId="63C8246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《电线电缆识别标志方法》GB/T6995.1-5-2008</w:t>
            </w:r>
          </w:p>
        </w:tc>
        <w:tc>
          <w:tcPr>
            <w:tcW w:w="1907" w:type="dxa"/>
            <w:noWrap w:val="0"/>
            <w:vAlign w:val="center"/>
          </w:tcPr>
          <w:p w14:paraId="03EA080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D28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5162DB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125</w:t>
            </w:r>
          </w:p>
        </w:tc>
        <w:tc>
          <w:tcPr>
            <w:tcW w:w="7019" w:type="dxa"/>
            <w:noWrap w:val="0"/>
            <w:vAlign w:val="center"/>
          </w:tcPr>
          <w:p w14:paraId="581418E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《额定电压110kV（Um=126kV）交联聚乙烯绝缘电力电缆及其附件》（GB/T 11017.1-2014、GB/T 11017.2-2014、GB/T 11017.3-2014）</w:t>
            </w:r>
          </w:p>
        </w:tc>
        <w:tc>
          <w:tcPr>
            <w:tcW w:w="1907" w:type="dxa"/>
            <w:noWrap w:val="0"/>
            <w:vAlign w:val="center"/>
          </w:tcPr>
          <w:p w14:paraId="6B2A9EE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1CE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66840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126</w:t>
            </w:r>
          </w:p>
        </w:tc>
        <w:tc>
          <w:tcPr>
            <w:tcW w:w="7019" w:type="dxa"/>
            <w:noWrap w:val="0"/>
            <w:vAlign w:val="center"/>
          </w:tcPr>
          <w:p w14:paraId="7A943AF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《额定电压220kV(Um=252kV)交联聚乙烯绝缘电力电缆及其附件》GB/Z 18890.1-2015、GB/Z 18890.2-2015、GB/Z 18890.3-2015</w:t>
            </w:r>
          </w:p>
        </w:tc>
        <w:tc>
          <w:tcPr>
            <w:tcW w:w="1907" w:type="dxa"/>
            <w:noWrap w:val="0"/>
            <w:vAlign w:val="center"/>
          </w:tcPr>
          <w:p w14:paraId="0007ABB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6FF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5D1955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127</w:t>
            </w:r>
          </w:p>
        </w:tc>
        <w:tc>
          <w:tcPr>
            <w:tcW w:w="7019" w:type="dxa"/>
            <w:noWrap w:val="0"/>
            <w:vAlign w:val="center"/>
          </w:tcPr>
          <w:p w14:paraId="41CA4C4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《额定电压1kV(Um=1.2kV)到35kV(Um=40.5kV)挤包绝缘电力电缆及附件》GB/T 12706-2008</w:t>
            </w:r>
          </w:p>
        </w:tc>
        <w:tc>
          <w:tcPr>
            <w:tcW w:w="1907" w:type="dxa"/>
            <w:noWrap w:val="0"/>
            <w:vAlign w:val="center"/>
          </w:tcPr>
          <w:p w14:paraId="0F2A75F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1C7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8A5E1A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128</w:t>
            </w:r>
          </w:p>
        </w:tc>
        <w:tc>
          <w:tcPr>
            <w:tcW w:w="7019" w:type="dxa"/>
            <w:noWrap w:val="0"/>
            <w:vAlign w:val="center"/>
          </w:tcPr>
          <w:p w14:paraId="28C6D2C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《额定电压6kV(Um=7.2kV)到35kV(Um=40.5kV)电力电缆附件试验方法》GB/T 18889-2002</w:t>
            </w:r>
          </w:p>
        </w:tc>
        <w:tc>
          <w:tcPr>
            <w:tcW w:w="1907" w:type="dxa"/>
            <w:noWrap w:val="0"/>
            <w:vAlign w:val="center"/>
          </w:tcPr>
          <w:p w14:paraId="7322558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109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93E5AD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t>
            </w:r>
          </w:p>
        </w:tc>
        <w:tc>
          <w:tcPr>
            <w:tcW w:w="7019" w:type="dxa"/>
            <w:noWrap w:val="0"/>
            <w:vAlign w:val="center"/>
          </w:tcPr>
          <w:p w14:paraId="16898B6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《非合金钢及细晶粒钢焊条》GB/T 5117-2012</w:t>
            </w:r>
          </w:p>
        </w:tc>
        <w:tc>
          <w:tcPr>
            <w:tcW w:w="1907" w:type="dxa"/>
            <w:noWrap w:val="0"/>
            <w:vAlign w:val="center"/>
          </w:tcPr>
          <w:p w14:paraId="7EE4F12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108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1B34E9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130</w:t>
            </w:r>
          </w:p>
        </w:tc>
        <w:tc>
          <w:tcPr>
            <w:tcW w:w="7019" w:type="dxa"/>
            <w:noWrap w:val="0"/>
            <w:vAlign w:val="center"/>
          </w:tcPr>
          <w:p w14:paraId="334A956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《钢结构高强度螺栓连接技术规程》JGJ 82-2011</w:t>
            </w:r>
          </w:p>
        </w:tc>
        <w:tc>
          <w:tcPr>
            <w:tcW w:w="1907" w:type="dxa"/>
            <w:noWrap w:val="0"/>
            <w:vAlign w:val="center"/>
          </w:tcPr>
          <w:p w14:paraId="66CEB61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319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6913C31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131</w:t>
            </w:r>
          </w:p>
        </w:tc>
        <w:tc>
          <w:tcPr>
            <w:tcW w:w="7019" w:type="dxa"/>
            <w:noWrap w:val="0"/>
            <w:vAlign w:val="center"/>
          </w:tcPr>
          <w:p w14:paraId="17009F0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《钢结构工程施工质量验收规范》  GB 50205-2001</w:t>
            </w:r>
          </w:p>
        </w:tc>
        <w:tc>
          <w:tcPr>
            <w:tcW w:w="1907" w:type="dxa"/>
            <w:noWrap w:val="0"/>
            <w:vAlign w:val="center"/>
          </w:tcPr>
          <w:p w14:paraId="1B70C46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966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85073D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w:t>
            </w:r>
          </w:p>
        </w:tc>
        <w:tc>
          <w:tcPr>
            <w:tcW w:w="7019" w:type="dxa"/>
            <w:noWrap w:val="0"/>
            <w:vAlign w:val="center"/>
          </w:tcPr>
          <w:p w14:paraId="17776E9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《钢筋焊接及验收规程》JGJ 18-2012</w:t>
            </w:r>
          </w:p>
        </w:tc>
        <w:tc>
          <w:tcPr>
            <w:tcW w:w="1907" w:type="dxa"/>
            <w:noWrap w:val="0"/>
            <w:vAlign w:val="center"/>
          </w:tcPr>
          <w:p w14:paraId="33EA4BB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121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CC927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w:t>
            </w:r>
          </w:p>
        </w:tc>
        <w:tc>
          <w:tcPr>
            <w:tcW w:w="7019" w:type="dxa"/>
            <w:noWrap w:val="0"/>
            <w:vAlign w:val="center"/>
          </w:tcPr>
          <w:p w14:paraId="4D498F2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《钢结构设计标准》GB 50017-2017</w:t>
            </w:r>
          </w:p>
        </w:tc>
        <w:tc>
          <w:tcPr>
            <w:tcW w:w="1907" w:type="dxa"/>
            <w:noWrap w:val="0"/>
            <w:vAlign w:val="center"/>
          </w:tcPr>
          <w:p w14:paraId="7F592FD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66B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C9535F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w:t>
            </w:r>
          </w:p>
        </w:tc>
        <w:tc>
          <w:tcPr>
            <w:tcW w:w="7019" w:type="dxa"/>
            <w:noWrap w:val="0"/>
            <w:vAlign w:val="center"/>
          </w:tcPr>
          <w:p w14:paraId="3E061E9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《混凝土结构设计规范》 GB 50010-2010</w:t>
            </w:r>
          </w:p>
        </w:tc>
        <w:tc>
          <w:tcPr>
            <w:tcW w:w="1907" w:type="dxa"/>
            <w:noWrap w:val="0"/>
            <w:vAlign w:val="center"/>
          </w:tcPr>
          <w:p w14:paraId="10945AB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729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1C48150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w:t>
            </w:r>
          </w:p>
        </w:tc>
        <w:tc>
          <w:tcPr>
            <w:tcW w:w="7019" w:type="dxa"/>
            <w:noWrap w:val="0"/>
            <w:vAlign w:val="center"/>
          </w:tcPr>
          <w:p w14:paraId="65CC63C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《高压电缆选用导则》DL/T 401-2017</w:t>
            </w:r>
          </w:p>
        </w:tc>
        <w:tc>
          <w:tcPr>
            <w:tcW w:w="1907" w:type="dxa"/>
            <w:noWrap w:val="0"/>
            <w:vAlign w:val="center"/>
          </w:tcPr>
          <w:p w14:paraId="0C5DF23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34B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3E37A1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w:t>
            </w:r>
          </w:p>
        </w:tc>
        <w:tc>
          <w:tcPr>
            <w:tcW w:w="7019" w:type="dxa"/>
            <w:noWrap w:val="0"/>
            <w:vAlign w:val="center"/>
          </w:tcPr>
          <w:p w14:paraId="7296534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《高压绝缘子瓷件技术条件》GB/T 772-2005</w:t>
            </w:r>
          </w:p>
        </w:tc>
        <w:tc>
          <w:tcPr>
            <w:tcW w:w="1907" w:type="dxa"/>
            <w:noWrap w:val="0"/>
            <w:vAlign w:val="center"/>
          </w:tcPr>
          <w:p w14:paraId="03063AB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BFA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C314AF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137</w:t>
            </w:r>
          </w:p>
        </w:tc>
        <w:tc>
          <w:tcPr>
            <w:tcW w:w="7019" w:type="dxa"/>
            <w:noWrap w:val="0"/>
            <w:vAlign w:val="center"/>
          </w:tcPr>
          <w:p w14:paraId="52DB474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《工程测量规范(附条文说明)》GB 50026-2007</w:t>
            </w:r>
          </w:p>
        </w:tc>
        <w:tc>
          <w:tcPr>
            <w:tcW w:w="1907" w:type="dxa"/>
            <w:noWrap w:val="0"/>
            <w:vAlign w:val="center"/>
          </w:tcPr>
          <w:p w14:paraId="1B45AAE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4DD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DAD94C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138</w:t>
            </w:r>
          </w:p>
        </w:tc>
        <w:tc>
          <w:tcPr>
            <w:tcW w:w="7019" w:type="dxa"/>
            <w:noWrap w:val="0"/>
            <w:vAlign w:val="center"/>
          </w:tcPr>
          <w:p w14:paraId="76748D3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《供配电系统设计规范》  GB50052-2009</w:t>
            </w:r>
          </w:p>
        </w:tc>
        <w:tc>
          <w:tcPr>
            <w:tcW w:w="1907" w:type="dxa"/>
            <w:noWrap w:val="0"/>
            <w:vAlign w:val="center"/>
          </w:tcPr>
          <w:p w14:paraId="390B393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EA9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93256C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139</w:t>
            </w:r>
          </w:p>
        </w:tc>
        <w:tc>
          <w:tcPr>
            <w:tcW w:w="7019" w:type="dxa"/>
            <w:noWrap w:val="0"/>
            <w:vAlign w:val="center"/>
          </w:tcPr>
          <w:p w14:paraId="412FA24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《灌注桩基础技术规程(附条文说明)》YSJ 212-1992</w:t>
            </w:r>
          </w:p>
        </w:tc>
        <w:tc>
          <w:tcPr>
            <w:tcW w:w="1907" w:type="dxa"/>
            <w:noWrap w:val="0"/>
            <w:vAlign w:val="center"/>
          </w:tcPr>
          <w:p w14:paraId="5A67060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3FD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17CA53D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140</w:t>
            </w:r>
          </w:p>
        </w:tc>
        <w:tc>
          <w:tcPr>
            <w:tcW w:w="7019" w:type="dxa"/>
            <w:noWrap w:val="0"/>
            <w:vAlign w:val="center"/>
          </w:tcPr>
          <w:p w14:paraId="5A7B583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《混凝土结构工程施工质量验收规范》GB 50204-2015</w:t>
            </w:r>
          </w:p>
        </w:tc>
        <w:tc>
          <w:tcPr>
            <w:tcW w:w="1907" w:type="dxa"/>
            <w:noWrap w:val="0"/>
            <w:vAlign w:val="center"/>
          </w:tcPr>
          <w:p w14:paraId="22329D9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6C5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39C9B0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w:t>
            </w:r>
          </w:p>
        </w:tc>
        <w:tc>
          <w:tcPr>
            <w:tcW w:w="7019" w:type="dxa"/>
            <w:noWrap w:val="0"/>
            <w:vAlign w:val="center"/>
          </w:tcPr>
          <w:p w14:paraId="2A42CA9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《混凝土强度检验评定标准》GB/T 50107-2010</w:t>
            </w:r>
          </w:p>
        </w:tc>
        <w:tc>
          <w:tcPr>
            <w:tcW w:w="1907" w:type="dxa"/>
            <w:noWrap w:val="0"/>
            <w:vAlign w:val="center"/>
          </w:tcPr>
          <w:p w14:paraId="1A27153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4A0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4E5F467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w:t>
            </w:r>
          </w:p>
        </w:tc>
        <w:tc>
          <w:tcPr>
            <w:tcW w:w="7019" w:type="dxa"/>
            <w:noWrap w:val="0"/>
            <w:vAlign w:val="center"/>
          </w:tcPr>
          <w:p w14:paraId="361A222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《混凝土质量控制标准》GB 50164-2011</w:t>
            </w:r>
          </w:p>
        </w:tc>
        <w:tc>
          <w:tcPr>
            <w:tcW w:w="1907" w:type="dxa"/>
            <w:noWrap w:val="0"/>
            <w:vAlign w:val="center"/>
          </w:tcPr>
          <w:p w14:paraId="0D86828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82C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5BB917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w:t>
            </w:r>
          </w:p>
        </w:tc>
        <w:tc>
          <w:tcPr>
            <w:tcW w:w="7019" w:type="dxa"/>
            <w:noWrap w:val="0"/>
            <w:vAlign w:val="center"/>
          </w:tcPr>
          <w:p w14:paraId="6CA0E93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《火力发电厂、变电站二次接线设计技术规程 》DL/T 5136-2012</w:t>
            </w:r>
          </w:p>
        </w:tc>
        <w:tc>
          <w:tcPr>
            <w:tcW w:w="1907" w:type="dxa"/>
            <w:noWrap w:val="0"/>
            <w:vAlign w:val="center"/>
          </w:tcPr>
          <w:p w14:paraId="0EE689B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72A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C56B33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w:t>
            </w:r>
          </w:p>
        </w:tc>
        <w:tc>
          <w:tcPr>
            <w:tcW w:w="7019" w:type="dxa"/>
            <w:noWrap w:val="0"/>
            <w:vAlign w:val="center"/>
          </w:tcPr>
          <w:p w14:paraId="66B5E33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《火力发电厂与变电站设计防火标准》GB 50229-2019</w:t>
            </w:r>
          </w:p>
        </w:tc>
        <w:tc>
          <w:tcPr>
            <w:tcW w:w="1907" w:type="dxa"/>
            <w:noWrap w:val="0"/>
            <w:vAlign w:val="center"/>
          </w:tcPr>
          <w:p w14:paraId="08F7CBD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55F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4E164D3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145</w:t>
            </w:r>
          </w:p>
        </w:tc>
        <w:tc>
          <w:tcPr>
            <w:tcW w:w="7019" w:type="dxa"/>
            <w:noWrap w:val="0"/>
            <w:vAlign w:val="center"/>
          </w:tcPr>
          <w:p w14:paraId="16B9244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《继电保护和安全自动装置技术规程》GB/T 14285-2006</w:t>
            </w:r>
          </w:p>
        </w:tc>
        <w:tc>
          <w:tcPr>
            <w:tcW w:w="1907" w:type="dxa"/>
            <w:noWrap w:val="0"/>
            <w:vAlign w:val="center"/>
          </w:tcPr>
          <w:p w14:paraId="3649EF6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874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636D193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146</w:t>
            </w:r>
          </w:p>
        </w:tc>
        <w:tc>
          <w:tcPr>
            <w:tcW w:w="7019" w:type="dxa"/>
            <w:noWrap w:val="0"/>
            <w:vAlign w:val="center"/>
          </w:tcPr>
          <w:p w14:paraId="6FD38F3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《架空电力线路内爆压接施工工艺规程》SDJ 277-1990</w:t>
            </w:r>
          </w:p>
        </w:tc>
        <w:tc>
          <w:tcPr>
            <w:tcW w:w="1907" w:type="dxa"/>
            <w:noWrap w:val="0"/>
            <w:vAlign w:val="center"/>
          </w:tcPr>
          <w:p w14:paraId="51A08DC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1B7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4B9A5EB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147</w:t>
            </w:r>
          </w:p>
        </w:tc>
        <w:tc>
          <w:tcPr>
            <w:tcW w:w="7019" w:type="dxa"/>
            <w:noWrap w:val="0"/>
            <w:vAlign w:val="center"/>
          </w:tcPr>
          <w:p w14:paraId="543F99C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《架空送电线路钢管杆设计技术规定》(DL/T5130一2001)</w:t>
            </w:r>
          </w:p>
        </w:tc>
        <w:tc>
          <w:tcPr>
            <w:tcW w:w="1907" w:type="dxa"/>
            <w:noWrap w:val="0"/>
            <w:vAlign w:val="center"/>
          </w:tcPr>
          <w:p w14:paraId="0511359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6269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3D601CB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148</w:t>
            </w:r>
          </w:p>
        </w:tc>
        <w:tc>
          <w:tcPr>
            <w:tcW w:w="7019" w:type="dxa"/>
            <w:noWrap w:val="0"/>
            <w:vAlign w:val="center"/>
          </w:tcPr>
          <w:p w14:paraId="1627678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《电力工程电缆设计标准》GB50217-2018</w:t>
            </w:r>
          </w:p>
        </w:tc>
        <w:tc>
          <w:tcPr>
            <w:tcW w:w="1907" w:type="dxa"/>
            <w:noWrap w:val="0"/>
            <w:vAlign w:val="center"/>
          </w:tcPr>
          <w:p w14:paraId="5F14BD2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A2A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139DBA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149</w:t>
            </w:r>
          </w:p>
        </w:tc>
        <w:tc>
          <w:tcPr>
            <w:tcW w:w="7019" w:type="dxa"/>
            <w:noWrap w:val="0"/>
            <w:vAlign w:val="center"/>
          </w:tcPr>
          <w:p w14:paraId="44CC660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《建设工程监理规范》GB/T50319-2013</w:t>
            </w:r>
          </w:p>
        </w:tc>
        <w:tc>
          <w:tcPr>
            <w:tcW w:w="1907" w:type="dxa"/>
            <w:noWrap w:val="0"/>
            <w:vAlign w:val="center"/>
          </w:tcPr>
          <w:p w14:paraId="75EFA3E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2CD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49E5A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w:t>
            </w:r>
          </w:p>
        </w:tc>
        <w:tc>
          <w:tcPr>
            <w:tcW w:w="7019" w:type="dxa"/>
            <w:noWrap w:val="0"/>
            <w:vAlign w:val="center"/>
          </w:tcPr>
          <w:p w14:paraId="31D8534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《电力建设工程监理规范》(DL/T 5434-2009)</w:t>
            </w:r>
          </w:p>
        </w:tc>
        <w:tc>
          <w:tcPr>
            <w:tcW w:w="1907" w:type="dxa"/>
            <w:noWrap w:val="0"/>
            <w:vAlign w:val="center"/>
          </w:tcPr>
          <w:p w14:paraId="7079717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1AF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32FFB9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151</w:t>
            </w:r>
          </w:p>
        </w:tc>
        <w:tc>
          <w:tcPr>
            <w:tcW w:w="7019" w:type="dxa"/>
            <w:noWrap w:val="0"/>
            <w:vAlign w:val="center"/>
          </w:tcPr>
          <w:p w14:paraId="1391B9D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《建筑工程施工质量验收统一标准》 GB 50300-2013</w:t>
            </w:r>
          </w:p>
        </w:tc>
        <w:tc>
          <w:tcPr>
            <w:tcW w:w="1907" w:type="dxa"/>
            <w:noWrap w:val="0"/>
            <w:vAlign w:val="center"/>
          </w:tcPr>
          <w:p w14:paraId="2012C30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BA6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26C7E6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w:t>
            </w:r>
          </w:p>
        </w:tc>
        <w:tc>
          <w:tcPr>
            <w:tcW w:w="7019" w:type="dxa"/>
            <w:noWrap w:val="0"/>
            <w:vAlign w:val="center"/>
          </w:tcPr>
          <w:p w14:paraId="22785BE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《工程建设标准强制性条文》（房屋建筑部分）（2013版）</w:t>
            </w:r>
          </w:p>
        </w:tc>
        <w:tc>
          <w:tcPr>
            <w:tcW w:w="1907" w:type="dxa"/>
            <w:noWrap w:val="0"/>
            <w:vAlign w:val="center"/>
          </w:tcPr>
          <w:p w14:paraId="1B2A6AA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261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3F1E6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w:t>
            </w:r>
          </w:p>
        </w:tc>
        <w:tc>
          <w:tcPr>
            <w:tcW w:w="7019" w:type="dxa"/>
            <w:noWrap w:val="0"/>
            <w:vAlign w:val="center"/>
          </w:tcPr>
          <w:p w14:paraId="40940A5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《建设工程项目管理规范》 GB/T 50326-2017</w:t>
            </w:r>
          </w:p>
        </w:tc>
        <w:tc>
          <w:tcPr>
            <w:tcW w:w="1907" w:type="dxa"/>
            <w:noWrap w:val="0"/>
            <w:vAlign w:val="center"/>
          </w:tcPr>
          <w:p w14:paraId="4F1264F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BCB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5EF6C7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w:t>
            </w:r>
          </w:p>
        </w:tc>
        <w:tc>
          <w:tcPr>
            <w:tcW w:w="7019" w:type="dxa"/>
            <w:noWrap w:val="0"/>
            <w:vAlign w:val="center"/>
          </w:tcPr>
          <w:p w14:paraId="33A280C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《建设工程文件归档规范》GB/T 50328-2014</w:t>
            </w:r>
          </w:p>
        </w:tc>
        <w:tc>
          <w:tcPr>
            <w:tcW w:w="1907" w:type="dxa"/>
            <w:noWrap w:val="0"/>
            <w:vAlign w:val="center"/>
          </w:tcPr>
          <w:p w14:paraId="21C0F96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25D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AB913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155</w:t>
            </w:r>
          </w:p>
        </w:tc>
        <w:tc>
          <w:tcPr>
            <w:tcW w:w="7019" w:type="dxa"/>
            <w:noWrap w:val="0"/>
            <w:vAlign w:val="center"/>
          </w:tcPr>
          <w:p w14:paraId="7CB8FEC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《建设项目档案管理规范》DA/T28-2018</w:t>
            </w:r>
          </w:p>
        </w:tc>
        <w:tc>
          <w:tcPr>
            <w:tcW w:w="1907" w:type="dxa"/>
            <w:noWrap w:val="0"/>
            <w:vAlign w:val="center"/>
          </w:tcPr>
          <w:p w14:paraId="4D9F1D6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7BD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522B38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156</w:t>
            </w:r>
          </w:p>
        </w:tc>
        <w:tc>
          <w:tcPr>
            <w:tcW w:w="7019" w:type="dxa"/>
            <w:noWrap w:val="0"/>
            <w:vAlign w:val="center"/>
          </w:tcPr>
          <w:p w14:paraId="660E131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《建筑基桩检测技术规范》JGJ 106-2014</w:t>
            </w:r>
          </w:p>
        </w:tc>
        <w:tc>
          <w:tcPr>
            <w:tcW w:w="1907" w:type="dxa"/>
            <w:noWrap w:val="0"/>
            <w:vAlign w:val="center"/>
          </w:tcPr>
          <w:p w14:paraId="72A22AD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2F7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E158E5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157</w:t>
            </w:r>
          </w:p>
        </w:tc>
        <w:tc>
          <w:tcPr>
            <w:tcW w:w="7019" w:type="dxa"/>
            <w:noWrap w:val="0"/>
            <w:vAlign w:val="center"/>
          </w:tcPr>
          <w:p w14:paraId="226513C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《建筑地基处理技术规范》JGJ 79-2012</w:t>
            </w:r>
          </w:p>
        </w:tc>
        <w:tc>
          <w:tcPr>
            <w:tcW w:w="1907" w:type="dxa"/>
            <w:noWrap w:val="0"/>
            <w:vAlign w:val="center"/>
          </w:tcPr>
          <w:p w14:paraId="35609B4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111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74F264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158</w:t>
            </w:r>
          </w:p>
        </w:tc>
        <w:tc>
          <w:tcPr>
            <w:tcW w:w="7019" w:type="dxa"/>
            <w:noWrap w:val="0"/>
            <w:vAlign w:val="center"/>
          </w:tcPr>
          <w:p w14:paraId="35D2E33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《建筑地基基础设计规范》GB 50027-2011</w:t>
            </w:r>
          </w:p>
        </w:tc>
        <w:tc>
          <w:tcPr>
            <w:tcW w:w="1907" w:type="dxa"/>
            <w:noWrap w:val="0"/>
            <w:vAlign w:val="center"/>
          </w:tcPr>
          <w:p w14:paraId="6373050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6C4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BCEC73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159</w:t>
            </w:r>
          </w:p>
        </w:tc>
        <w:tc>
          <w:tcPr>
            <w:tcW w:w="7019" w:type="dxa"/>
            <w:noWrap w:val="0"/>
            <w:vAlign w:val="center"/>
          </w:tcPr>
          <w:p w14:paraId="03DC656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《建筑地基基础工程施工质量验收标准》GB 50202-2018</w:t>
            </w:r>
          </w:p>
        </w:tc>
        <w:tc>
          <w:tcPr>
            <w:tcW w:w="1907" w:type="dxa"/>
            <w:noWrap w:val="0"/>
            <w:vAlign w:val="center"/>
          </w:tcPr>
          <w:p w14:paraId="2870837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5EF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2675A28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160</w:t>
            </w:r>
          </w:p>
        </w:tc>
        <w:tc>
          <w:tcPr>
            <w:tcW w:w="7019" w:type="dxa"/>
            <w:noWrap w:val="0"/>
            <w:vAlign w:val="center"/>
          </w:tcPr>
          <w:p w14:paraId="2EDF970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《建筑地面工程施工质量验收规范》 GB 50209-2010</w:t>
            </w:r>
          </w:p>
        </w:tc>
        <w:tc>
          <w:tcPr>
            <w:tcW w:w="1907" w:type="dxa"/>
            <w:noWrap w:val="0"/>
            <w:vAlign w:val="center"/>
          </w:tcPr>
          <w:p w14:paraId="288300F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8A8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85F111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w:t>
            </w:r>
          </w:p>
        </w:tc>
        <w:tc>
          <w:tcPr>
            <w:tcW w:w="7019" w:type="dxa"/>
            <w:noWrap w:val="0"/>
            <w:vAlign w:val="center"/>
          </w:tcPr>
          <w:p w14:paraId="4749AF7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《建筑电气工程施工质量验收规范》GB50303-2015</w:t>
            </w:r>
          </w:p>
        </w:tc>
        <w:tc>
          <w:tcPr>
            <w:tcW w:w="1907" w:type="dxa"/>
            <w:noWrap w:val="0"/>
            <w:vAlign w:val="center"/>
          </w:tcPr>
          <w:p w14:paraId="04908F0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FC9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BF2FED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w:t>
            </w:r>
          </w:p>
        </w:tc>
        <w:tc>
          <w:tcPr>
            <w:tcW w:w="7019" w:type="dxa"/>
            <w:noWrap w:val="0"/>
            <w:vAlign w:val="center"/>
          </w:tcPr>
          <w:p w14:paraId="25EDB2A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 50303-2015</w:t>
            </w:r>
          </w:p>
        </w:tc>
        <w:tc>
          <w:tcPr>
            <w:tcW w:w="1907" w:type="dxa"/>
            <w:noWrap w:val="0"/>
            <w:vAlign w:val="center"/>
          </w:tcPr>
          <w:p w14:paraId="59208FD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604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0EACF7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w:t>
            </w:r>
          </w:p>
        </w:tc>
        <w:tc>
          <w:tcPr>
            <w:tcW w:w="7019" w:type="dxa"/>
            <w:noWrap w:val="0"/>
            <w:vAlign w:val="center"/>
          </w:tcPr>
          <w:p w14:paraId="666F8E5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《建筑钢结构防火设计规程（附条文说明）》DG/TJ 08-20008-2000</w:t>
            </w:r>
          </w:p>
        </w:tc>
        <w:tc>
          <w:tcPr>
            <w:tcW w:w="1907" w:type="dxa"/>
            <w:noWrap w:val="0"/>
            <w:vAlign w:val="center"/>
          </w:tcPr>
          <w:p w14:paraId="571D244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FEF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F605BA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w:t>
            </w:r>
          </w:p>
        </w:tc>
        <w:tc>
          <w:tcPr>
            <w:tcW w:w="7019" w:type="dxa"/>
            <w:noWrap w:val="0"/>
            <w:vAlign w:val="center"/>
          </w:tcPr>
          <w:p w14:paraId="004A8DE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《建筑给水排水及采暖工程施工质量验收规范》GB50242-2002</w:t>
            </w:r>
          </w:p>
        </w:tc>
        <w:tc>
          <w:tcPr>
            <w:tcW w:w="1907" w:type="dxa"/>
            <w:noWrap w:val="0"/>
            <w:vAlign w:val="center"/>
          </w:tcPr>
          <w:p w14:paraId="66A80A2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8924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91C31C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w:t>
            </w:r>
          </w:p>
        </w:tc>
        <w:tc>
          <w:tcPr>
            <w:tcW w:w="7019" w:type="dxa"/>
            <w:noWrap w:val="0"/>
            <w:vAlign w:val="center"/>
          </w:tcPr>
          <w:p w14:paraId="01B402E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《建筑工程抗震设防分类标准》GB 50223-2008</w:t>
            </w:r>
          </w:p>
        </w:tc>
        <w:tc>
          <w:tcPr>
            <w:tcW w:w="1907" w:type="dxa"/>
            <w:noWrap w:val="0"/>
            <w:vAlign w:val="center"/>
          </w:tcPr>
          <w:p w14:paraId="148F8D9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850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6CCD9E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166</w:t>
            </w:r>
          </w:p>
        </w:tc>
        <w:tc>
          <w:tcPr>
            <w:tcW w:w="7019" w:type="dxa"/>
            <w:noWrap w:val="0"/>
            <w:vAlign w:val="center"/>
          </w:tcPr>
          <w:p w14:paraId="3C215C3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5009-2012</w:t>
            </w:r>
          </w:p>
        </w:tc>
        <w:tc>
          <w:tcPr>
            <w:tcW w:w="1907" w:type="dxa"/>
            <w:noWrap w:val="0"/>
            <w:vAlign w:val="center"/>
          </w:tcPr>
          <w:p w14:paraId="47FA8D7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C4DA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0217C0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167</w:t>
            </w:r>
          </w:p>
        </w:tc>
        <w:tc>
          <w:tcPr>
            <w:tcW w:w="7019" w:type="dxa"/>
            <w:noWrap w:val="0"/>
            <w:vAlign w:val="center"/>
          </w:tcPr>
          <w:p w14:paraId="38C4D4D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《建筑结构检测技术标准》GB/T 50344-2004</w:t>
            </w:r>
          </w:p>
        </w:tc>
        <w:tc>
          <w:tcPr>
            <w:tcW w:w="1907" w:type="dxa"/>
            <w:noWrap w:val="0"/>
            <w:vAlign w:val="center"/>
          </w:tcPr>
          <w:p w14:paraId="3C445E7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9DB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3C9D10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168</w:t>
            </w:r>
          </w:p>
        </w:tc>
        <w:tc>
          <w:tcPr>
            <w:tcW w:w="7019" w:type="dxa"/>
            <w:noWrap w:val="0"/>
            <w:vAlign w:val="center"/>
          </w:tcPr>
          <w:p w14:paraId="083BB96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《建筑抗震设计规范（附条文说明）》GB 50011-2010</w:t>
            </w:r>
          </w:p>
        </w:tc>
        <w:tc>
          <w:tcPr>
            <w:tcW w:w="1907" w:type="dxa"/>
            <w:noWrap w:val="0"/>
            <w:vAlign w:val="center"/>
          </w:tcPr>
          <w:p w14:paraId="7CFB0A7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E56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1133FF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169</w:t>
            </w:r>
          </w:p>
        </w:tc>
        <w:tc>
          <w:tcPr>
            <w:tcW w:w="7019" w:type="dxa"/>
            <w:noWrap w:val="0"/>
            <w:vAlign w:val="center"/>
          </w:tcPr>
          <w:p w14:paraId="7EF8C8D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《建筑气象参数标准》JGJ 35-1987</w:t>
            </w:r>
          </w:p>
        </w:tc>
        <w:tc>
          <w:tcPr>
            <w:tcW w:w="1907" w:type="dxa"/>
            <w:noWrap w:val="0"/>
            <w:vAlign w:val="center"/>
          </w:tcPr>
          <w:p w14:paraId="18BEA08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BFC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7BE61B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170</w:t>
            </w:r>
          </w:p>
        </w:tc>
        <w:tc>
          <w:tcPr>
            <w:tcW w:w="7019" w:type="dxa"/>
            <w:noWrap w:val="0"/>
            <w:vAlign w:val="center"/>
          </w:tcPr>
          <w:p w14:paraId="2473858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《建筑设计防火规范》GB 50016-2014</w:t>
            </w:r>
          </w:p>
        </w:tc>
        <w:tc>
          <w:tcPr>
            <w:tcW w:w="1907" w:type="dxa"/>
            <w:noWrap w:val="0"/>
            <w:vAlign w:val="center"/>
          </w:tcPr>
          <w:p w14:paraId="3041030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7AA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00C4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p>
        </w:tc>
        <w:tc>
          <w:tcPr>
            <w:tcW w:w="7019" w:type="dxa"/>
            <w:noWrap w:val="0"/>
            <w:vAlign w:val="center"/>
          </w:tcPr>
          <w:p w14:paraId="64F47E8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《建筑桩基技术规范》、《建筑地基基础设计规范》JGJ94-2008、GB50007-2011</w:t>
            </w:r>
          </w:p>
        </w:tc>
        <w:tc>
          <w:tcPr>
            <w:tcW w:w="1907" w:type="dxa"/>
            <w:noWrap w:val="0"/>
            <w:vAlign w:val="center"/>
          </w:tcPr>
          <w:p w14:paraId="051D42C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0FD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113514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w:t>
            </w:r>
          </w:p>
        </w:tc>
        <w:tc>
          <w:tcPr>
            <w:tcW w:w="7019" w:type="dxa"/>
            <w:noWrap w:val="0"/>
            <w:vAlign w:val="center"/>
          </w:tcPr>
          <w:p w14:paraId="2EBD177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《建筑装饰装修工程质量验收规范》GB 50210-2018</w:t>
            </w:r>
          </w:p>
        </w:tc>
        <w:tc>
          <w:tcPr>
            <w:tcW w:w="1907" w:type="dxa"/>
            <w:noWrap w:val="0"/>
            <w:vAlign w:val="center"/>
          </w:tcPr>
          <w:p w14:paraId="6C02CE6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C54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25958E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w:t>
            </w:r>
          </w:p>
        </w:tc>
        <w:tc>
          <w:tcPr>
            <w:tcW w:w="7019" w:type="dxa"/>
            <w:noWrap w:val="0"/>
            <w:vAlign w:val="center"/>
          </w:tcPr>
          <w:p w14:paraId="4A7284D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《建设用卵石、碎石》GB/T 14685-2011</w:t>
            </w:r>
          </w:p>
        </w:tc>
        <w:tc>
          <w:tcPr>
            <w:tcW w:w="1907" w:type="dxa"/>
            <w:noWrap w:val="0"/>
            <w:vAlign w:val="center"/>
          </w:tcPr>
          <w:p w14:paraId="20784C4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619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38C54F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174</w:t>
            </w:r>
          </w:p>
        </w:tc>
        <w:tc>
          <w:tcPr>
            <w:tcW w:w="7019" w:type="dxa"/>
            <w:noWrap w:val="0"/>
            <w:vAlign w:val="center"/>
          </w:tcPr>
          <w:p w14:paraId="26B2279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《建设用砂》GB/T 14684-2011</w:t>
            </w:r>
          </w:p>
        </w:tc>
        <w:tc>
          <w:tcPr>
            <w:tcW w:w="1907" w:type="dxa"/>
            <w:noWrap w:val="0"/>
            <w:vAlign w:val="center"/>
          </w:tcPr>
          <w:p w14:paraId="4FD5D9D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392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B2382B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175</w:t>
            </w:r>
          </w:p>
        </w:tc>
        <w:tc>
          <w:tcPr>
            <w:tcW w:w="7019" w:type="dxa"/>
            <w:noWrap w:val="0"/>
            <w:vAlign w:val="center"/>
          </w:tcPr>
          <w:p w14:paraId="396D462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《交流110kV交联聚乙烯绝缘电缆及其附件订货技术规范》DL 509-1993</w:t>
            </w:r>
          </w:p>
        </w:tc>
        <w:tc>
          <w:tcPr>
            <w:tcW w:w="1907" w:type="dxa"/>
            <w:noWrap w:val="0"/>
            <w:vAlign w:val="center"/>
          </w:tcPr>
          <w:p w14:paraId="7C6F3E9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900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F18DAB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176</w:t>
            </w:r>
          </w:p>
        </w:tc>
        <w:tc>
          <w:tcPr>
            <w:tcW w:w="7019" w:type="dxa"/>
            <w:noWrap w:val="0"/>
            <w:vAlign w:val="center"/>
          </w:tcPr>
          <w:p w14:paraId="6E97099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14:paraId="79463F7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298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7B7D16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177</w:t>
            </w:r>
          </w:p>
        </w:tc>
        <w:tc>
          <w:tcPr>
            <w:tcW w:w="7019" w:type="dxa"/>
            <w:noWrap w:val="0"/>
            <w:vAlign w:val="center"/>
          </w:tcPr>
          <w:p w14:paraId="0AA2C99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《民用建筑电气设计规范(附条文说明[另册])》 JGJ 16-2008</w:t>
            </w:r>
          </w:p>
        </w:tc>
        <w:tc>
          <w:tcPr>
            <w:tcW w:w="1907" w:type="dxa"/>
            <w:noWrap w:val="0"/>
            <w:vAlign w:val="center"/>
          </w:tcPr>
          <w:p w14:paraId="720EE50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853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8F183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178</w:t>
            </w:r>
          </w:p>
        </w:tc>
        <w:tc>
          <w:tcPr>
            <w:tcW w:w="7019" w:type="dxa"/>
            <w:noWrap w:val="0"/>
            <w:vAlign w:val="center"/>
          </w:tcPr>
          <w:p w14:paraId="3B7FE7F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《木结构工程施工质量验收规范》 GB 50206-2012</w:t>
            </w:r>
          </w:p>
        </w:tc>
        <w:tc>
          <w:tcPr>
            <w:tcW w:w="1907" w:type="dxa"/>
            <w:noWrap w:val="0"/>
            <w:vAlign w:val="center"/>
          </w:tcPr>
          <w:p w14:paraId="1F6BEB6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517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58806D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179</w:t>
            </w:r>
          </w:p>
        </w:tc>
        <w:tc>
          <w:tcPr>
            <w:tcW w:w="7019" w:type="dxa"/>
            <w:noWrap w:val="0"/>
            <w:vAlign w:val="center"/>
          </w:tcPr>
          <w:p w14:paraId="773C4A5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《普通混凝土力学性能试验方法标准》GB/T 50081-2002</w:t>
            </w:r>
          </w:p>
        </w:tc>
        <w:tc>
          <w:tcPr>
            <w:tcW w:w="1907" w:type="dxa"/>
            <w:noWrap w:val="0"/>
            <w:vAlign w:val="center"/>
          </w:tcPr>
          <w:p w14:paraId="6155835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75A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615EB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7019" w:type="dxa"/>
            <w:noWrap w:val="0"/>
            <w:vAlign w:val="center"/>
          </w:tcPr>
          <w:p w14:paraId="2CA2B22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《普通混凝土配合比设计规程》JGJ 55-2011</w:t>
            </w:r>
          </w:p>
        </w:tc>
        <w:tc>
          <w:tcPr>
            <w:tcW w:w="1907" w:type="dxa"/>
            <w:noWrap w:val="0"/>
            <w:vAlign w:val="center"/>
          </w:tcPr>
          <w:p w14:paraId="29096E7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7D8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8EE5E3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181</w:t>
            </w:r>
          </w:p>
        </w:tc>
        <w:tc>
          <w:tcPr>
            <w:tcW w:w="7019" w:type="dxa"/>
            <w:noWrap w:val="0"/>
            <w:vAlign w:val="center"/>
          </w:tcPr>
          <w:p w14:paraId="0198297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《普通混凝土用砂、石质量及检验方法标准》JGJ 52-2006</w:t>
            </w:r>
          </w:p>
        </w:tc>
        <w:tc>
          <w:tcPr>
            <w:tcW w:w="1907" w:type="dxa"/>
            <w:noWrap w:val="0"/>
            <w:vAlign w:val="center"/>
          </w:tcPr>
          <w:p w14:paraId="290D55A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E82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6C6784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w:t>
            </w:r>
          </w:p>
        </w:tc>
        <w:tc>
          <w:tcPr>
            <w:tcW w:w="7019" w:type="dxa"/>
            <w:noWrap w:val="0"/>
            <w:vAlign w:val="center"/>
          </w:tcPr>
          <w:p w14:paraId="5953093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《砌体结构工程施工质量验收规范 》GB 50203-2011</w:t>
            </w:r>
          </w:p>
        </w:tc>
        <w:tc>
          <w:tcPr>
            <w:tcW w:w="1907" w:type="dxa"/>
            <w:noWrap w:val="0"/>
            <w:vAlign w:val="center"/>
          </w:tcPr>
          <w:p w14:paraId="688570D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C12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97C1EF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183</w:t>
            </w:r>
          </w:p>
        </w:tc>
        <w:tc>
          <w:tcPr>
            <w:tcW w:w="7019" w:type="dxa"/>
            <w:noWrap w:val="0"/>
            <w:vAlign w:val="center"/>
          </w:tcPr>
          <w:p w14:paraId="4195395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《砌体结构设计规范》GB 50003-2011</w:t>
            </w:r>
          </w:p>
        </w:tc>
        <w:tc>
          <w:tcPr>
            <w:tcW w:w="1907" w:type="dxa"/>
            <w:noWrap w:val="0"/>
            <w:vAlign w:val="center"/>
          </w:tcPr>
          <w:p w14:paraId="0FE68F3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0C0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72FAA8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184</w:t>
            </w:r>
          </w:p>
        </w:tc>
        <w:tc>
          <w:tcPr>
            <w:tcW w:w="7019" w:type="dxa"/>
            <w:noWrap w:val="0"/>
            <w:vAlign w:val="center"/>
          </w:tcPr>
          <w:p w14:paraId="145FDD4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《砌筑砂浆配合比设计规程》JGJ/T 98-2010</w:t>
            </w:r>
          </w:p>
        </w:tc>
        <w:tc>
          <w:tcPr>
            <w:tcW w:w="1907" w:type="dxa"/>
            <w:noWrap w:val="0"/>
            <w:vAlign w:val="center"/>
          </w:tcPr>
          <w:p w14:paraId="71F1D8A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DA0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B35E57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185</w:t>
            </w:r>
          </w:p>
        </w:tc>
        <w:tc>
          <w:tcPr>
            <w:tcW w:w="7019" w:type="dxa"/>
            <w:noWrap w:val="0"/>
            <w:vAlign w:val="center"/>
          </w:tcPr>
          <w:p w14:paraId="6F6A6E8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《热强钢焊条》GB/T 5118-2012</w:t>
            </w:r>
          </w:p>
        </w:tc>
        <w:tc>
          <w:tcPr>
            <w:tcW w:w="1907" w:type="dxa"/>
            <w:noWrap w:val="0"/>
            <w:vAlign w:val="center"/>
          </w:tcPr>
          <w:p w14:paraId="4EA33F3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636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7C2768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186</w:t>
            </w:r>
          </w:p>
        </w:tc>
        <w:tc>
          <w:tcPr>
            <w:tcW w:w="7019" w:type="dxa"/>
            <w:noWrap w:val="0"/>
            <w:vAlign w:val="center"/>
          </w:tcPr>
          <w:p w14:paraId="49C46B3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《输变电工程架空导线及地线液压压接工艺规程》DL/T 5285-2018</w:t>
            </w:r>
          </w:p>
        </w:tc>
        <w:tc>
          <w:tcPr>
            <w:tcW w:w="1907" w:type="dxa"/>
            <w:noWrap w:val="0"/>
            <w:vAlign w:val="center"/>
          </w:tcPr>
          <w:p w14:paraId="1C67816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314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954BCE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187</w:t>
            </w:r>
          </w:p>
        </w:tc>
        <w:tc>
          <w:tcPr>
            <w:tcW w:w="7019" w:type="dxa"/>
            <w:noWrap w:val="0"/>
            <w:vAlign w:val="center"/>
          </w:tcPr>
          <w:p w14:paraId="2CCA9C4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《架空输电线路施工机具基本技术要求》DL/T 875-2016 </w:t>
            </w:r>
          </w:p>
        </w:tc>
        <w:tc>
          <w:tcPr>
            <w:tcW w:w="1907" w:type="dxa"/>
            <w:noWrap w:val="0"/>
            <w:vAlign w:val="center"/>
          </w:tcPr>
          <w:p w14:paraId="5A88C9B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E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8069B4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188</w:t>
            </w:r>
          </w:p>
        </w:tc>
        <w:tc>
          <w:tcPr>
            <w:tcW w:w="7019" w:type="dxa"/>
            <w:noWrap w:val="0"/>
            <w:vAlign w:val="center"/>
          </w:tcPr>
          <w:p w14:paraId="6A90A74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《输电线路铁塔制造技术条件》GB/T 2694-2018</w:t>
            </w:r>
          </w:p>
        </w:tc>
        <w:tc>
          <w:tcPr>
            <w:tcW w:w="1907" w:type="dxa"/>
            <w:noWrap w:val="0"/>
            <w:vAlign w:val="center"/>
          </w:tcPr>
          <w:p w14:paraId="210AC33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72F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C7FB22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189</w:t>
            </w:r>
          </w:p>
        </w:tc>
        <w:tc>
          <w:tcPr>
            <w:tcW w:w="7019" w:type="dxa"/>
            <w:noWrap w:val="0"/>
            <w:vAlign w:val="center"/>
          </w:tcPr>
          <w:p w14:paraId="4DAA71D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《水泥混凝土路面施工及验收规范》 GBJ 97-1987</w:t>
            </w:r>
          </w:p>
        </w:tc>
        <w:tc>
          <w:tcPr>
            <w:tcW w:w="1907" w:type="dxa"/>
            <w:noWrap w:val="0"/>
            <w:vAlign w:val="center"/>
          </w:tcPr>
          <w:p w14:paraId="6C054DF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85D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F6B040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190</w:t>
            </w:r>
          </w:p>
        </w:tc>
        <w:tc>
          <w:tcPr>
            <w:tcW w:w="7019" w:type="dxa"/>
            <w:noWrap w:val="0"/>
            <w:vAlign w:val="center"/>
          </w:tcPr>
          <w:p w14:paraId="6D982F2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《碳素结构钢》 GB/T 700-2006</w:t>
            </w:r>
          </w:p>
        </w:tc>
        <w:tc>
          <w:tcPr>
            <w:tcW w:w="1907" w:type="dxa"/>
            <w:noWrap w:val="0"/>
            <w:vAlign w:val="center"/>
          </w:tcPr>
          <w:p w14:paraId="72CF662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726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B2C5EC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191</w:t>
            </w:r>
          </w:p>
        </w:tc>
        <w:tc>
          <w:tcPr>
            <w:tcW w:w="7019" w:type="dxa"/>
            <w:noWrap w:val="0"/>
            <w:vAlign w:val="center"/>
          </w:tcPr>
          <w:p w14:paraId="46DB41F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《通风与空调工程施工质量验收规范》GB50243-2016</w:t>
            </w:r>
          </w:p>
        </w:tc>
        <w:tc>
          <w:tcPr>
            <w:tcW w:w="1907" w:type="dxa"/>
            <w:noWrap w:val="0"/>
            <w:vAlign w:val="center"/>
          </w:tcPr>
          <w:p w14:paraId="72C3978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E8B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E459B6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192</w:t>
            </w:r>
          </w:p>
        </w:tc>
        <w:tc>
          <w:tcPr>
            <w:tcW w:w="7019" w:type="dxa"/>
            <w:noWrap w:val="0"/>
            <w:vAlign w:val="center"/>
          </w:tcPr>
          <w:p w14:paraId="172EB57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《通用用电设备配电设计规范》 GB 50055-2011</w:t>
            </w:r>
          </w:p>
        </w:tc>
        <w:tc>
          <w:tcPr>
            <w:tcW w:w="1907" w:type="dxa"/>
            <w:noWrap w:val="0"/>
            <w:vAlign w:val="center"/>
          </w:tcPr>
          <w:p w14:paraId="2D8CE2F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180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6E481B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193</w:t>
            </w:r>
          </w:p>
        </w:tc>
        <w:tc>
          <w:tcPr>
            <w:tcW w:w="7019" w:type="dxa"/>
            <w:noWrap w:val="0"/>
            <w:vAlign w:val="center"/>
          </w:tcPr>
          <w:p w14:paraId="3E8A31D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《土方与爆破工程施工及验收规范》GB 50201-2012</w:t>
            </w:r>
          </w:p>
        </w:tc>
        <w:tc>
          <w:tcPr>
            <w:tcW w:w="1907" w:type="dxa"/>
            <w:noWrap w:val="0"/>
            <w:vAlign w:val="center"/>
          </w:tcPr>
          <w:p w14:paraId="0DB99F3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935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EF417E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194</w:t>
            </w:r>
          </w:p>
        </w:tc>
        <w:tc>
          <w:tcPr>
            <w:tcW w:w="7019" w:type="dxa"/>
            <w:noWrap w:val="0"/>
            <w:vAlign w:val="center"/>
          </w:tcPr>
          <w:p w14:paraId="0B3D5F2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《屋面工程质量验收规范》GB 50207-2012</w:t>
            </w:r>
          </w:p>
        </w:tc>
        <w:tc>
          <w:tcPr>
            <w:tcW w:w="1907" w:type="dxa"/>
            <w:noWrap w:val="0"/>
            <w:vAlign w:val="center"/>
          </w:tcPr>
          <w:p w14:paraId="70A3C4A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BCA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B5DEBC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w:t>
            </w:r>
          </w:p>
        </w:tc>
        <w:tc>
          <w:tcPr>
            <w:tcW w:w="7019" w:type="dxa"/>
            <w:noWrap w:val="0"/>
            <w:vAlign w:val="center"/>
          </w:tcPr>
          <w:p w14:paraId="7AEF748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《岩土工程勘察规范》GB 50021-2001</w:t>
            </w:r>
          </w:p>
        </w:tc>
        <w:tc>
          <w:tcPr>
            <w:tcW w:w="1907" w:type="dxa"/>
            <w:noWrap w:val="0"/>
            <w:vAlign w:val="center"/>
          </w:tcPr>
          <w:p w14:paraId="50D88AB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EC2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279366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196</w:t>
            </w:r>
          </w:p>
        </w:tc>
        <w:tc>
          <w:tcPr>
            <w:tcW w:w="7019" w:type="dxa"/>
            <w:noWrap w:val="0"/>
            <w:vAlign w:val="center"/>
          </w:tcPr>
          <w:p w14:paraId="2A3F379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《优质碳素结构钢》 GB/T 699-2015</w:t>
            </w:r>
          </w:p>
        </w:tc>
        <w:tc>
          <w:tcPr>
            <w:tcW w:w="1907" w:type="dxa"/>
            <w:noWrap w:val="0"/>
            <w:vAlign w:val="center"/>
          </w:tcPr>
          <w:p w14:paraId="3F399E8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91A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DCA3F8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197</w:t>
            </w:r>
          </w:p>
        </w:tc>
        <w:tc>
          <w:tcPr>
            <w:tcW w:w="7019" w:type="dxa"/>
            <w:noWrap w:val="0"/>
            <w:vAlign w:val="center"/>
          </w:tcPr>
          <w:p w14:paraId="33D524F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第5101部分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传输规约 基本远动任务配套标准》DL/T 634.5101-2002</w:t>
            </w:r>
          </w:p>
        </w:tc>
        <w:tc>
          <w:tcPr>
            <w:tcW w:w="1907" w:type="dxa"/>
            <w:noWrap w:val="0"/>
            <w:vAlign w:val="center"/>
          </w:tcPr>
          <w:p w14:paraId="17424C3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0D4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1474604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w:t>
            </w:r>
          </w:p>
        </w:tc>
        <w:tc>
          <w:tcPr>
            <w:tcW w:w="7019" w:type="dxa"/>
            <w:noWrap w:val="0"/>
            <w:vAlign w:val="center"/>
          </w:tcPr>
          <w:p w14:paraId="26DD56C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第5-104部分：传输规约 采用标准传输协议集的IEC60870-5-101网络访问》 DL/T 634.5104-2009</w:t>
            </w:r>
          </w:p>
        </w:tc>
        <w:tc>
          <w:tcPr>
            <w:tcW w:w="1907" w:type="dxa"/>
            <w:noWrap w:val="0"/>
            <w:vAlign w:val="center"/>
          </w:tcPr>
          <w:p w14:paraId="6F61CD6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A21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34826B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199</w:t>
            </w:r>
          </w:p>
        </w:tc>
        <w:tc>
          <w:tcPr>
            <w:tcW w:w="7019" w:type="dxa"/>
            <w:noWrap w:val="0"/>
            <w:vAlign w:val="center"/>
          </w:tcPr>
          <w:p w14:paraId="463C017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《中国地震动参数区划图》GB 18306-2015</w:t>
            </w:r>
          </w:p>
        </w:tc>
        <w:tc>
          <w:tcPr>
            <w:tcW w:w="1907" w:type="dxa"/>
            <w:noWrap w:val="0"/>
            <w:vAlign w:val="center"/>
          </w:tcPr>
          <w:p w14:paraId="5F335F8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3F4A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B3D37F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7019" w:type="dxa"/>
            <w:noWrap w:val="0"/>
            <w:vAlign w:val="center"/>
          </w:tcPr>
          <w:p w14:paraId="45D5352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《组合钢模板技术规范》 GB/T 50214-2013</w:t>
            </w:r>
          </w:p>
        </w:tc>
        <w:tc>
          <w:tcPr>
            <w:tcW w:w="1907" w:type="dxa"/>
            <w:noWrap w:val="0"/>
            <w:vAlign w:val="center"/>
          </w:tcPr>
          <w:p w14:paraId="7910355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C60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C1B724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p>
        </w:tc>
        <w:tc>
          <w:tcPr>
            <w:tcW w:w="7019" w:type="dxa"/>
            <w:noWrap w:val="0"/>
            <w:vAlign w:val="center"/>
          </w:tcPr>
          <w:p w14:paraId="72421ED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《电力建设工程质量监督检查典型大纲（火电、送变电部分）》（电建质监[2005]57号）</w:t>
            </w:r>
          </w:p>
        </w:tc>
        <w:tc>
          <w:tcPr>
            <w:tcW w:w="1907" w:type="dxa"/>
            <w:noWrap w:val="0"/>
            <w:vAlign w:val="center"/>
          </w:tcPr>
          <w:p w14:paraId="1CD86F8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82A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7358D3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w:t>
            </w:r>
          </w:p>
        </w:tc>
        <w:tc>
          <w:tcPr>
            <w:tcW w:w="7019" w:type="dxa"/>
            <w:noWrap w:val="0"/>
            <w:vAlign w:val="center"/>
          </w:tcPr>
          <w:p w14:paraId="25F49E2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《电力建设施工质量验收及评价规程　第1部分：土建工程》 DL/T 5210.1-2012</w:t>
            </w:r>
          </w:p>
        </w:tc>
        <w:tc>
          <w:tcPr>
            <w:tcW w:w="1907" w:type="dxa"/>
            <w:noWrap w:val="0"/>
            <w:vAlign w:val="center"/>
          </w:tcPr>
          <w:p w14:paraId="1621D72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246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9CCF6D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w:t>
            </w:r>
          </w:p>
        </w:tc>
        <w:tc>
          <w:tcPr>
            <w:tcW w:w="7019" w:type="dxa"/>
            <w:noWrap w:val="0"/>
            <w:vAlign w:val="center"/>
          </w:tcPr>
          <w:p w14:paraId="07ABAAA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50009-2012</w:t>
            </w:r>
          </w:p>
        </w:tc>
        <w:tc>
          <w:tcPr>
            <w:tcW w:w="1907" w:type="dxa"/>
            <w:noWrap w:val="0"/>
            <w:vAlign w:val="center"/>
          </w:tcPr>
          <w:p w14:paraId="76C3DD7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62E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454249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204</w:t>
            </w:r>
          </w:p>
        </w:tc>
        <w:tc>
          <w:tcPr>
            <w:tcW w:w="7019" w:type="dxa"/>
            <w:noWrap w:val="0"/>
            <w:vAlign w:val="center"/>
          </w:tcPr>
          <w:p w14:paraId="657C35E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建筑照明设计标准GB 50034-2013</w:t>
            </w:r>
          </w:p>
        </w:tc>
        <w:tc>
          <w:tcPr>
            <w:tcW w:w="1907" w:type="dxa"/>
            <w:noWrap w:val="0"/>
            <w:vAlign w:val="center"/>
          </w:tcPr>
          <w:p w14:paraId="53C86CC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29E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7FFFE7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205</w:t>
            </w:r>
          </w:p>
        </w:tc>
        <w:tc>
          <w:tcPr>
            <w:tcW w:w="7019" w:type="dxa"/>
            <w:noWrap w:val="0"/>
            <w:vAlign w:val="center"/>
          </w:tcPr>
          <w:p w14:paraId="6E9AF6D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第1部分 热轧光圆钢筋》GB 1499.1-2017</w:t>
            </w:r>
          </w:p>
        </w:tc>
        <w:tc>
          <w:tcPr>
            <w:tcW w:w="1907" w:type="dxa"/>
            <w:noWrap w:val="0"/>
            <w:vAlign w:val="center"/>
          </w:tcPr>
          <w:p w14:paraId="50E8C18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DE3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E35A93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206</w:t>
            </w:r>
          </w:p>
        </w:tc>
        <w:tc>
          <w:tcPr>
            <w:tcW w:w="7019" w:type="dxa"/>
            <w:noWrap w:val="0"/>
            <w:vAlign w:val="center"/>
          </w:tcPr>
          <w:p w14:paraId="3C4641C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第2部分 热轧带肋钢筋》GB 1499.2-2018</w:t>
            </w:r>
          </w:p>
        </w:tc>
        <w:tc>
          <w:tcPr>
            <w:tcW w:w="1907" w:type="dxa"/>
            <w:noWrap w:val="0"/>
            <w:vAlign w:val="center"/>
          </w:tcPr>
          <w:p w14:paraId="1F36010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508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64290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207</w:t>
            </w:r>
          </w:p>
        </w:tc>
        <w:tc>
          <w:tcPr>
            <w:tcW w:w="7019" w:type="dxa"/>
            <w:noWrap w:val="0"/>
            <w:vAlign w:val="center"/>
          </w:tcPr>
          <w:p w14:paraId="1A4963B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《通用硅酸盐水泥》GB 175-2007/XG2-2015</w:t>
            </w:r>
          </w:p>
        </w:tc>
        <w:tc>
          <w:tcPr>
            <w:tcW w:w="1907" w:type="dxa"/>
            <w:noWrap w:val="0"/>
            <w:vAlign w:val="center"/>
          </w:tcPr>
          <w:p w14:paraId="71A51FF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C14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FC3830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208</w:t>
            </w:r>
          </w:p>
        </w:tc>
        <w:tc>
          <w:tcPr>
            <w:tcW w:w="7019" w:type="dxa"/>
            <w:noWrap w:val="0"/>
            <w:vAlign w:val="center"/>
          </w:tcPr>
          <w:p w14:paraId="77E486E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《外墙饰面砖工程施工及验收规程》 JGJ 126-2015</w:t>
            </w:r>
          </w:p>
        </w:tc>
        <w:tc>
          <w:tcPr>
            <w:tcW w:w="1907" w:type="dxa"/>
            <w:noWrap w:val="0"/>
            <w:vAlign w:val="center"/>
          </w:tcPr>
          <w:p w14:paraId="19AC28F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E24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E1021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209</w:t>
            </w:r>
          </w:p>
        </w:tc>
        <w:tc>
          <w:tcPr>
            <w:tcW w:w="7019" w:type="dxa"/>
            <w:noWrap w:val="0"/>
            <w:vAlign w:val="center"/>
          </w:tcPr>
          <w:p w14:paraId="7B936D1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《水工混凝土施工规范》 DL/T 5144-2015</w:t>
            </w:r>
          </w:p>
        </w:tc>
        <w:tc>
          <w:tcPr>
            <w:tcW w:w="1907" w:type="dxa"/>
            <w:noWrap w:val="0"/>
            <w:vAlign w:val="center"/>
          </w:tcPr>
          <w:p w14:paraId="734D92E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117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C02AF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7019" w:type="dxa"/>
            <w:noWrap w:val="0"/>
            <w:vAlign w:val="center"/>
          </w:tcPr>
          <w:p w14:paraId="0B042D0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《现场绝缘试验实施导则》DL/T 474.1～4-2018</w:t>
            </w:r>
          </w:p>
        </w:tc>
        <w:tc>
          <w:tcPr>
            <w:tcW w:w="1907" w:type="dxa"/>
            <w:noWrap w:val="0"/>
            <w:vAlign w:val="center"/>
          </w:tcPr>
          <w:p w14:paraId="035D5D5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09E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261582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211</w:t>
            </w:r>
          </w:p>
        </w:tc>
        <w:tc>
          <w:tcPr>
            <w:tcW w:w="7019" w:type="dxa"/>
            <w:noWrap w:val="0"/>
            <w:vAlign w:val="center"/>
          </w:tcPr>
          <w:p w14:paraId="66EC17F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《光纤复合架空地线》 JB/T 8999-2014</w:t>
            </w:r>
          </w:p>
        </w:tc>
        <w:tc>
          <w:tcPr>
            <w:tcW w:w="1907" w:type="dxa"/>
            <w:noWrap w:val="0"/>
            <w:vAlign w:val="center"/>
          </w:tcPr>
          <w:p w14:paraId="689AA10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01A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6121C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212</w:t>
            </w:r>
          </w:p>
        </w:tc>
        <w:tc>
          <w:tcPr>
            <w:tcW w:w="7019" w:type="dxa"/>
            <w:noWrap w:val="0"/>
            <w:vAlign w:val="center"/>
          </w:tcPr>
          <w:p w14:paraId="0673B55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《电磁环境控制限值》 GB 8702-2014</w:t>
            </w:r>
          </w:p>
        </w:tc>
        <w:tc>
          <w:tcPr>
            <w:tcW w:w="1907" w:type="dxa"/>
            <w:noWrap w:val="0"/>
            <w:vAlign w:val="center"/>
          </w:tcPr>
          <w:p w14:paraId="40342AF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E00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DAC6EA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213</w:t>
            </w:r>
          </w:p>
        </w:tc>
        <w:tc>
          <w:tcPr>
            <w:tcW w:w="7019" w:type="dxa"/>
            <w:noWrap w:val="0"/>
            <w:vAlign w:val="center"/>
          </w:tcPr>
          <w:p w14:paraId="3741B84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工程量清单计价规范-输电线路工程》 DL/T 5205-2016</w:t>
            </w:r>
          </w:p>
        </w:tc>
        <w:tc>
          <w:tcPr>
            <w:tcW w:w="1907" w:type="dxa"/>
            <w:noWrap w:val="0"/>
            <w:vAlign w:val="center"/>
          </w:tcPr>
          <w:p w14:paraId="1E89ED6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48B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3117A7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214</w:t>
            </w:r>
          </w:p>
        </w:tc>
        <w:tc>
          <w:tcPr>
            <w:tcW w:w="7019" w:type="dxa"/>
            <w:noWrap w:val="0"/>
            <w:vAlign w:val="center"/>
          </w:tcPr>
          <w:p w14:paraId="101C4A0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工程量清单计价规范-变电工程》 DL/T 5341-2016</w:t>
            </w:r>
          </w:p>
        </w:tc>
        <w:tc>
          <w:tcPr>
            <w:tcW w:w="1907" w:type="dxa"/>
            <w:noWrap w:val="0"/>
            <w:vAlign w:val="center"/>
          </w:tcPr>
          <w:p w14:paraId="6EA72BD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F10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03E4DC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215</w:t>
            </w:r>
          </w:p>
        </w:tc>
        <w:tc>
          <w:tcPr>
            <w:tcW w:w="7019" w:type="dxa"/>
            <w:noWrap w:val="0"/>
            <w:vAlign w:val="center"/>
          </w:tcPr>
          <w:p w14:paraId="2BCBBF0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《20kV及以下配电网工程工程量清单计算规范》DL/T 5766-2018</w:t>
            </w:r>
          </w:p>
        </w:tc>
        <w:tc>
          <w:tcPr>
            <w:tcW w:w="1907" w:type="dxa"/>
            <w:noWrap w:val="0"/>
            <w:vAlign w:val="center"/>
          </w:tcPr>
          <w:p w14:paraId="5B995F6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539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8B8E81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216</w:t>
            </w:r>
          </w:p>
        </w:tc>
        <w:tc>
          <w:tcPr>
            <w:tcW w:w="7019" w:type="dxa"/>
            <w:noWrap w:val="0"/>
            <w:vAlign w:val="center"/>
          </w:tcPr>
          <w:p w14:paraId="5EA352D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《电网工程建设预算编制与计算规定（2013年版）》（国能电力[2013]289号）</w:t>
            </w:r>
          </w:p>
        </w:tc>
        <w:tc>
          <w:tcPr>
            <w:tcW w:w="1907" w:type="dxa"/>
            <w:noWrap w:val="0"/>
            <w:vAlign w:val="center"/>
          </w:tcPr>
          <w:p w14:paraId="76FB2DA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889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A61638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217</w:t>
            </w:r>
          </w:p>
        </w:tc>
        <w:tc>
          <w:tcPr>
            <w:tcW w:w="7019" w:type="dxa"/>
            <w:noWrap w:val="0"/>
            <w:vAlign w:val="center"/>
          </w:tcPr>
          <w:p w14:paraId="15293C7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《20kV及以下配电网工程建设预算编制与计算规定》（国能电力[2017]6号）</w:t>
            </w:r>
          </w:p>
        </w:tc>
        <w:tc>
          <w:tcPr>
            <w:tcW w:w="1907" w:type="dxa"/>
            <w:noWrap w:val="0"/>
            <w:vAlign w:val="center"/>
          </w:tcPr>
          <w:p w14:paraId="3A26B47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5EA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D8E441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218</w:t>
            </w:r>
          </w:p>
        </w:tc>
        <w:tc>
          <w:tcPr>
            <w:tcW w:w="7019" w:type="dxa"/>
            <w:noWrap w:val="0"/>
            <w:vAlign w:val="center"/>
          </w:tcPr>
          <w:p w14:paraId="2645480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《国家能源局关于颁布2013版电力建设工程定额和费用计算规定的通知》（国能电力〔2013〕289号）</w:t>
            </w:r>
          </w:p>
        </w:tc>
        <w:tc>
          <w:tcPr>
            <w:tcW w:w="1907" w:type="dxa"/>
            <w:noWrap w:val="0"/>
            <w:vAlign w:val="center"/>
          </w:tcPr>
          <w:p w14:paraId="7060F13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90D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E64C77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219</w:t>
            </w:r>
          </w:p>
        </w:tc>
        <w:tc>
          <w:tcPr>
            <w:tcW w:w="7019" w:type="dxa"/>
            <w:noWrap w:val="0"/>
            <w:vAlign w:val="center"/>
          </w:tcPr>
          <w:p w14:paraId="20E69A5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《国家能源局关于颁布20千伏及以下配电网工程定额及费用标准（2016年版）的通知》（国能电力〔2017〕6号）</w:t>
            </w:r>
          </w:p>
        </w:tc>
        <w:tc>
          <w:tcPr>
            <w:tcW w:w="1907" w:type="dxa"/>
            <w:noWrap w:val="0"/>
            <w:vAlign w:val="center"/>
          </w:tcPr>
          <w:p w14:paraId="69881E9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8C2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33C533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w:t>
            </w:r>
          </w:p>
        </w:tc>
        <w:tc>
          <w:tcPr>
            <w:tcW w:w="7019" w:type="dxa"/>
            <w:noWrap w:val="0"/>
            <w:vAlign w:val="center"/>
          </w:tcPr>
          <w:p w14:paraId="69F10CF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关于落实《国家发展改革委关于进一步放开建设项目专业服务价格的通知》（发改价格[2015]299号）的指导意见（中电联定额[2015]162号文）</w:t>
            </w:r>
          </w:p>
        </w:tc>
        <w:tc>
          <w:tcPr>
            <w:tcW w:w="1907" w:type="dxa"/>
            <w:noWrap w:val="0"/>
            <w:vAlign w:val="center"/>
          </w:tcPr>
          <w:p w14:paraId="3729316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FF2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32AE8D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7019" w:type="dxa"/>
            <w:noWrap w:val="0"/>
            <w:vAlign w:val="center"/>
          </w:tcPr>
          <w:p w14:paraId="171206B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《220kV-500kV挤包固体绝缘电缆及附件试验方法要求》IEC 62067</w:t>
            </w:r>
          </w:p>
        </w:tc>
        <w:tc>
          <w:tcPr>
            <w:tcW w:w="1907" w:type="dxa"/>
            <w:noWrap w:val="0"/>
            <w:vAlign w:val="center"/>
          </w:tcPr>
          <w:p w14:paraId="0A41FB0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245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788445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7019" w:type="dxa"/>
            <w:noWrap w:val="0"/>
            <w:vAlign w:val="center"/>
          </w:tcPr>
          <w:p w14:paraId="4581AAD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《30kV-150kV挤包固体绝缘电缆及附件试验方法要求》IEC 60840</w:t>
            </w:r>
          </w:p>
        </w:tc>
        <w:tc>
          <w:tcPr>
            <w:tcW w:w="1907" w:type="dxa"/>
            <w:noWrap w:val="0"/>
            <w:vAlign w:val="center"/>
          </w:tcPr>
          <w:p w14:paraId="3B10390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EAA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7316CF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223</w:t>
            </w:r>
          </w:p>
        </w:tc>
        <w:tc>
          <w:tcPr>
            <w:tcW w:w="7019" w:type="dxa"/>
            <w:noWrap w:val="0"/>
            <w:vAlign w:val="center"/>
          </w:tcPr>
          <w:p w14:paraId="0144779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《电缆额定电流的计算》IEC 60287-1-1-2006</w:t>
            </w:r>
          </w:p>
        </w:tc>
        <w:tc>
          <w:tcPr>
            <w:tcW w:w="1907" w:type="dxa"/>
            <w:noWrap w:val="0"/>
            <w:vAlign w:val="center"/>
          </w:tcPr>
          <w:p w14:paraId="1B36E09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76F5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F25258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224</w:t>
            </w:r>
          </w:p>
        </w:tc>
        <w:tc>
          <w:tcPr>
            <w:tcW w:w="7019" w:type="dxa"/>
            <w:noWrap w:val="0"/>
            <w:vAlign w:val="center"/>
          </w:tcPr>
          <w:p w14:paraId="6B274A2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《电缆连续（100%负荷率）允许载流量计算》IEC287</w:t>
            </w:r>
          </w:p>
        </w:tc>
        <w:tc>
          <w:tcPr>
            <w:tcW w:w="1907" w:type="dxa"/>
            <w:noWrap w:val="0"/>
            <w:vAlign w:val="center"/>
          </w:tcPr>
          <w:p w14:paraId="211F512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06CB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B560E1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w:t>
            </w:r>
          </w:p>
        </w:tc>
        <w:tc>
          <w:tcPr>
            <w:tcW w:w="7019" w:type="dxa"/>
            <w:noWrap w:val="0"/>
            <w:vAlign w:val="center"/>
          </w:tcPr>
          <w:p w14:paraId="0D70239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《电缆周期性和应急额定电流计算》IEC853-2</w:t>
            </w:r>
          </w:p>
        </w:tc>
        <w:tc>
          <w:tcPr>
            <w:tcW w:w="1907" w:type="dxa"/>
            <w:noWrap w:val="0"/>
            <w:vAlign w:val="center"/>
          </w:tcPr>
          <w:p w14:paraId="649E8CD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5E9D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7DB7F6A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226</w:t>
            </w:r>
          </w:p>
        </w:tc>
        <w:tc>
          <w:tcPr>
            <w:tcW w:w="7019" w:type="dxa"/>
            <w:noWrap w:val="0"/>
            <w:vAlign w:val="center"/>
          </w:tcPr>
          <w:p w14:paraId="6DBC7EF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《220kV电力电缆》CSBTS/TC213-01</w:t>
            </w:r>
          </w:p>
        </w:tc>
        <w:tc>
          <w:tcPr>
            <w:tcW w:w="1907" w:type="dxa"/>
            <w:noWrap w:val="0"/>
            <w:vAlign w:val="center"/>
          </w:tcPr>
          <w:p w14:paraId="3FD0D94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62A1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4FC2ED4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227</w:t>
            </w:r>
          </w:p>
        </w:tc>
        <w:tc>
          <w:tcPr>
            <w:tcW w:w="7019" w:type="dxa"/>
            <w:noWrap w:val="0"/>
            <w:vAlign w:val="center"/>
          </w:tcPr>
          <w:p w14:paraId="227A9D9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《220kV电力电缆附件》CSBTS/TC213-02</w:t>
            </w:r>
          </w:p>
        </w:tc>
        <w:tc>
          <w:tcPr>
            <w:tcW w:w="1907" w:type="dxa"/>
            <w:noWrap w:val="0"/>
            <w:vAlign w:val="center"/>
          </w:tcPr>
          <w:p w14:paraId="32A9235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19DF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CDD467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228</w:t>
            </w:r>
          </w:p>
        </w:tc>
        <w:tc>
          <w:tcPr>
            <w:tcW w:w="7019" w:type="dxa"/>
            <w:noWrap w:val="0"/>
            <w:vAlign w:val="center"/>
          </w:tcPr>
          <w:p w14:paraId="5103017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《工程建设标准强制性条文》（电力工程部分）（2011版，中电联标准(2012)16号）</w:t>
            </w:r>
          </w:p>
        </w:tc>
        <w:tc>
          <w:tcPr>
            <w:tcW w:w="1907" w:type="dxa"/>
            <w:noWrap w:val="0"/>
            <w:vAlign w:val="center"/>
          </w:tcPr>
          <w:p w14:paraId="23BC004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D2E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6A32DD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229</w:t>
            </w:r>
          </w:p>
        </w:tc>
        <w:tc>
          <w:tcPr>
            <w:tcW w:w="7019" w:type="dxa"/>
            <w:noWrap w:val="0"/>
            <w:vAlign w:val="center"/>
          </w:tcPr>
          <w:p w14:paraId="3858F51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《电力建设工程施工安全监督管理办法》（国家发改委第28号令）</w:t>
            </w:r>
          </w:p>
        </w:tc>
        <w:tc>
          <w:tcPr>
            <w:tcW w:w="1907" w:type="dxa"/>
            <w:noWrap w:val="0"/>
            <w:vAlign w:val="center"/>
          </w:tcPr>
          <w:p w14:paraId="7702F25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434D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0" w:type="dxa"/>
            <w:noWrap w:val="0"/>
            <w:vAlign w:val="center"/>
          </w:tcPr>
          <w:p w14:paraId="1FAE24A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230</w:t>
            </w:r>
          </w:p>
        </w:tc>
        <w:tc>
          <w:tcPr>
            <w:tcW w:w="7019" w:type="dxa"/>
            <w:noWrap w:val="0"/>
            <w:vAlign w:val="center"/>
          </w:tcPr>
          <w:p w14:paraId="6765848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《输变电工程质量监督检查大纲》（2014版）</w:t>
            </w:r>
          </w:p>
        </w:tc>
        <w:tc>
          <w:tcPr>
            <w:tcW w:w="1907" w:type="dxa"/>
            <w:noWrap w:val="0"/>
            <w:vAlign w:val="center"/>
          </w:tcPr>
          <w:p w14:paraId="4E08739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14:paraId="261D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14:paraId="05ED3D1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b/>
                <w:bCs/>
                <w:kern w:val="0"/>
                <w:sz w:val="24"/>
                <w:szCs w:val="24"/>
              </w:rPr>
              <w:t>南方电网管理要求、企业标准</w:t>
            </w:r>
          </w:p>
        </w:tc>
      </w:tr>
      <w:tr w14:paraId="323F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14:paraId="3929C65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14:paraId="760930C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14:paraId="39389DC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F4C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5B75BE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7019" w:type="dxa"/>
            <w:noWrap w:val="0"/>
            <w:vAlign w:val="bottom"/>
          </w:tcPr>
          <w:p w14:paraId="045E5E4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《中国南方电网有限责任公司安全生产问责管理规定》</w:t>
            </w:r>
          </w:p>
        </w:tc>
        <w:tc>
          <w:tcPr>
            <w:tcW w:w="1907" w:type="dxa"/>
            <w:noWrap w:val="0"/>
            <w:vAlign w:val="bottom"/>
          </w:tcPr>
          <w:p w14:paraId="08D6B19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64D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9EF75F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233</w:t>
            </w:r>
          </w:p>
        </w:tc>
        <w:tc>
          <w:tcPr>
            <w:tcW w:w="7019" w:type="dxa"/>
            <w:noWrap w:val="0"/>
            <w:vAlign w:val="bottom"/>
          </w:tcPr>
          <w:p w14:paraId="0024A43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《中国南方电网有限责任公司电力安全工作规程》</w:t>
            </w:r>
          </w:p>
        </w:tc>
        <w:tc>
          <w:tcPr>
            <w:tcW w:w="1907" w:type="dxa"/>
            <w:noWrap w:val="0"/>
            <w:vAlign w:val="bottom"/>
          </w:tcPr>
          <w:p w14:paraId="30C06C1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CFA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603046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234</w:t>
            </w:r>
          </w:p>
        </w:tc>
        <w:tc>
          <w:tcPr>
            <w:tcW w:w="7019" w:type="dxa"/>
            <w:noWrap w:val="0"/>
            <w:vAlign w:val="bottom"/>
          </w:tcPr>
          <w:p w14:paraId="2B755F7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中国南方电网有限责任公司安全管理规定</w:t>
            </w:r>
          </w:p>
        </w:tc>
        <w:tc>
          <w:tcPr>
            <w:tcW w:w="1907" w:type="dxa"/>
            <w:noWrap w:val="0"/>
            <w:vAlign w:val="bottom"/>
          </w:tcPr>
          <w:p w14:paraId="21F51C2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3D6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C6E283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235</w:t>
            </w:r>
          </w:p>
        </w:tc>
        <w:tc>
          <w:tcPr>
            <w:tcW w:w="7019" w:type="dxa"/>
            <w:noWrap w:val="0"/>
            <w:vAlign w:val="bottom"/>
          </w:tcPr>
          <w:p w14:paraId="237F440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《中国南方电网有限责任公司安全监督工作规定》</w:t>
            </w:r>
          </w:p>
        </w:tc>
        <w:tc>
          <w:tcPr>
            <w:tcW w:w="1907" w:type="dxa"/>
            <w:noWrap w:val="0"/>
            <w:vAlign w:val="bottom"/>
          </w:tcPr>
          <w:p w14:paraId="1DC73DB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22F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40941A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236</w:t>
            </w:r>
          </w:p>
        </w:tc>
        <w:tc>
          <w:tcPr>
            <w:tcW w:w="7019" w:type="dxa"/>
            <w:noWrap w:val="0"/>
            <w:vAlign w:val="bottom"/>
          </w:tcPr>
          <w:p w14:paraId="588385E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《安全生产风险管理体系审核业务指导书》</w:t>
            </w:r>
          </w:p>
        </w:tc>
        <w:tc>
          <w:tcPr>
            <w:tcW w:w="1907" w:type="dxa"/>
            <w:noWrap w:val="0"/>
            <w:vAlign w:val="bottom"/>
          </w:tcPr>
          <w:p w14:paraId="2F6D212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431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B58709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237</w:t>
            </w:r>
          </w:p>
        </w:tc>
        <w:tc>
          <w:tcPr>
            <w:tcW w:w="7019" w:type="dxa"/>
            <w:noWrap w:val="0"/>
            <w:vAlign w:val="bottom"/>
          </w:tcPr>
          <w:p w14:paraId="64A54A9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中国南方电网有限责任公司安全工作规程考试管理业务指导书</w:t>
            </w:r>
          </w:p>
        </w:tc>
        <w:tc>
          <w:tcPr>
            <w:tcW w:w="1907" w:type="dxa"/>
            <w:noWrap w:val="0"/>
            <w:vAlign w:val="bottom"/>
          </w:tcPr>
          <w:p w14:paraId="3C4F9B1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73D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CBD3BE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238</w:t>
            </w:r>
          </w:p>
        </w:tc>
        <w:tc>
          <w:tcPr>
            <w:tcW w:w="7019" w:type="dxa"/>
            <w:noWrap w:val="0"/>
            <w:vAlign w:val="bottom"/>
          </w:tcPr>
          <w:p w14:paraId="6585430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中国南方电网有限责任公司安全生产风险管控监督业务指导书</w:t>
            </w:r>
          </w:p>
        </w:tc>
        <w:tc>
          <w:tcPr>
            <w:tcW w:w="1907" w:type="dxa"/>
            <w:noWrap w:val="0"/>
            <w:vAlign w:val="bottom"/>
          </w:tcPr>
          <w:p w14:paraId="610D7F2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7E7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1F68FE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239</w:t>
            </w:r>
          </w:p>
        </w:tc>
        <w:tc>
          <w:tcPr>
            <w:tcW w:w="7019" w:type="dxa"/>
            <w:noWrap w:val="0"/>
            <w:vAlign w:val="bottom"/>
          </w:tcPr>
          <w:p w14:paraId="15BE5B7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中国南方电网有限责任公司电力安全工器具管理业务指导书</w:t>
            </w:r>
          </w:p>
        </w:tc>
        <w:tc>
          <w:tcPr>
            <w:tcW w:w="1907" w:type="dxa"/>
            <w:noWrap w:val="0"/>
            <w:vAlign w:val="bottom"/>
          </w:tcPr>
          <w:p w14:paraId="17CAA0A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6A1E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727EC6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240</w:t>
            </w:r>
          </w:p>
        </w:tc>
        <w:tc>
          <w:tcPr>
            <w:tcW w:w="7019" w:type="dxa"/>
            <w:noWrap w:val="0"/>
            <w:vAlign w:val="bottom"/>
          </w:tcPr>
          <w:p w14:paraId="37D1B5A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中国南方电网有限责任公司隐患治理监督和安全检查业务指导书</w:t>
            </w:r>
          </w:p>
        </w:tc>
        <w:tc>
          <w:tcPr>
            <w:tcW w:w="1907" w:type="dxa"/>
            <w:noWrap w:val="0"/>
            <w:vAlign w:val="bottom"/>
          </w:tcPr>
          <w:p w14:paraId="5982835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507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066424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w:t>
            </w:r>
          </w:p>
        </w:tc>
        <w:tc>
          <w:tcPr>
            <w:tcW w:w="7019" w:type="dxa"/>
            <w:noWrap w:val="0"/>
            <w:vAlign w:val="bottom"/>
          </w:tcPr>
          <w:p w14:paraId="3D338B5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中国南方电网有限责任公司基建项目作业环境管理（5S）工作指引</w:t>
            </w:r>
          </w:p>
        </w:tc>
        <w:tc>
          <w:tcPr>
            <w:tcW w:w="1907" w:type="dxa"/>
            <w:noWrap w:val="0"/>
            <w:vAlign w:val="bottom"/>
          </w:tcPr>
          <w:p w14:paraId="12D59CF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C16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810715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w:t>
            </w:r>
          </w:p>
        </w:tc>
        <w:tc>
          <w:tcPr>
            <w:tcW w:w="7019" w:type="dxa"/>
            <w:noWrap w:val="0"/>
            <w:vAlign w:val="bottom"/>
          </w:tcPr>
          <w:p w14:paraId="41A54E1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中国南方电网有限责任公司基建项目承包商管理业务指导书</w:t>
            </w:r>
          </w:p>
        </w:tc>
        <w:tc>
          <w:tcPr>
            <w:tcW w:w="1907" w:type="dxa"/>
            <w:noWrap w:val="0"/>
            <w:vAlign w:val="bottom"/>
          </w:tcPr>
          <w:p w14:paraId="627F051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AF99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B94B28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243</w:t>
            </w:r>
          </w:p>
        </w:tc>
        <w:tc>
          <w:tcPr>
            <w:tcW w:w="7019" w:type="dxa"/>
            <w:noWrap w:val="0"/>
            <w:vAlign w:val="bottom"/>
          </w:tcPr>
          <w:p w14:paraId="7C6DD75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《中国南方电网有限责任公司基建项目达标投产及工程评优管理业务指导书》（Q/CSG433016-2015）</w:t>
            </w:r>
          </w:p>
        </w:tc>
        <w:tc>
          <w:tcPr>
            <w:tcW w:w="1907" w:type="dxa"/>
            <w:noWrap w:val="0"/>
            <w:vAlign w:val="bottom"/>
          </w:tcPr>
          <w:p w14:paraId="33760AD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279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107259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w:t>
            </w:r>
          </w:p>
        </w:tc>
        <w:tc>
          <w:tcPr>
            <w:tcW w:w="7019" w:type="dxa"/>
            <w:noWrap w:val="0"/>
            <w:vAlign w:val="bottom"/>
          </w:tcPr>
          <w:p w14:paraId="485E82B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中国南方电网有限责任公司保供电管理规定(Q/CSG210004—2014)</w:t>
            </w:r>
          </w:p>
        </w:tc>
        <w:tc>
          <w:tcPr>
            <w:tcW w:w="1907" w:type="dxa"/>
            <w:noWrap w:val="0"/>
            <w:vAlign w:val="bottom"/>
          </w:tcPr>
          <w:p w14:paraId="25D8F7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683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E42984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245</w:t>
            </w:r>
          </w:p>
        </w:tc>
        <w:tc>
          <w:tcPr>
            <w:tcW w:w="7019" w:type="dxa"/>
            <w:noWrap w:val="0"/>
            <w:vAlign w:val="bottom"/>
          </w:tcPr>
          <w:p w14:paraId="39FCFB2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中国南方电网有限责任公司应急管理规定(Q/CSG210003-2014)</w:t>
            </w:r>
          </w:p>
        </w:tc>
        <w:tc>
          <w:tcPr>
            <w:tcW w:w="1907" w:type="dxa"/>
            <w:noWrap w:val="0"/>
            <w:vAlign w:val="bottom"/>
          </w:tcPr>
          <w:p w14:paraId="7F81A52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90F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CA2627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246</w:t>
            </w:r>
          </w:p>
        </w:tc>
        <w:tc>
          <w:tcPr>
            <w:tcW w:w="7019" w:type="dxa"/>
            <w:noWrap w:val="0"/>
            <w:vAlign w:val="bottom"/>
          </w:tcPr>
          <w:p w14:paraId="7CCF2EE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中国南方电网有限责任公司应急预案与演练管理办法</w:t>
            </w:r>
          </w:p>
        </w:tc>
        <w:tc>
          <w:tcPr>
            <w:tcW w:w="1907" w:type="dxa"/>
            <w:noWrap w:val="0"/>
            <w:vAlign w:val="bottom"/>
          </w:tcPr>
          <w:p w14:paraId="14AC324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1D9B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8395FF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247</w:t>
            </w:r>
          </w:p>
        </w:tc>
        <w:tc>
          <w:tcPr>
            <w:tcW w:w="7019" w:type="dxa"/>
            <w:noWrap w:val="0"/>
            <w:vAlign w:val="bottom"/>
          </w:tcPr>
          <w:p w14:paraId="1ACFDED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中国南方电网有限责任公司应急预警与响应管理办法</w:t>
            </w:r>
          </w:p>
        </w:tc>
        <w:tc>
          <w:tcPr>
            <w:tcW w:w="1907" w:type="dxa"/>
            <w:noWrap w:val="0"/>
            <w:vAlign w:val="bottom"/>
          </w:tcPr>
          <w:p w14:paraId="422D737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E64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B3ED3A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248</w:t>
            </w:r>
          </w:p>
        </w:tc>
        <w:tc>
          <w:tcPr>
            <w:tcW w:w="7019" w:type="dxa"/>
            <w:noWrap w:val="0"/>
            <w:vAlign w:val="bottom"/>
          </w:tcPr>
          <w:p w14:paraId="523B299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中国南方电网有限责任公司配电自动化规划导则</w:t>
            </w:r>
          </w:p>
        </w:tc>
        <w:tc>
          <w:tcPr>
            <w:tcW w:w="1907" w:type="dxa"/>
            <w:noWrap w:val="0"/>
            <w:vAlign w:val="bottom"/>
          </w:tcPr>
          <w:p w14:paraId="2DE6DB5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666A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DE6347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249</w:t>
            </w:r>
          </w:p>
        </w:tc>
        <w:tc>
          <w:tcPr>
            <w:tcW w:w="7019" w:type="dxa"/>
            <w:noWrap w:val="0"/>
            <w:vAlign w:val="bottom"/>
          </w:tcPr>
          <w:p w14:paraId="57172DC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《南方电网公司基建项目造价信息化规约（电网工程部分）》（基建[2013]50号）</w:t>
            </w:r>
          </w:p>
        </w:tc>
        <w:tc>
          <w:tcPr>
            <w:tcW w:w="1907" w:type="dxa"/>
            <w:noWrap w:val="0"/>
            <w:vAlign w:val="bottom"/>
          </w:tcPr>
          <w:p w14:paraId="5A5ECE0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09CF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168F99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w:t>
            </w:r>
          </w:p>
        </w:tc>
        <w:tc>
          <w:tcPr>
            <w:tcW w:w="7019" w:type="dxa"/>
            <w:noWrap w:val="0"/>
            <w:vAlign w:val="bottom"/>
          </w:tcPr>
          <w:p w14:paraId="26832FA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《南方电网公司基建项目造价信息化规约（2013）》（南方电网基建[2014]60号）</w:t>
            </w:r>
          </w:p>
        </w:tc>
        <w:tc>
          <w:tcPr>
            <w:tcW w:w="1907" w:type="dxa"/>
            <w:noWrap w:val="0"/>
            <w:vAlign w:val="bottom"/>
          </w:tcPr>
          <w:p w14:paraId="1C170C0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186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A13BAC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7019" w:type="dxa"/>
            <w:noWrap w:val="0"/>
            <w:vAlign w:val="bottom"/>
          </w:tcPr>
          <w:p w14:paraId="5DAED9A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《基建前期继电保护相关技术问题专题会会议纪要》（系统[2012]第56期）</w:t>
            </w:r>
          </w:p>
        </w:tc>
        <w:tc>
          <w:tcPr>
            <w:tcW w:w="1907" w:type="dxa"/>
            <w:noWrap w:val="0"/>
            <w:vAlign w:val="bottom"/>
          </w:tcPr>
          <w:p w14:paraId="05D4BC9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0CB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EC7951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252</w:t>
            </w:r>
          </w:p>
        </w:tc>
        <w:tc>
          <w:tcPr>
            <w:tcW w:w="7019" w:type="dxa"/>
            <w:noWrap w:val="0"/>
            <w:vAlign w:val="bottom"/>
          </w:tcPr>
          <w:p w14:paraId="50F3F46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《转发中国电力企业联合会关于落实进一步放开建设项目专业服务价格指导意见的通知》（南方电网定额〔2015〕12号）</w:t>
            </w:r>
          </w:p>
        </w:tc>
        <w:tc>
          <w:tcPr>
            <w:tcW w:w="1907" w:type="dxa"/>
            <w:noWrap w:val="0"/>
            <w:vAlign w:val="bottom"/>
          </w:tcPr>
          <w:p w14:paraId="581C8EA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6AA55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0051A1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253</w:t>
            </w:r>
          </w:p>
        </w:tc>
        <w:tc>
          <w:tcPr>
            <w:tcW w:w="7019" w:type="dxa"/>
            <w:noWrap w:val="0"/>
            <w:vAlign w:val="bottom"/>
          </w:tcPr>
          <w:p w14:paraId="1C45B238">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公司基建工程质量控制（WHS）标准（2017年版）</w:t>
            </w:r>
          </w:p>
        </w:tc>
        <w:tc>
          <w:tcPr>
            <w:tcW w:w="1907" w:type="dxa"/>
            <w:noWrap w:val="0"/>
            <w:vAlign w:val="bottom"/>
          </w:tcPr>
          <w:p w14:paraId="0380BF4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7168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EB05D4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254</w:t>
            </w:r>
          </w:p>
        </w:tc>
        <w:tc>
          <w:tcPr>
            <w:tcW w:w="7019" w:type="dxa"/>
            <w:noWrap w:val="0"/>
            <w:vAlign w:val="bottom"/>
          </w:tcPr>
          <w:p w14:paraId="0D3D61B9">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中国南方电网有限责任公司基建管理规定</w:t>
            </w:r>
          </w:p>
        </w:tc>
        <w:tc>
          <w:tcPr>
            <w:tcW w:w="1907" w:type="dxa"/>
            <w:noWrap w:val="0"/>
            <w:vAlign w:val="bottom"/>
          </w:tcPr>
          <w:p w14:paraId="4AE2C3A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B62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C7D009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w:t>
            </w:r>
          </w:p>
        </w:tc>
        <w:tc>
          <w:tcPr>
            <w:tcW w:w="7019" w:type="dxa"/>
            <w:noWrap w:val="0"/>
            <w:vAlign w:val="bottom"/>
          </w:tcPr>
          <w:p w14:paraId="13414CA5">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中国南方电网有限责任公司投资管理规定</w:t>
            </w:r>
          </w:p>
        </w:tc>
        <w:tc>
          <w:tcPr>
            <w:tcW w:w="1907" w:type="dxa"/>
            <w:noWrap w:val="0"/>
            <w:vAlign w:val="bottom"/>
          </w:tcPr>
          <w:p w14:paraId="1F9B4C0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51D2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BA1650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256</w:t>
            </w:r>
          </w:p>
        </w:tc>
        <w:tc>
          <w:tcPr>
            <w:tcW w:w="7019" w:type="dxa"/>
            <w:noWrap w:val="0"/>
            <w:vAlign w:val="bottom"/>
          </w:tcPr>
          <w:p w14:paraId="6631290B">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中国南方电网有限责任公司采购计划与需求管理办法(2017)(修订)</w:t>
            </w:r>
          </w:p>
        </w:tc>
        <w:tc>
          <w:tcPr>
            <w:tcW w:w="1907" w:type="dxa"/>
            <w:noWrap w:val="0"/>
            <w:vAlign w:val="bottom"/>
          </w:tcPr>
          <w:p w14:paraId="79F5881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E73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94AFFB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257</w:t>
            </w:r>
          </w:p>
        </w:tc>
        <w:tc>
          <w:tcPr>
            <w:tcW w:w="7019" w:type="dxa"/>
            <w:noWrap w:val="0"/>
            <w:vAlign w:val="bottom"/>
          </w:tcPr>
          <w:p w14:paraId="30F77DE4">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中国南方电网有限责任公司仓储配送管理办法（2017）(修订)</w:t>
            </w:r>
          </w:p>
        </w:tc>
        <w:tc>
          <w:tcPr>
            <w:tcW w:w="1907" w:type="dxa"/>
            <w:noWrap w:val="0"/>
            <w:vAlign w:val="bottom"/>
          </w:tcPr>
          <w:p w14:paraId="42FD33C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768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D0E710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258</w:t>
            </w:r>
          </w:p>
        </w:tc>
        <w:tc>
          <w:tcPr>
            <w:tcW w:w="7019" w:type="dxa"/>
            <w:noWrap w:val="0"/>
            <w:vAlign w:val="bottom"/>
          </w:tcPr>
          <w:p w14:paraId="0F89080A">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中国南方电网有限责任公司电力行业统计管理办法(修订)</w:t>
            </w:r>
          </w:p>
        </w:tc>
        <w:tc>
          <w:tcPr>
            <w:tcW w:w="1907" w:type="dxa"/>
            <w:noWrap w:val="0"/>
            <w:vAlign w:val="bottom"/>
          </w:tcPr>
          <w:p w14:paraId="0D8A19E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ECC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6C9D76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259</w:t>
            </w:r>
          </w:p>
        </w:tc>
        <w:tc>
          <w:tcPr>
            <w:tcW w:w="7019" w:type="dxa"/>
            <w:noWrap w:val="0"/>
            <w:vAlign w:val="bottom"/>
          </w:tcPr>
          <w:p w14:paraId="70874FDC">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中国南方电网有限责任公司非招标采购方式管理办法(2017)(修订)</w:t>
            </w:r>
          </w:p>
        </w:tc>
        <w:tc>
          <w:tcPr>
            <w:tcW w:w="1907" w:type="dxa"/>
            <w:noWrap w:val="0"/>
            <w:vAlign w:val="bottom"/>
          </w:tcPr>
          <w:p w14:paraId="51CF44C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DA1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376997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260</w:t>
            </w:r>
          </w:p>
        </w:tc>
        <w:tc>
          <w:tcPr>
            <w:tcW w:w="7019" w:type="dxa"/>
            <w:noWrap w:val="0"/>
            <w:vAlign w:val="bottom"/>
          </w:tcPr>
          <w:p w14:paraId="19E8356A">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中国南方电网有限责任公司工程交接验收管理办法</w:t>
            </w:r>
          </w:p>
        </w:tc>
        <w:tc>
          <w:tcPr>
            <w:tcW w:w="1907" w:type="dxa"/>
            <w:noWrap w:val="0"/>
            <w:vAlign w:val="bottom"/>
          </w:tcPr>
          <w:p w14:paraId="47F5AE3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47F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63E423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261</w:t>
            </w:r>
          </w:p>
        </w:tc>
        <w:tc>
          <w:tcPr>
            <w:tcW w:w="7019" w:type="dxa"/>
            <w:noWrap w:val="0"/>
            <w:vAlign w:val="bottom"/>
          </w:tcPr>
          <w:p w14:paraId="1449802E">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中国南方电网有限责任公司供货商扣分处罚实施细则</w:t>
            </w:r>
          </w:p>
        </w:tc>
        <w:tc>
          <w:tcPr>
            <w:tcW w:w="1907" w:type="dxa"/>
            <w:noWrap w:val="0"/>
            <w:vAlign w:val="bottom"/>
          </w:tcPr>
          <w:p w14:paraId="29F795B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741A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615641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262</w:t>
            </w:r>
          </w:p>
        </w:tc>
        <w:tc>
          <w:tcPr>
            <w:tcW w:w="7019" w:type="dxa"/>
            <w:noWrap w:val="0"/>
            <w:vAlign w:val="bottom"/>
          </w:tcPr>
          <w:p w14:paraId="3DE9B210">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中国南方电网有限责任公司供应商管理办法(2017)(修订)</w:t>
            </w:r>
          </w:p>
        </w:tc>
        <w:tc>
          <w:tcPr>
            <w:tcW w:w="1907" w:type="dxa"/>
            <w:noWrap w:val="0"/>
            <w:vAlign w:val="bottom"/>
          </w:tcPr>
          <w:p w14:paraId="2236FD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D2B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FD57FF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263</w:t>
            </w:r>
          </w:p>
        </w:tc>
        <w:tc>
          <w:tcPr>
            <w:tcW w:w="7019" w:type="dxa"/>
            <w:noWrap w:val="0"/>
            <w:vAlign w:val="bottom"/>
          </w:tcPr>
          <w:p w14:paraId="01CDD089">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中国南方电网有限责任公司环境保护风险监督管理办法</w:t>
            </w:r>
          </w:p>
        </w:tc>
        <w:tc>
          <w:tcPr>
            <w:tcW w:w="1907" w:type="dxa"/>
            <w:noWrap w:val="0"/>
            <w:vAlign w:val="bottom"/>
          </w:tcPr>
          <w:p w14:paraId="02CA582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42A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5F61DC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264</w:t>
            </w:r>
          </w:p>
        </w:tc>
        <w:tc>
          <w:tcPr>
            <w:tcW w:w="7019" w:type="dxa"/>
            <w:noWrap w:val="0"/>
            <w:vAlign w:val="bottom"/>
          </w:tcPr>
          <w:p w14:paraId="1177157C">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中国南方电网有限责任公司基建安全管理办法</w:t>
            </w:r>
          </w:p>
        </w:tc>
        <w:tc>
          <w:tcPr>
            <w:tcW w:w="1907" w:type="dxa"/>
            <w:noWrap w:val="0"/>
            <w:vAlign w:val="bottom"/>
          </w:tcPr>
          <w:p w14:paraId="39E3E01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6AEA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8C5A74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265</w:t>
            </w:r>
          </w:p>
        </w:tc>
        <w:tc>
          <w:tcPr>
            <w:tcW w:w="7019" w:type="dxa"/>
            <w:noWrap w:val="0"/>
            <w:vAlign w:val="bottom"/>
          </w:tcPr>
          <w:p w14:paraId="727B7EC2">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中国南方电网有限责任公司基建工程验收管理办法</w:t>
            </w:r>
          </w:p>
        </w:tc>
        <w:tc>
          <w:tcPr>
            <w:tcW w:w="1907" w:type="dxa"/>
            <w:noWrap w:val="0"/>
            <w:vAlign w:val="bottom"/>
          </w:tcPr>
          <w:p w14:paraId="2003086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E6DB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035942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266</w:t>
            </w:r>
          </w:p>
        </w:tc>
        <w:tc>
          <w:tcPr>
            <w:tcW w:w="7019" w:type="dxa"/>
            <w:noWrap w:val="0"/>
            <w:vAlign w:val="bottom"/>
          </w:tcPr>
          <w:p w14:paraId="76D402EA">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中国南方电网有限责任公司基建技术管理办法</w:t>
            </w:r>
          </w:p>
        </w:tc>
        <w:tc>
          <w:tcPr>
            <w:tcW w:w="1907" w:type="dxa"/>
            <w:noWrap w:val="0"/>
            <w:vAlign w:val="bottom"/>
          </w:tcPr>
          <w:p w14:paraId="279AE64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D70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67A9BA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267</w:t>
            </w:r>
          </w:p>
        </w:tc>
        <w:tc>
          <w:tcPr>
            <w:tcW w:w="7019" w:type="dxa"/>
            <w:noWrap w:val="0"/>
            <w:vAlign w:val="bottom"/>
          </w:tcPr>
          <w:p w14:paraId="1016626B">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中国南方电网有限责任公司基建设计管理办法</w:t>
            </w:r>
          </w:p>
        </w:tc>
        <w:tc>
          <w:tcPr>
            <w:tcW w:w="1907" w:type="dxa"/>
            <w:noWrap w:val="0"/>
            <w:vAlign w:val="bottom"/>
          </w:tcPr>
          <w:p w14:paraId="6102954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BC8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2CC039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268</w:t>
            </w:r>
          </w:p>
        </w:tc>
        <w:tc>
          <w:tcPr>
            <w:tcW w:w="7019" w:type="dxa"/>
            <w:noWrap w:val="0"/>
            <w:vAlign w:val="bottom"/>
          </w:tcPr>
          <w:p w14:paraId="6EA6E9DA">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中国南方电网有限责任公司基建项目进度管理办法</w:t>
            </w:r>
          </w:p>
        </w:tc>
        <w:tc>
          <w:tcPr>
            <w:tcW w:w="1907" w:type="dxa"/>
            <w:noWrap w:val="0"/>
            <w:vAlign w:val="bottom"/>
          </w:tcPr>
          <w:p w14:paraId="32C4911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0FE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A4F20E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269</w:t>
            </w:r>
          </w:p>
        </w:tc>
        <w:tc>
          <w:tcPr>
            <w:tcW w:w="7019" w:type="dxa"/>
            <w:noWrap w:val="0"/>
            <w:vAlign w:val="bottom"/>
          </w:tcPr>
          <w:p w14:paraId="7A1DFA2B">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中国南方电网有限责任公司基建项目投资管控业务指导书</w:t>
            </w:r>
          </w:p>
        </w:tc>
        <w:tc>
          <w:tcPr>
            <w:tcW w:w="1907" w:type="dxa"/>
            <w:noWrap w:val="0"/>
            <w:vAlign w:val="bottom"/>
          </w:tcPr>
          <w:p w14:paraId="28D1B99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7DC0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84E52F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270</w:t>
            </w:r>
          </w:p>
        </w:tc>
        <w:tc>
          <w:tcPr>
            <w:tcW w:w="7019" w:type="dxa"/>
            <w:noWrap w:val="0"/>
            <w:vAlign w:val="bottom"/>
          </w:tcPr>
          <w:p w14:paraId="5A1CB790">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中国南方电网有限责任公司基建造价管理办法</w:t>
            </w:r>
          </w:p>
        </w:tc>
        <w:tc>
          <w:tcPr>
            <w:tcW w:w="1907" w:type="dxa"/>
            <w:noWrap w:val="0"/>
            <w:vAlign w:val="bottom"/>
          </w:tcPr>
          <w:p w14:paraId="4DECED4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7AE5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684FCD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271</w:t>
            </w:r>
          </w:p>
        </w:tc>
        <w:tc>
          <w:tcPr>
            <w:tcW w:w="7019" w:type="dxa"/>
            <w:noWrap w:val="0"/>
            <w:vAlign w:val="bottom"/>
          </w:tcPr>
          <w:p w14:paraId="0FBE44A3">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中国南方电网有限责任公司基建质量管理办法</w:t>
            </w:r>
          </w:p>
        </w:tc>
        <w:tc>
          <w:tcPr>
            <w:tcW w:w="1907" w:type="dxa"/>
            <w:noWrap w:val="0"/>
            <w:vAlign w:val="bottom"/>
          </w:tcPr>
          <w:p w14:paraId="1C08854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E11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77D66F7">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272</w:t>
            </w:r>
          </w:p>
        </w:tc>
        <w:tc>
          <w:tcPr>
            <w:tcW w:w="7019" w:type="dxa"/>
            <w:noWrap w:val="0"/>
            <w:vAlign w:val="bottom"/>
          </w:tcPr>
          <w:p w14:paraId="7E0ECDF6">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中国南方电网有限责任公司技术监督管理规定</w:t>
            </w:r>
          </w:p>
        </w:tc>
        <w:tc>
          <w:tcPr>
            <w:tcW w:w="1907" w:type="dxa"/>
            <w:noWrap w:val="0"/>
            <w:vAlign w:val="bottom"/>
          </w:tcPr>
          <w:p w14:paraId="1BEAA80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BEF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808FCA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273</w:t>
            </w:r>
          </w:p>
        </w:tc>
        <w:tc>
          <w:tcPr>
            <w:tcW w:w="7019" w:type="dxa"/>
            <w:noWrap w:val="0"/>
            <w:vAlign w:val="bottom"/>
          </w:tcPr>
          <w:p w14:paraId="1E6DD604">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中国南方电网有限责任公司生产设备选型管理办法</w:t>
            </w:r>
          </w:p>
        </w:tc>
        <w:tc>
          <w:tcPr>
            <w:tcW w:w="1907" w:type="dxa"/>
            <w:noWrap w:val="0"/>
            <w:vAlign w:val="bottom"/>
          </w:tcPr>
          <w:p w14:paraId="0BDC982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256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4D98BE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274</w:t>
            </w:r>
          </w:p>
        </w:tc>
        <w:tc>
          <w:tcPr>
            <w:tcW w:w="7019" w:type="dxa"/>
            <w:noWrap w:val="0"/>
            <w:vAlign w:val="bottom"/>
          </w:tcPr>
          <w:p w14:paraId="4A0582E2">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中国南方电网有限责任公司新技术推广应用管理规定</w:t>
            </w:r>
          </w:p>
        </w:tc>
        <w:tc>
          <w:tcPr>
            <w:tcW w:w="1907" w:type="dxa"/>
            <w:noWrap w:val="0"/>
            <w:vAlign w:val="bottom"/>
          </w:tcPr>
          <w:p w14:paraId="0501ED9E">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30D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502CDD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275</w:t>
            </w:r>
          </w:p>
        </w:tc>
        <w:tc>
          <w:tcPr>
            <w:tcW w:w="7019" w:type="dxa"/>
            <w:noWrap w:val="0"/>
            <w:vAlign w:val="bottom"/>
          </w:tcPr>
          <w:p w14:paraId="4B0B4CCB">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中国南方电网有限责任公司招标管理规定(2017)(修订)</w:t>
            </w:r>
          </w:p>
        </w:tc>
        <w:tc>
          <w:tcPr>
            <w:tcW w:w="1907" w:type="dxa"/>
            <w:noWrap w:val="0"/>
            <w:vAlign w:val="bottom"/>
          </w:tcPr>
          <w:p w14:paraId="74B20DA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1962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D8EE6BF">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276</w:t>
            </w:r>
          </w:p>
        </w:tc>
        <w:tc>
          <w:tcPr>
            <w:tcW w:w="7019" w:type="dxa"/>
            <w:noWrap w:val="0"/>
            <w:vAlign w:val="bottom"/>
          </w:tcPr>
          <w:p w14:paraId="7EE9E52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关于印发工程领域违法转分包专项治理措施的通知（南方电网基建[2019]18号）</w:t>
            </w:r>
          </w:p>
        </w:tc>
        <w:tc>
          <w:tcPr>
            <w:tcW w:w="1907" w:type="dxa"/>
            <w:noWrap w:val="0"/>
            <w:vAlign w:val="bottom"/>
          </w:tcPr>
          <w:p w14:paraId="6FBC53A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3E0B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769B4F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277</w:t>
            </w:r>
          </w:p>
        </w:tc>
        <w:tc>
          <w:tcPr>
            <w:tcW w:w="7019" w:type="dxa"/>
            <w:noWrap w:val="0"/>
            <w:vAlign w:val="bottom"/>
          </w:tcPr>
          <w:p w14:paraId="2169E4EB">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中国南方电网有限责任公司基建工程监理工作典型表式（2015年版）</w:t>
            </w:r>
          </w:p>
        </w:tc>
        <w:tc>
          <w:tcPr>
            <w:tcW w:w="1907" w:type="dxa"/>
            <w:noWrap w:val="0"/>
            <w:vAlign w:val="bottom"/>
          </w:tcPr>
          <w:p w14:paraId="0BA4F69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2464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E19CC7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278</w:t>
            </w:r>
          </w:p>
        </w:tc>
        <w:tc>
          <w:tcPr>
            <w:tcW w:w="7019" w:type="dxa"/>
            <w:noWrap w:val="0"/>
            <w:vAlign w:val="bottom"/>
          </w:tcPr>
          <w:p w14:paraId="28896960">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中国南方电网有限责任公司监理项目部工作手册</w:t>
            </w:r>
          </w:p>
        </w:tc>
        <w:tc>
          <w:tcPr>
            <w:tcW w:w="1907" w:type="dxa"/>
            <w:noWrap w:val="0"/>
            <w:vAlign w:val="bottom"/>
          </w:tcPr>
          <w:p w14:paraId="2A6346B6">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B3B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B9D2AF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279</w:t>
            </w:r>
          </w:p>
        </w:tc>
        <w:tc>
          <w:tcPr>
            <w:tcW w:w="7019" w:type="dxa"/>
            <w:noWrap w:val="0"/>
            <w:vAlign w:val="center"/>
          </w:tcPr>
          <w:p w14:paraId="70326AF0">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bookmarkStart w:id="24" w:name="RANGE!B287"/>
            <w:r>
              <w:rPr>
                <w:rFonts w:hint="eastAsia" w:ascii="宋体" w:hAnsi="宋体" w:eastAsia="宋体" w:cs="宋体"/>
                <w:color w:val="000000"/>
                <w:kern w:val="0"/>
                <w:sz w:val="24"/>
                <w:szCs w:val="24"/>
              </w:rPr>
              <w:t>中国南方电网有限责任公司基建承包商违章扣分实施指南（2019版）</w:t>
            </w:r>
            <w:bookmarkEnd w:id="24"/>
          </w:p>
        </w:tc>
        <w:tc>
          <w:tcPr>
            <w:tcW w:w="1907" w:type="dxa"/>
            <w:noWrap w:val="0"/>
            <w:vAlign w:val="bottom"/>
          </w:tcPr>
          <w:p w14:paraId="5CFF25D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1A9D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B12127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280</w:t>
            </w:r>
          </w:p>
        </w:tc>
        <w:tc>
          <w:tcPr>
            <w:tcW w:w="7019" w:type="dxa"/>
            <w:noWrap w:val="0"/>
            <w:vAlign w:val="center"/>
          </w:tcPr>
          <w:p w14:paraId="432B6F06">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中国南方电网有限责任公司基建项目承包商评价标准</w:t>
            </w:r>
          </w:p>
        </w:tc>
        <w:tc>
          <w:tcPr>
            <w:tcW w:w="1907" w:type="dxa"/>
            <w:noWrap w:val="0"/>
            <w:vAlign w:val="bottom"/>
          </w:tcPr>
          <w:p w14:paraId="1637224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60E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D0C246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281</w:t>
            </w:r>
          </w:p>
        </w:tc>
        <w:tc>
          <w:tcPr>
            <w:tcW w:w="7019" w:type="dxa"/>
            <w:noWrap w:val="0"/>
            <w:vAlign w:val="center"/>
          </w:tcPr>
          <w:p w14:paraId="1F4960C9">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《中国南方电网有限责任公司工程项目质量保证金管理工作指引》（南方电网基建〔2019〕10号）</w:t>
            </w:r>
          </w:p>
        </w:tc>
        <w:tc>
          <w:tcPr>
            <w:tcW w:w="1907" w:type="dxa"/>
            <w:noWrap w:val="0"/>
            <w:vAlign w:val="bottom"/>
          </w:tcPr>
          <w:p w14:paraId="1B97E94C">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4BFF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7ED693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282</w:t>
            </w:r>
          </w:p>
        </w:tc>
        <w:tc>
          <w:tcPr>
            <w:tcW w:w="7019" w:type="dxa"/>
            <w:noWrap w:val="0"/>
            <w:vAlign w:val="bottom"/>
          </w:tcPr>
          <w:p w14:paraId="5D1A1FB6">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《中国南方电网有限责任公司设备缺陷定级标准》（基建分册）、《中国南方电网有限责任公司缺陷标准库》（基建分册）</w:t>
            </w:r>
          </w:p>
        </w:tc>
        <w:tc>
          <w:tcPr>
            <w:tcW w:w="1907" w:type="dxa"/>
            <w:noWrap w:val="0"/>
            <w:vAlign w:val="bottom"/>
          </w:tcPr>
          <w:p w14:paraId="20498E26">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5A0B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878382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283</w:t>
            </w:r>
          </w:p>
        </w:tc>
        <w:tc>
          <w:tcPr>
            <w:tcW w:w="7019" w:type="dxa"/>
            <w:noWrap w:val="0"/>
            <w:vAlign w:val="bottom"/>
          </w:tcPr>
          <w:p w14:paraId="7FE87B4E">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《南方电网公司基建项目造价信息化规约（20kV及以下配网工程2016定额版）》（基建〔2017〕46号）</w:t>
            </w:r>
          </w:p>
        </w:tc>
        <w:tc>
          <w:tcPr>
            <w:tcW w:w="1907" w:type="dxa"/>
            <w:noWrap w:val="0"/>
            <w:vAlign w:val="bottom"/>
          </w:tcPr>
          <w:p w14:paraId="6C0A952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14:paraId="0204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B32028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284</w:t>
            </w:r>
          </w:p>
        </w:tc>
        <w:tc>
          <w:tcPr>
            <w:tcW w:w="7019" w:type="dxa"/>
            <w:noWrap w:val="0"/>
            <w:vAlign w:val="bottom"/>
          </w:tcPr>
          <w:p w14:paraId="455E0851">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《南方电网公司技术标准体系表（2019版）》</w:t>
            </w:r>
          </w:p>
        </w:tc>
        <w:tc>
          <w:tcPr>
            <w:tcW w:w="1907" w:type="dxa"/>
            <w:noWrap w:val="0"/>
            <w:vAlign w:val="bottom"/>
          </w:tcPr>
          <w:p w14:paraId="0E54796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南方电网企业标准</w:t>
            </w:r>
          </w:p>
        </w:tc>
      </w:tr>
    </w:tbl>
    <w:p w14:paraId="3ACF46EA">
      <w:pPr>
        <w:widowControl/>
        <w:kinsoku/>
        <w:wordWrap/>
        <w:overflowPunct/>
        <w:topLinePunct w:val="0"/>
        <w:autoSpaceDE w:val="0"/>
        <w:autoSpaceDN w:val="0"/>
        <w:bidi w:val="0"/>
        <w:adjustRightInd w:val="0"/>
        <w:spacing w:before="64" w:line="540" w:lineRule="exact"/>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以上所列的主要技术标准和规范，如未能达到国际和国内最新标准时，投标方应使用符合最近的国际、国内标准，并提供采用的标准、规范和所应用的最新版本的有关技术依据资料。</w:t>
      </w:r>
    </w:p>
    <w:p w14:paraId="0F488E95">
      <w:pPr>
        <w:pStyle w:val="22"/>
        <w:kinsoku/>
        <w:wordWrap/>
        <w:overflowPunct/>
        <w:topLinePunct w:val="0"/>
        <w:bidi w:val="0"/>
        <w:spacing w:line="540" w:lineRule="exact"/>
        <w:jc w:val="center"/>
        <w:rPr>
          <w:rFonts w:hint="eastAsia" w:ascii="宋体" w:hAnsi="宋体" w:eastAsia="宋体" w:cs="宋体"/>
          <w:sz w:val="24"/>
          <w:szCs w:val="24"/>
        </w:rPr>
      </w:pPr>
    </w:p>
    <w:p w14:paraId="531E4625">
      <w:pPr>
        <w:pStyle w:val="22"/>
        <w:kinsoku/>
        <w:wordWrap/>
        <w:overflowPunct/>
        <w:topLinePunct w:val="0"/>
        <w:bidi w:val="0"/>
        <w:spacing w:line="540" w:lineRule="exact"/>
        <w:jc w:val="center"/>
        <w:rPr>
          <w:rFonts w:hint="eastAsia" w:ascii="宋体" w:hAnsi="宋体" w:eastAsia="宋体" w:cs="宋体"/>
          <w:sz w:val="24"/>
          <w:szCs w:val="24"/>
        </w:rPr>
      </w:pPr>
    </w:p>
    <w:p w14:paraId="18358281">
      <w:pPr>
        <w:kinsoku/>
        <w:wordWrap/>
        <w:overflowPunct/>
        <w:topLinePunct w:val="0"/>
        <w:bidi w:val="0"/>
        <w:spacing w:line="540" w:lineRule="exact"/>
        <w:rPr>
          <w:rFonts w:hint="eastAsia" w:ascii="宋体" w:hAnsi="宋体" w:eastAsia="宋体" w:cs="宋体"/>
          <w:sz w:val="24"/>
          <w:szCs w:val="24"/>
        </w:rPr>
      </w:pPr>
    </w:p>
    <w:p w14:paraId="6814AA7A">
      <w:pPr>
        <w:kinsoku/>
        <w:wordWrap/>
        <w:overflowPunct/>
        <w:topLinePunct w:val="0"/>
        <w:bidi w:val="0"/>
        <w:spacing w:line="540" w:lineRule="exact"/>
        <w:rPr>
          <w:rFonts w:hint="eastAsia" w:ascii="宋体" w:hAnsi="宋体" w:eastAsia="宋体" w:cs="宋体"/>
          <w:sz w:val="24"/>
          <w:szCs w:val="24"/>
        </w:rPr>
      </w:pPr>
    </w:p>
    <w:p w14:paraId="7681DF72">
      <w:pPr>
        <w:widowControl/>
        <w:kinsoku/>
        <w:wordWrap/>
        <w:overflowPunct/>
        <w:topLinePunct w:val="0"/>
        <w:bidi w:val="0"/>
        <w:spacing w:line="540" w:lineRule="exact"/>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附件十三  施工单位功能应用要求（主网）</w:t>
      </w:r>
    </w:p>
    <w:tbl>
      <w:tblPr>
        <w:tblStyle w:val="41"/>
        <w:tblW w:w="0" w:type="auto"/>
        <w:tblInd w:w="93" w:type="dxa"/>
        <w:tblLayout w:type="fixed"/>
        <w:tblCellMar>
          <w:top w:w="0" w:type="dxa"/>
          <w:left w:w="108" w:type="dxa"/>
          <w:bottom w:w="0" w:type="dxa"/>
          <w:right w:w="108" w:type="dxa"/>
        </w:tblCellMar>
      </w:tblPr>
      <w:tblGrid>
        <w:gridCol w:w="694"/>
        <w:gridCol w:w="1030"/>
        <w:gridCol w:w="1866"/>
        <w:gridCol w:w="2144"/>
        <w:gridCol w:w="1958"/>
        <w:gridCol w:w="1608"/>
      </w:tblGrid>
      <w:tr w14:paraId="2D8F2DF9">
        <w:tblPrEx>
          <w:tblCellMar>
            <w:top w:w="0" w:type="dxa"/>
            <w:left w:w="108" w:type="dxa"/>
            <w:bottom w:w="0" w:type="dxa"/>
            <w:right w:w="108" w:type="dxa"/>
          </w:tblCellMar>
        </w:tblPrEx>
        <w:trPr>
          <w:trHeight w:val="670" w:hRule="atLeast"/>
          <w:tblHeader/>
        </w:trPr>
        <w:tc>
          <w:tcPr>
            <w:tcW w:w="694" w:type="dxa"/>
            <w:tcBorders>
              <w:top w:val="single" w:color="auto" w:sz="4" w:space="0"/>
              <w:left w:val="single" w:color="auto" w:sz="4" w:space="0"/>
              <w:bottom w:val="single" w:color="auto" w:sz="4" w:space="0"/>
              <w:right w:val="single" w:color="auto" w:sz="4" w:space="0"/>
            </w:tcBorders>
            <w:noWrap w:val="0"/>
            <w:vAlign w:val="center"/>
          </w:tcPr>
          <w:p w14:paraId="0906D58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编号</w:t>
            </w:r>
          </w:p>
        </w:tc>
        <w:tc>
          <w:tcPr>
            <w:tcW w:w="1030" w:type="dxa"/>
            <w:tcBorders>
              <w:top w:val="single" w:color="auto" w:sz="4" w:space="0"/>
              <w:left w:val="nil"/>
              <w:bottom w:val="single" w:color="auto" w:sz="4" w:space="0"/>
              <w:right w:val="single" w:color="auto" w:sz="4" w:space="0"/>
            </w:tcBorders>
            <w:noWrap w:val="0"/>
            <w:vAlign w:val="center"/>
          </w:tcPr>
          <w:p w14:paraId="0DE8935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主/配网</w:t>
            </w:r>
          </w:p>
        </w:tc>
        <w:tc>
          <w:tcPr>
            <w:tcW w:w="1866" w:type="dxa"/>
            <w:tcBorders>
              <w:top w:val="single" w:color="auto" w:sz="4" w:space="0"/>
              <w:left w:val="nil"/>
              <w:bottom w:val="single" w:color="auto" w:sz="4" w:space="0"/>
              <w:right w:val="single" w:color="auto" w:sz="4" w:space="0"/>
            </w:tcBorders>
            <w:noWrap w:val="0"/>
            <w:vAlign w:val="center"/>
          </w:tcPr>
          <w:p w14:paraId="33F69CB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功能名称</w:t>
            </w:r>
          </w:p>
        </w:tc>
        <w:tc>
          <w:tcPr>
            <w:tcW w:w="2144" w:type="dxa"/>
            <w:tcBorders>
              <w:top w:val="single" w:color="auto" w:sz="4" w:space="0"/>
              <w:left w:val="nil"/>
              <w:bottom w:val="single" w:color="auto" w:sz="4" w:space="0"/>
              <w:right w:val="single" w:color="auto" w:sz="4" w:space="0"/>
            </w:tcBorders>
            <w:noWrap w:val="0"/>
            <w:vAlign w:val="center"/>
          </w:tcPr>
          <w:p w14:paraId="05837AA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需操作内容</w:t>
            </w:r>
          </w:p>
        </w:tc>
        <w:tc>
          <w:tcPr>
            <w:tcW w:w="1958" w:type="dxa"/>
            <w:tcBorders>
              <w:top w:val="single" w:color="auto" w:sz="4" w:space="0"/>
              <w:left w:val="nil"/>
              <w:bottom w:val="single" w:color="auto" w:sz="4" w:space="0"/>
              <w:right w:val="single" w:color="auto" w:sz="4" w:space="0"/>
            </w:tcBorders>
            <w:noWrap w:val="0"/>
            <w:vAlign w:val="center"/>
          </w:tcPr>
          <w:p w14:paraId="159F943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录入时间要求</w:t>
            </w:r>
          </w:p>
        </w:tc>
        <w:tc>
          <w:tcPr>
            <w:tcW w:w="1608" w:type="dxa"/>
            <w:tcBorders>
              <w:top w:val="single" w:color="auto" w:sz="4" w:space="0"/>
              <w:left w:val="nil"/>
              <w:bottom w:val="single" w:color="auto" w:sz="4" w:space="0"/>
              <w:right w:val="single" w:color="auto" w:sz="4" w:space="0"/>
            </w:tcBorders>
            <w:noWrap w:val="0"/>
            <w:vAlign w:val="center"/>
          </w:tcPr>
          <w:p w14:paraId="66A7332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录入质量</w:t>
            </w:r>
          </w:p>
        </w:tc>
      </w:tr>
      <w:tr w14:paraId="3E0070D6">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4B43F769">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4520043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6A9A959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进度计划编制</w:t>
            </w:r>
          </w:p>
        </w:tc>
        <w:tc>
          <w:tcPr>
            <w:tcW w:w="2144" w:type="dxa"/>
            <w:tcBorders>
              <w:top w:val="nil"/>
              <w:left w:val="nil"/>
              <w:bottom w:val="single" w:color="auto" w:sz="4" w:space="0"/>
              <w:right w:val="single" w:color="auto" w:sz="4" w:space="0"/>
            </w:tcBorders>
            <w:noWrap w:val="0"/>
            <w:vAlign w:val="center"/>
          </w:tcPr>
          <w:p w14:paraId="5AA578A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三级进度计划编制</w:t>
            </w:r>
          </w:p>
        </w:tc>
        <w:tc>
          <w:tcPr>
            <w:tcW w:w="1958" w:type="dxa"/>
            <w:tcBorders>
              <w:top w:val="nil"/>
              <w:left w:val="nil"/>
              <w:bottom w:val="single" w:color="auto" w:sz="4" w:space="0"/>
              <w:right w:val="single" w:color="auto" w:sz="4" w:space="0"/>
            </w:tcBorders>
            <w:noWrap w:val="0"/>
            <w:vAlign w:val="center"/>
          </w:tcPr>
          <w:p w14:paraId="373E5B3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二级进度计划下达后一周内</w:t>
            </w:r>
          </w:p>
        </w:tc>
        <w:tc>
          <w:tcPr>
            <w:tcW w:w="1608" w:type="dxa"/>
            <w:tcBorders>
              <w:top w:val="nil"/>
              <w:left w:val="nil"/>
              <w:bottom w:val="single" w:color="auto" w:sz="4" w:space="0"/>
              <w:right w:val="single" w:color="auto" w:sz="4" w:space="0"/>
            </w:tcBorders>
            <w:noWrap w:val="0"/>
            <w:vAlign w:val="center"/>
          </w:tcPr>
          <w:p w14:paraId="486D5E4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与合同签订的施工范围相符</w:t>
            </w:r>
          </w:p>
        </w:tc>
      </w:tr>
      <w:tr w14:paraId="702EE7FB">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161337BA">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43CFFB11">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0920D5E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进度计划跟踪</w:t>
            </w:r>
          </w:p>
        </w:tc>
        <w:tc>
          <w:tcPr>
            <w:tcW w:w="2144" w:type="dxa"/>
            <w:tcBorders>
              <w:top w:val="nil"/>
              <w:left w:val="nil"/>
              <w:bottom w:val="single" w:color="auto" w:sz="4" w:space="0"/>
              <w:right w:val="single" w:color="auto" w:sz="4" w:space="0"/>
            </w:tcBorders>
            <w:noWrap w:val="0"/>
            <w:vAlign w:val="center"/>
          </w:tcPr>
          <w:p w14:paraId="27E3E92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三级进度计划跟踪</w:t>
            </w:r>
          </w:p>
        </w:tc>
        <w:tc>
          <w:tcPr>
            <w:tcW w:w="1958" w:type="dxa"/>
            <w:tcBorders>
              <w:top w:val="nil"/>
              <w:left w:val="nil"/>
              <w:bottom w:val="single" w:color="auto" w:sz="4" w:space="0"/>
              <w:right w:val="single" w:color="auto" w:sz="4" w:space="0"/>
            </w:tcBorders>
            <w:noWrap w:val="0"/>
            <w:vAlign w:val="center"/>
          </w:tcPr>
          <w:p w14:paraId="4248E63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14:paraId="25C3B18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533CE32B">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7423C10A">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118F1D7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2490669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进度计划调整</w:t>
            </w:r>
          </w:p>
        </w:tc>
        <w:tc>
          <w:tcPr>
            <w:tcW w:w="2144" w:type="dxa"/>
            <w:tcBorders>
              <w:top w:val="nil"/>
              <w:left w:val="nil"/>
              <w:bottom w:val="single" w:color="auto" w:sz="4" w:space="0"/>
              <w:right w:val="single" w:color="auto" w:sz="4" w:space="0"/>
            </w:tcBorders>
            <w:noWrap w:val="0"/>
            <w:vAlign w:val="center"/>
          </w:tcPr>
          <w:p w14:paraId="294DFD5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调整三级进度计划</w:t>
            </w:r>
          </w:p>
        </w:tc>
        <w:tc>
          <w:tcPr>
            <w:tcW w:w="1958" w:type="dxa"/>
            <w:tcBorders>
              <w:top w:val="nil"/>
              <w:left w:val="nil"/>
              <w:bottom w:val="single" w:color="auto" w:sz="4" w:space="0"/>
              <w:right w:val="single" w:color="auto" w:sz="4" w:space="0"/>
            </w:tcBorders>
            <w:noWrap w:val="0"/>
            <w:vAlign w:val="center"/>
          </w:tcPr>
          <w:p w14:paraId="1BC7BD9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14:paraId="4FC6B4B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3F32C2F2">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3330CA45">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7C1F1AE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36BF362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w:t>
            </w:r>
          </w:p>
        </w:tc>
        <w:tc>
          <w:tcPr>
            <w:tcW w:w="2144" w:type="dxa"/>
            <w:tcBorders>
              <w:top w:val="nil"/>
              <w:left w:val="nil"/>
              <w:bottom w:val="single" w:color="auto" w:sz="4" w:space="0"/>
              <w:right w:val="single" w:color="auto" w:sz="4" w:space="0"/>
            </w:tcBorders>
            <w:noWrap w:val="0"/>
            <w:vAlign w:val="center"/>
          </w:tcPr>
          <w:p w14:paraId="0C459AA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新增并录入工程开工信息、上传相关附件</w:t>
            </w:r>
          </w:p>
        </w:tc>
        <w:tc>
          <w:tcPr>
            <w:tcW w:w="1958" w:type="dxa"/>
            <w:tcBorders>
              <w:top w:val="nil"/>
              <w:left w:val="nil"/>
              <w:bottom w:val="single" w:color="auto" w:sz="4" w:space="0"/>
              <w:right w:val="single" w:color="auto" w:sz="4" w:space="0"/>
            </w:tcBorders>
            <w:noWrap w:val="0"/>
            <w:vAlign w:val="center"/>
          </w:tcPr>
          <w:p w14:paraId="48CD716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进度计划开工节点前完成</w:t>
            </w:r>
          </w:p>
        </w:tc>
        <w:tc>
          <w:tcPr>
            <w:tcW w:w="1608" w:type="dxa"/>
            <w:tcBorders>
              <w:top w:val="nil"/>
              <w:left w:val="nil"/>
              <w:bottom w:val="single" w:color="auto" w:sz="4" w:space="0"/>
              <w:right w:val="single" w:color="auto" w:sz="4" w:space="0"/>
            </w:tcBorders>
            <w:noWrap w:val="0"/>
            <w:vAlign w:val="center"/>
          </w:tcPr>
          <w:p w14:paraId="7A3D3BC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符合工程开工条件</w:t>
            </w:r>
          </w:p>
        </w:tc>
      </w:tr>
      <w:tr w14:paraId="6415ACA1">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514A48E2">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6FC836B9">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16F85AC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项目组织结构</w:t>
            </w:r>
          </w:p>
        </w:tc>
        <w:tc>
          <w:tcPr>
            <w:tcW w:w="2144" w:type="dxa"/>
            <w:tcBorders>
              <w:top w:val="nil"/>
              <w:left w:val="nil"/>
              <w:bottom w:val="single" w:color="auto" w:sz="4" w:space="0"/>
              <w:right w:val="single" w:color="auto" w:sz="4" w:space="0"/>
            </w:tcBorders>
            <w:noWrap w:val="0"/>
            <w:vAlign w:val="center"/>
          </w:tcPr>
          <w:p w14:paraId="528B1FD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录入施工项目部人员信息</w:t>
            </w:r>
          </w:p>
        </w:tc>
        <w:tc>
          <w:tcPr>
            <w:tcW w:w="1958" w:type="dxa"/>
            <w:tcBorders>
              <w:top w:val="nil"/>
              <w:left w:val="nil"/>
              <w:bottom w:val="single" w:color="auto" w:sz="4" w:space="0"/>
              <w:right w:val="single" w:color="auto" w:sz="4" w:space="0"/>
            </w:tcBorders>
            <w:noWrap w:val="0"/>
            <w:vAlign w:val="center"/>
          </w:tcPr>
          <w:p w14:paraId="267F5F2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14:paraId="0F82821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0C27141">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2E5BAFA0">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1BD40F7A">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793740A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安全文明检查整改通知</w:t>
            </w:r>
          </w:p>
        </w:tc>
        <w:tc>
          <w:tcPr>
            <w:tcW w:w="2144" w:type="dxa"/>
            <w:tcBorders>
              <w:top w:val="nil"/>
              <w:left w:val="nil"/>
              <w:bottom w:val="single" w:color="auto" w:sz="4" w:space="0"/>
              <w:right w:val="single" w:color="auto" w:sz="4" w:space="0"/>
            </w:tcBorders>
            <w:noWrap w:val="0"/>
            <w:vAlign w:val="center"/>
          </w:tcPr>
          <w:p w14:paraId="12FC226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接收整改通知单，填写整改结果并提交确认</w:t>
            </w:r>
          </w:p>
        </w:tc>
        <w:tc>
          <w:tcPr>
            <w:tcW w:w="1958" w:type="dxa"/>
            <w:tcBorders>
              <w:top w:val="nil"/>
              <w:left w:val="nil"/>
              <w:bottom w:val="single" w:color="auto" w:sz="4" w:space="0"/>
              <w:right w:val="single" w:color="auto" w:sz="4" w:space="0"/>
            </w:tcBorders>
            <w:noWrap w:val="0"/>
            <w:vAlign w:val="center"/>
          </w:tcPr>
          <w:p w14:paraId="62553CF0">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整改完成时间之前</w:t>
            </w:r>
          </w:p>
        </w:tc>
        <w:tc>
          <w:tcPr>
            <w:tcW w:w="1608" w:type="dxa"/>
            <w:tcBorders>
              <w:top w:val="nil"/>
              <w:left w:val="nil"/>
              <w:bottom w:val="single" w:color="auto" w:sz="4" w:space="0"/>
              <w:right w:val="single" w:color="auto" w:sz="4" w:space="0"/>
            </w:tcBorders>
            <w:noWrap w:val="0"/>
            <w:vAlign w:val="center"/>
          </w:tcPr>
          <w:p w14:paraId="5C7E8E9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1FCE17C6">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73235F1F">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15AD7254">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7630392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作业指导书设置</w:t>
            </w:r>
          </w:p>
        </w:tc>
        <w:tc>
          <w:tcPr>
            <w:tcW w:w="2144" w:type="dxa"/>
            <w:tcBorders>
              <w:top w:val="nil"/>
              <w:left w:val="nil"/>
              <w:bottom w:val="single" w:color="auto" w:sz="4" w:space="0"/>
              <w:right w:val="single" w:color="auto" w:sz="4" w:space="0"/>
            </w:tcBorders>
            <w:noWrap w:val="0"/>
            <w:vAlign w:val="center"/>
          </w:tcPr>
          <w:p w14:paraId="65C0A3C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选取项目作业指导书内容</w:t>
            </w:r>
          </w:p>
        </w:tc>
        <w:tc>
          <w:tcPr>
            <w:tcW w:w="1958" w:type="dxa"/>
            <w:tcBorders>
              <w:top w:val="nil"/>
              <w:left w:val="nil"/>
              <w:bottom w:val="single" w:color="auto" w:sz="4" w:space="0"/>
              <w:right w:val="single" w:color="auto" w:sz="4" w:space="0"/>
            </w:tcBorders>
            <w:noWrap w:val="0"/>
            <w:vAlign w:val="center"/>
          </w:tcPr>
          <w:p w14:paraId="2A1FFBB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14:paraId="501056E6">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4A2141E">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6CFD8692">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3BDC789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01A1FFB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安全风险评估</w:t>
            </w:r>
          </w:p>
        </w:tc>
        <w:tc>
          <w:tcPr>
            <w:tcW w:w="2144" w:type="dxa"/>
            <w:tcBorders>
              <w:top w:val="nil"/>
              <w:left w:val="nil"/>
              <w:bottom w:val="single" w:color="auto" w:sz="4" w:space="0"/>
              <w:right w:val="single" w:color="auto" w:sz="4" w:space="0"/>
            </w:tcBorders>
            <w:noWrap w:val="0"/>
            <w:vAlign w:val="center"/>
          </w:tcPr>
          <w:p w14:paraId="09CC6C9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评估施工作业风险</w:t>
            </w:r>
          </w:p>
        </w:tc>
        <w:tc>
          <w:tcPr>
            <w:tcW w:w="1958" w:type="dxa"/>
            <w:tcBorders>
              <w:top w:val="nil"/>
              <w:left w:val="nil"/>
              <w:bottom w:val="single" w:color="auto" w:sz="4" w:space="0"/>
              <w:right w:val="single" w:color="auto" w:sz="4" w:space="0"/>
            </w:tcBorders>
            <w:noWrap w:val="0"/>
            <w:vAlign w:val="center"/>
          </w:tcPr>
          <w:p w14:paraId="7AC94C6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14:paraId="23A33F8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DD8F2DA">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603E99A2">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4E32815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43F45C9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服务合同</w:t>
            </w:r>
          </w:p>
        </w:tc>
        <w:tc>
          <w:tcPr>
            <w:tcW w:w="2144" w:type="dxa"/>
            <w:tcBorders>
              <w:top w:val="nil"/>
              <w:left w:val="nil"/>
              <w:bottom w:val="single" w:color="auto" w:sz="4" w:space="0"/>
              <w:right w:val="single" w:color="auto" w:sz="4" w:space="0"/>
            </w:tcBorders>
            <w:noWrap w:val="0"/>
            <w:vAlign w:val="center"/>
          </w:tcPr>
          <w:p w14:paraId="2F16126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录入施工合同</w:t>
            </w:r>
          </w:p>
        </w:tc>
        <w:tc>
          <w:tcPr>
            <w:tcW w:w="1958" w:type="dxa"/>
            <w:tcBorders>
              <w:top w:val="nil"/>
              <w:left w:val="nil"/>
              <w:bottom w:val="single" w:color="auto" w:sz="4" w:space="0"/>
              <w:right w:val="single" w:color="auto" w:sz="4" w:space="0"/>
            </w:tcBorders>
            <w:noWrap w:val="0"/>
            <w:vAlign w:val="center"/>
          </w:tcPr>
          <w:p w14:paraId="0FF3361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合同签订后3天</w:t>
            </w:r>
          </w:p>
        </w:tc>
        <w:tc>
          <w:tcPr>
            <w:tcW w:w="1608" w:type="dxa"/>
            <w:tcBorders>
              <w:top w:val="nil"/>
              <w:left w:val="nil"/>
              <w:bottom w:val="single" w:color="auto" w:sz="4" w:space="0"/>
              <w:right w:val="single" w:color="auto" w:sz="4" w:space="0"/>
            </w:tcBorders>
            <w:noWrap w:val="0"/>
            <w:vAlign w:val="center"/>
          </w:tcPr>
          <w:p w14:paraId="1553093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2C79D66C">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1C9210C0">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18FCB06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688D26E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合同补充协议</w:t>
            </w:r>
          </w:p>
        </w:tc>
        <w:tc>
          <w:tcPr>
            <w:tcW w:w="2144" w:type="dxa"/>
            <w:tcBorders>
              <w:top w:val="nil"/>
              <w:left w:val="nil"/>
              <w:bottom w:val="single" w:color="auto" w:sz="4" w:space="0"/>
              <w:right w:val="single" w:color="auto" w:sz="4" w:space="0"/>
            </w:tcBorders>
            <w:noWrap w:val="0"/>
            <w:vAlign w:val="center"/>
          </w:tcPr>
          <w:p w14:paraId="2A1FBB4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记录合同内容及费用变更</w:t>
            </w:r>
          </w:p>
        </w:tc>
        <w:tc>
          <w:tcPr>
            <w:tcW w:w="1958" w:type="dxa"/>
            <w:tcBorders>
              <w:top w:val="nil"/>
              <w:left w:val="nil"/>
              <w:bottom w:val="single" w:color="auto" w:sz="4" w:space="0"/>
              <w:right w:val="single" w:color="auto" w:sz="4" w:space="0"/>
            </w:tcBorders>
            <w:noWrap w:val="0"/>
            <w:vAlign w:val="center"/>
          </w:tcPr>
          <w:p w14:paraId="2DB333E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合同结算前</w:t>
            </w:r>
          </w:p>
        </w:tc>
        <w:tc>
          <w:tcPr>
            <w:tcW w:w="1608" w:type="dxa"/>
            <w:tcBorders>
              <w:top w:val="nil"/>
              <w:left w:val="nil"/>
              <w:bottom w:val="single" w:color="auto" w:sz="4" w:space="0"/>
              <w:right w:val="single" w:color="auto" w:sz="4" w:space="0"/>
            </w:tcBorders>
            <w:noWrap w:val="0"/>
            <w:vAlign w:val="center"/>
          </w:tcPr>
          <w:p w14:paraId="5357E19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DF1C26C">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2C74132E">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283D3B35">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0BB43F67">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费用变更</w:t>
            </w:r>
          </w:p>
        </w:tc>
        <w:tc>
          <w:tcPr>
            <w:tcW w:w="2144" w:type="dxa"/>
            <w:tcBorders>
              <w:top w:val="nil"/>
              <w:left w:val="nil"/>
              <w:bottom w:val="single" w:color="auto" w:sz="4" w:space="0"/>
              <w:right w:val="single" w:color="auto" w:sz="4" w:space="0"/>
            </w:tcBorders>
            <w:noWrap w:val="0"/>
            <w:vAlign w:val="center"/>
          </w:tcPr>
          <w:p w14:paraId="64F2EC7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录入费用变更信息</w:t>
            </w:r>
          </w:p>
        </w:tc>
        <w:tc>
          <w:tcPr>
            <w:tcW w:w="1958" w:type="dxa"/>
            <w:tcBorders>
              <w:top w:val="nil"/>
              <w:left w:val="nil"/>
              <w:bottom w:val="single" w:color="auto" w:sz="4" w:space="0"/>
              <w:right w:val="single" w:color="auto" w:sz="4" w:space="0"/>
            </w:tcBorders>
            <w:noWrap w:val="0"/>
            <w:vAlign w:val="center"/>
          </w:tcPr>
          <w:p w14:paraId="260ED06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无</w:t>
            </w:r>
          </w:p>
        </w:tc>
        <w:tc>
          <w:tcPr>
            <w:tcW w:w="1608" w:type="dxa"/>
            <w:tcBorders>
              <w:top w:val="nil"/>
              <w:left w:val="nil"/>
              <w:bottom w:val="single" w:color="auto" w:sz="4" w:space="0"/>
              <w:right w:val="single" w:color="auto" w:sz="4" w:space="0"/>
            </w:tcBorders>
            <w:noWrap w:val="0"/>
            <w:vAlign w:val="center"/>
          </w:tcPr>
          <w:p w14:paraId="1F38716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02F3453">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46567A7D">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69C1FF73">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1FEC683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工程量计量</w:t>
            </w:r>
          </w:p>
        </w:tc>
        <w:tc>
          <w:tcPr>
            <w:tcW w:w="2144" w:type="dxa"/>
            <w:tcBorders>
              <w:top w:val="nil"/>
              <w:left w:val="nil"/>
              <w:bottom w:val="single" w:color="auto" w:sz="4" w:space="0"/>
              <w:right w:val="single" w:color="auto" w:sz="4" w:space="0"/>
            </w:tcBorders>
            <w:noWrap w:val="0"/>
            <w:vAlign w:val="center"/>
          </w:tcPr>
          <w:p w14:paraId="60192CA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录入工程量计量数据</w:t>
            </w:r>
          </w:p>
        </w:tc>
        <w:tc>
          <w:tcPr>
            <w:tcW w:w="1958" w:type="dxa"/>
            <w:tcBorders>
              <w:top w:val="nil"/>
              <w:left w:val="nil"/>
              <w:bottom w:val="single" w:color="auto" w:sz="4" w:space="0"/>
              <w:right w:val="single" w:color="auto" w:sz="4" w:space="0"/>
            </w:tcBorders>
            <w:noWrap w:val="0"/>
            <w:vAlign w:val="center"/>
          </w:tcPr>
          <w:p w14:paraId="0105D7E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项目开工后、结算前定期开展</w:t>
            </w:r>
          </w:p>
        </w:tc>
        <w:tc>
          <w:tcPr>
            <w:tcW w:w="1608" w:type="dxa"/>
            <w:tcBorders>
              <w:top w:val="nil"/>
              <w:left w:val="nil"/>
              <w:bottom w:val="single" w:color="auto" w:sz="4" w:space="0"/>
              <w:right w:val="single" w:color="auto" w:sz="4" w:space="0"/>
            </w:tcBorders>
            <w:noWrap w:val="0"/>
            <w:vAlign w:val="center"/>
          </w:tcPr>
          <w:p w14:paraId="401797F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407EE7B6">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4C3E7C44">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2684E8AD">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2697FEF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服务发票登记</w:t>
            </w:r>
          </w:p>
        </w:tc>
        <w:tc>
          <w:tcPr>
            <w:tcW w:w="2144" w:type="dxa"/>
            <w:tcBorders>
              <w:top w:val="nil"/>
              <w:left w:val="nil"/>
              <w:bottom w:val="single" w:color="auto" w:sz="4" w:space="0"/>
              <w:right w:val="single" w:color="auto" w:sz="4" w:space="0"/>
            </w:tcBorders>
            <w:noWrap w:val="0"/>
            <w:vAlign w:val="center"/>
          </w:tcPr>
          <w:p w14:paraId="7D39FACE">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录入服务发票信息</w:t>
            </w:r>
          </w:p>
        </w:tc>
        <w:tc>
          <w:tcPr>
            <w:tcW w:w="1958" w:type="dxa"/>
            <w:tcBorders>
              <w:top w:val="nil"/>
              <w:left w:val="nil"/>
              <w:bottom w:val="single" w:color="auto" w:sz="4" w:space="0"/>
              <w:right w:val="single" w:color="auto" w:sz="4" w:space="0"/>
            </w:tcBorders>
            <w:noWrap w:val="0"/>
            <w:vAlign w:val="center"/>
          </w:tcPr>
          <w:p w14:paraId="2D65BFA9">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需要支付款项时</w:t>
            </w:r>
          </w:p>
        </w:tc>
        <w:tc>
          <w:tcPr>
            <w:tcW w:w="1608" w:type="dxa"/>
            <w:tcBorders>
              <w:top w:val="nil"/>
              <w:left w:val="nil"/>
              <w:bottom w:val="single" w:color="auto" w:sz="4" w:space="0"/>
              <w:right w:val="single" w:color="auto" w:sz="4" w:space="0"/>
            </w:tcBorders>
            <w:noWrap w:val="0"/>
            <w:vAlign w:val="center"/>
          </w:tcPr>
          <w:p w14:paraId="39629F93">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09D4D240">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5D342CA7">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5E85CC10">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759A0AF1">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合同分包申请</w:t>
            </w:r>
          </w:p>
        </w:tc>
        <w:tc>
          <w:tcPr>
            <w:tcW w:w="2144" w:type="dxa"/>
            <w:tcBorders>
              <w:top w:val="nil"/>
              <w:left w:val="nil"/>
              <w:bottom w:val="single" w:color="auto" w:sz="4" w:space="0"/>
              <w:right w:val="single" w:color="auto" w:sz="4" w:space="0"/>
            </w:tcBorders>
            <w:noWrap w:val="0"/>
            <w:vAlign w:val="center"/>
          </w:tcPr>
          <w:p w14:paraId="2E95157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录入施工分包申请</w:t>
            </w:r>
          </w:p>
        </w:tc>
        <w:tc>
          <w:tcPr>
            <w:tcW w:w="1958" w:type="dxa"/>
            <w:tcBorders>
              <w:top w:val="nil"/>
              <w:left w:val="nil"/>
              <w:bottom w:val="single" w:color="auto" w:sz="4" w:space="0"/>
              <w:right w:val="single" w:color="auto" w:sz="4" w:space="0"/>
            </w:tcBorders>
            <w:noWrap w:val="0"/>
            <w:vAlign w:val="center"/>
          </w:tcPr>
          <w:p w14:paraId="1B82EAA8">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14:paraId="0372C6D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7144EF91">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57B21779">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27F77082">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3CCA301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w:t>
            </w:r>
          </w:p>
        </w:tc>
        <w:tc>
          <w:tcPr>
            <w:tcW w:w="2144" w:type="dxa"/>
            <w:tcBorders>
              <w:top w:val="nil"/>
              <w:left w:val="nil"/>
              <w:bottom w:val="single" w:color="auto" w:sz="4" w:space="0"/>
              <w:right w:val="single" w:color="auto" w:sz="4" w:space="0"/>
            </w:tcBorders>
            <w:noWrap w:val="0"/>
            <w:vAlign w:val="center"/>
          </w:tcPr>
          <w:p w14:paraId="53D78B9F">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录入合同结算数据</w:t>
            </w:r>
          </w:p>
        </w:tc>
        <w:tc>
          <w:tcPr>
            <w:tcW w:w="1958" w:type="dxa"/>
            <w:tcBorders>
              <w:top w:val="nil"/>
              <w:left w:val="nil"/>
              <w:bottom w:val="single" w:color="auto" w:sz="4" w:space="0"/>
              <w:right w:val="single" w:color="auto" w:sz="4" w:space="0"/>
            </w:tcBorders>
            <w:noWrap w:val="0"/>
            <w:vAlign w:val="center"/>
          </w:tcPr>
          <w:p w14:paraId="72117944">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支付合同结算款时</w:t>
            </w:r>
          </w:p>
        </w:tc>
        <w:tc>
          <w:tcPr>
            <w:tcW w:w="1608" w:type="dxa"/>
            <w:tcBorders>
              <w:top w:val="nil"/>
              <w:left w:val="nil"/>
              <w:bottom w:val="single" w:color="auto" w:sz="4" w:space="0"/>
              <w:right w:val="single" w:color="auto" w:sz="4" w:space="0"/>
            </w:tcBorders>
            <w:noWrap w:val="0"/>
            <w:vAlign w:val="center"/>
          </w:tcPr>
          <w:p w14:paraId="00856E8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1155E54A">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51C88247">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24BAD3A8">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35AE4442">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安全应急预案</w:t>
            </w:r>
          </w:p>
        </w:tc>
        <w:tc>
          <w:tcPr>
            <w:tcW w:w="2144" w:type="dxa"/>
            <w:tcBorders>
              <w:top w:val="nil"/>
              <w:left w:val="nil"/>
              <w:bottom w:val="single" w:color="auto" w:sz="4" w:space="0"/>
              <w:right w:val="single" w:color="auto" w:sz="4" w:space="0"/>
            </w:tcBorders>
            <w:noWrap w:val="0"/>
            <w:vAlign w:val="center"/>
          </w:tcPr>
          <w:p w14:paraId="5221342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制定现场安全应急预案</w:t>
            </w:r>
          </w:p>
        </w:tc>
        <w:tc>
          <w:tcPr>
            <w:tcW w:w="1958" w:type="dxa"/>
            <w:tcBorders>
              <w:top w:val="nil"/>
              <w:left w:val="nil"/>
              <w:bottom w:val="single" w:color="auto" w:sz="4" w:space="0"/>
              <w:right w:val="single" w:color="auto" w:sz="4" w:space="0"/>
            </w:tcBorders>
            <w:noWrap w:val="0"/>
            <w:vAlign w:val="center"/>
          </w:tcPr>
          <w:p w14:paraId="17423A4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14:paraId="43C67A4B">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14:paraId="6A51EB47">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14:paraId="545F0274">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14:paraId="765DA94B">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14:paraId="5D92934A">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设备进场管理</w:t>
            </w:r>
          </w:p>
        </w:tc>
        <w:tc>
          <w:tcPr>
            <w:tcW w:w="2144" w:type="dxa"/>
            <w:tcBorders>
              <w:top w:val="nil"/>
              <w:left w:val="nil"/>
              <w:bottom w:val="single" w:color="auto" w:sz="4" w:space="0"/>
              <w:right w:val="single" w:color="auto" w:sz="4" w:space="0"/>
            </w:tcBorders>
            <w:noWrap w:val="0"/>
            <w:vAlign w:val="center"/>
          </w:tcPr>
          <w:p w14:paraId="6AA30595">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登记现场设备进场记录</w:t>
            </w:r>
          </w:p>
        </w:tc>
        <w:tc>
          <w:tcPr>
            <w:tcW w:w="1958" w:type="dxa"/>
            <w:tcBorders>
              <w:top w:val="nil"/>
              <w:left w:val="nil"/>
              <w:bottom w:val="single" w:color="auto" w:sz="4" w:space="0"/>
              <w:right w:val="single" w:color="auto" w:sz="4" w:space="0"/>
            </w:tcBorders>
            <w:noWrap w:val="0"/>
            <w:vAlign w:val="center"/>
          </w:tcPr>
          <w:p w14:paraId="5425E5FC">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14:paraId="280012DD">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bl>
    <w:p w14:paraId="1A21F42C">
      <w:pPr>
        <w:kinsoku/>
        <w:wordWrap/>
        <w:overflowPunct/>
        <w:topLinePunct w:val="0"/>
        <w:bidi w:val="0"/>
        <w:spacing w:line="540" w:lineRule="exact"/>
        <w:rPr>
          <w:rFonts w:hint="eastAsia" w:ascii="宋体" w:hAnsi="宋体" w:eastAsia="宋体" w:cs="宋体"/>
          <w:sz w:val="24"/>
          <w:szCs w:val="24"/>
        </w:rPr>
      </w:pPr>
    </w:p>
    <w:p w14:paraId="48E29211">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bookmarkStart w:id="25" w:name="_Toc20644924"/>
      <w:r>
        <w:rPr>
          <w:rFonts w:hint="eastAsia" w:ascii="宋体" w:hAnsi="宋体" w:eastAsia="宋体" w:cs="宋体"/>
          <w:sz w:val="24"/>
          <w:szCs w:val="24"/>
        </w:rPr>
        <w:t>第五节 报价书</w:t>
      </w:r>
      <w:bookmarkEnd w:id="14"/>
      <w:bookmarkEnd w:id="25"/>
    </w:p>
    <w:p w14:paraId="4503305F">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详见投标文件。</w:t>
      </w:r>
    </w:p>
    <w:permEnd w:id="130"/>
    <w:p w14:paraId="31886352">
      <w:pPr>
        <w:kinsoku/>
        <w:wordWrap/>
        <w:overflowPunct/>
        <w:topLinePunct w:val="0"/>
        <w:autoSpaceDE w:val="0"/>
        <w:autoSpaceDN w:val="0"/>
        <w:bidi w:val="0"/>
        <w:adjustRightInd w:val="0"/>
        <w:spacing w:line="540" w:lineRule="exact"/>
        <w:ind w:firstLine="723" w:firstLineChars="300"/>
        <w:jc w:val="left"/>
        <w:rPr>
          <w:rFonts w:hint="eastAsia" w:ascii="宋体" w:hAnsi="宋体" w:eastAsia="宋体" w:cs="宋体"/>
          <w:b/>
          <w:kern w:val="0"/>
          <w:sz w:val="24"/>
          <w:szCs w:val="24"/>
        </w:rPr>
      </w:pPr>
    </w:p>
    <w:sectPr>
      <w:pgSz w:w="11906" w:h="16838"/>
      <w:pgMar w:top="1418" w:right="1418" w:bottom="1418" w:left="1418" w:header="964"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ˎ̥">
    <w:altName w:val="思源宋体 CN"/>
    <w:panose1 w:val="00000000000000000000"/>
    <w:charset w:val="00"/>
    <w:family w:val="roman"/>
    <w:pitch w:val="default"/>
    <w:sig w:usb0="00000000" w:usb1="00000000" w:usb2="00000000" w:usb3="00000000" w:csb0="00040001" w:csb1="00000000"/>
  </w:font>
  <w:font w:name="思源黑体 CN">
    <w:altName w:val="黑体"/>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573C4">
    <w:pPr>
      <w:pStyle w:val="27"/>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F2A896">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wps:txbx>
                    <wps:bodyPr wrap="none" lIns="0" tIns="0" rIns="0" bIns="0" upright="0">
                      <a:spAutoFit/>
                    </wps:bodyPr>
                  </wps:wsp>
                </a:graphicData>
              </a:graphic>
            </wp:anchor>
          </w:drawing>
        </mc:Choice>
        <mc:Fallback>
          <w:pict>
            <v:shape id="文本框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i8jDMcBAACZ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uizy&#10;9AFqzHoImJeGN37ApcmyZT+gM7MeVLT5i3wIxlHc81VcOSQi8qP1ar2uMCQwNl8Qh92ehwjprfSW&#10;ZKOhEadXROWn95DG1DklV3P+XhtTJmjcXw7EzB526zFbadgPU+N7356RT4+Db6jDPafEvHOoa96R&#10;2YizsZ+NY4j60JUlyvUgvD4mbKL0liuMsFNhnFhhN21XXok/7yXr9kd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xi8jDMcBAACZAwAADgAAAAAAAAABACAAAAAeAQAAZHJzL2Uyb0RvYy54&#10;bWxQSwUGAAAAAAYABgBZAQAAVwUAAAAA&#10;">
              <v:fill on="f" focussize="0,0"/>
              <v:stroke on="f"/>
              <v:imagedata o:title=""/>
              <o:lock v:ext="edit" aspectratio="f"/>
              <v:textbox inset="0mm,0mm,0mm,0mm" style="mso-fit-shape-to-text:t;">
                <w:txbxContent>
                  <w:p w14:paraId="4DF2A896">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60511">
    <w:pPr>
      <w:pStyle w:val="27"/>
      <w:framePr w:wrap="around" w:vAnchor="text" w:hAnchor="margin" w:xAlign="center" w:y="1"/>
      <w:rPr>
        <w:rStyle w:val="45"/>
      </w:rPr>
    </w:pPr>
    <w:r>
      <w:fldChar w:fldCharType="begin"/>
    </w:r>
    <w:r>
      <w:rPr>
        <w:rStyle w:val="45"/>
      </w:rPr>
      <w:instrText xml:space="preserve">PAGE  </w:instrText>
    </w:r>
    <w:r>
      <w:fldChar w:fldCharType="separate"/>
    </w:r>
    <w:r>
      <w:rPr>
        <w:rStyle w:val="45"/>
      </w:rPr>
      <w:t>0</w:t>
    </w:r>
    <w:r>
      <w:fldChar w:fldCharType="end"/>
    </w:r>
  </w:p>
  <w:p w14:paraId="77CBCC99">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92BF">
    <w:pPr>
      <w:pStyle w:val="27"/>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213</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F63D5">
    <w:pPr>
      <w:pStyle w:val="28"/>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B448A">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840"/>
        </w:tabs>
        <w:ind w:left="840" w:hanging="420"/>
      </w:pPr>
      <w:rPr>
        <w:rFonts w:hint="eastAsia"/>
        <w:color w:val="auto"/>
      </w:rPr>
    </w:lvl>
    <w:lvl w:ilvl="1" w:tentative="0">
      <w:start w:val="1"/>
      <w:numFmt w:val="lowerLetter"/>
      <w:lvlText w:val="%2)"/>
      <w:lvlJc w:val="left"/>
      <w:pPr>
        <w:tabs>
          <w:tab w:val="left" w:pos="840"/>
        </w:tabs>
        <w:ind w:left="840" w:hanging="420"/>
      </w:pPr>
      <w:rPr>
        <w:rFonts w:hint="eastAsia"/>
        <w:color w:val="auto"/>
      </w:rPr>
    </w:lvl>
    <w:lvl w:ilvl="2" w:tentative="0">
      <w:start w:val="1"/>
      <w:numFmt w:val="decimalEnclosedCircle"/>
      <w:lvlText w:val="%3_x0001_"/>
      <w:lvlJc w:val="left"/>
      <w:pPr>
        <w:ind w:left="1200" w:hanging="360"/>
      </w:pPr>
      <w:rPr>
        <w:rFonts w:hint="default"/>
      </w:rPr>
    </w:lvl>
    <w:lvl w:ilvl="3" w:tentative="0">
      <w:start w:val="1"/>
      <w:numFmt w:val="decimalEnclosedCircle"/>
      <w:lvlText w:val="%4"/>
      <w:lvlJc w:val="left"/>
      <w:pPr>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2"/>
    <w:multiLevelType w:val="multilevel"/>
    <w:tmpl w:val="0000001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91715E"/>
    <w:multiLevelType w:val="multilevel"/>
    <w:tmpl w:val="0391715E"/>
    <w:lvl w:ilvl="0" w:tentative="0">
      <w:start w:val="1"/>
      <w:numFmt w:val="decimal"/>
      <w:lvlText w:val="%1)"/>
      <w:lvlJc w:val="left"/>
      <w:pPr>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C79113D"/>
    <w:multiLevelType w:val="multilevel"/>
    <w:tmpl w:val="1C79113D"/>
    <w:lvl w:ilvl="0" w:tentative="0">
      <w:start w:val="1"/>
      <w:numFmt w:val="low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9905B5"/>
    <w:multiLevelType w:val="multilevel"/>
    <w:tmpl w:val="259905B5"/>
    <w:lvl w:ilvl="0" w:tentative="0">
      <w:start w:val="1"/>
      <w:numFmt w:val="chineseCountingThousand"/>
      <w:suff w:val="space"/>
      <w:lvlText w:val="第%1章"/>
      <w:lvlJc w:val="left"/>
      <w:pPr>
        <w:ind w:left="567" w:hanging="279"/>
      </w:pPr>
      <w:rPr>
        <w:rFonts w:hint="eastAsia" w:ascii="宋体" w:eastAsia="宋体"/>
        <w:b/>
        <w:i w:val="0"/>
        <w:spacing w:val="0"/>
        <w:position w:val="0"/>
        <w:sz w:val="44"/>
      </w:rPr>
    </w:lvl>
    <w:lvl w:ilvl="1" w:tentative="0">
      <w:start w:val="1"/>
      <w:numFmt w:val="decimal"/>
      <w:suff w:val="space"/>
      <w:lvlText w:val="%2."/>
      <w:lvlJc w:val="left"/>
      <w:pPr>
        <w:ind w:left="454" w:hanging="454"/>
      </w:pPr>
      <w:rPr>
        <w:rFonts w:hint="eastAsia" w:ascii="宋体" w:eastAsia="宋体"/>
        <w:b/>
        <w:i w:val="0"/>
        <w:sz w:val="32"/>
      </w:rPr>
    </w:lvl>
    <w:lvl w:ilvl="2" w:tentative="0">
      <w:start w:val="1"/>
      <w:numFmt w:val="decimal"/>
      <w:suff w:val="space"/>
      <w:lvlText w:val="%2.%3"/>
      <w:lvlJc w:val="left"/>
      <w:pPr>
        <w:ind w:left="454" w:hanging="454"/>
      </w:pPr>
      <w:rPr>
        <w:rFonts w:hint="eastAsia" w:ascii="宋体" w:eastAsia="宋体"/>
        <w:b/>
        <w:i w:val="0"/>
        <w:sz w:val="28"/>
      </w:rPr>
    </w:lvl>
    <w:lvl w:ilvl="3" w:tentative="0">
      <w:start w:val="1"/>
      <w:numFmt w:val="decimal"/>
      <w:pStyle w:val="7"/>
      <w:suff w:val="space"/>
      <w:lvlText w:val="%2.%3.%4_x0001__x0003_"/>
      <w:lvlJc w:val="left"/>
      <w:pPr>
        <w:ind w:left="284" w:hanging="284"/>
      </w:pPr>
      <w:rPr>
        <w:rFonts w:hint="eastAsia" w:ascii="宋体" w:eastAsia="宋体"/>
        <w:b/>
        <w:i w:val="0"/>
        <w:sz w:val="28"/>
      </w:rPr>
    </w:lvl>
    <w:lvl w:ilvl="4" w:tentative="0">
      <w:start w:val="1"/>
      <w:numFmt w:val="decimal"/>
      <w:pStyle w:val="9"/>
      <w:isLgl/>
      <w:suff w:val="space"/>
      <w:lvlText w:val="%2.%3.%4.%5"/>
      <w:lvlJc w:val="left"/>
      <w:pPr>
        <w:ind w:left="284" w:hanging="284"/>
      </w:pPr>
      <w:rPr>
        <w:rFonts w:hint="eastAsia" w:ascii="宋体" w:eastAsia="宋体"/>
        <w:b/>
        <w:i w:val="0"/>
        <w:strike w:val="0"/>
        <w:dstrike w:val="0"/>
        <w:sz w:val="28"/>
      </w:rPr>
    </w:lvl>
    <w:lvl w:ilvl="5" w:tentative="0">
      <w:start w:val="1"/>
      <w:numFmt w:val="decimal"/>
      <w:lvlRestart w:val="0"/>
      <w:suff w:val="space"/>
      <w:lvlText w:val="1.1.1.1.1.%6%5"/>
      <w:lvlJc w:val="left"/>
      <w:pPr>
        <w:ind w:left="0" w:firstLine="0"/>
      </w:pPr>
      <w:rPr>
        <w:rFonts w:hint="eastAsia" w:ascii="宋体" w:eastAsia="宋体"/>
        <w:b/>
        <w:i w:val="0"/>
        <w:sz w:val="28"/>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5">
    <w:nsid w:val="2BFEE203"/>
    <w:multiLevelType w:val="singleLevel"/>
    <w:tmpl w:val="2BFEE203"/>
    <w:lvl w:ilvl="0" w:tentative="0">
      <w:start w:val="1"/>
      <w:numFmt w:val="chineseCounting"/>
      <w:suff w:val="nothing"/>
      <w:lvlText w:val="（%1）"/>
      <w:lvlJc w:val="left"/>
      <w:rPr>
        <w:rFonts w:hint="eastAsia"/>
      </w:rPr>
    </w:lvl>
  </w:abstractNum>
  <w:abstractNum w:abstractNumId="6">
    <w:nsid w:val="46D93632"/>
    <w:multiLevelType w:val="multilevel"/>
    <w:tmpl w:val="46D9363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68B6D4A"/>
    <w:multiLevelType w:val="multilevel"/>
    <w:tmpl w:val="568B6D4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5A97BCAD"/>
    <w:multiLevelType w:val="singleLevel"/>
    <w:tmpl w:val="5A97BCAD"/>
    <w:lvl w:ilvl="0" w:tentative="0">
      <w:start w:val="1"/>
      <w:numFmt w:val="lowerLetter"/>
      <w:suff w:val="nothing"/>
      <w:lvlText w:val="（%1）"/>
      <w:lvlJc w:val="left"/>
    </w:lvl>
  </w:abstractNum>
  <w:abstractNum w:abstractNumId="9">
    <w:nsid w:val="61D44AAE"/>
    <w:multiLevelType w:val="multilevel"/>
    <w:tmpl w:val="61D44AAE"/>
    <w:lvl w:ilvl="0" w:tentative="0">
      <w:start w:val="1"/>
      <w:numFmt w:val="decimal"/>
      <w:lvlText w:val="%1."/>
      <w:lvlJc w:val="left"/>
      <w:pPr>
        <w:tabs>
          <w:tab w:val="left" w:pos="425"/>
        </w:tabs>
        <w:ind w:left="425" w:hanging="425"/>
      </w:pPr>
      <w:rPr>
        <w:rFonts w:hint="eastAsia"/>
      </w:rPr>
    </w:lvl>
    <w:lvl w:ilvl="1" w:tentative="0">
      <w:start w:val="1"/>
      <w:numFmt w:val="decimal"/>
      <w:pStyle w:val="105"/>
      <w:lvlText w:val="%1.%2 "/>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6E87019F"/>
    <w:multiLevelType w:val="multilevel"/>
    <w:tmpl w:val="6E87019F"/>
    <w:lvl w:ilvl="0" w:tentative="0">
      <w:start w:val="1"/>
      <w:numFmt w:val="chineseCountingThousand"/>
      <w:pStyle w:val="216"/>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75AC1A74"/>
    <w:multiLevelType w:val="multilevel"/>
    <w:tmpl w:val="75AC1A74"/>
    <w:lvl w:ilvl="0" w:tentative="0">
      <w:start w:val="1"/>
      <w:numFmt w:val="decimal"/>
      <w:pStyle w:val="10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2">
    <w:nsid w:val="7CF46F47"/>
    <w:multiLevelType w:val="multilevel"/>
    <w:tmpl w:val="7CF46F47"/>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1"/>
  </w:num>
  <w:num w:numId="3">
    <w:abstractNumId w:val="9"/>
  </w:num>
  <w:num w:numId="4">
    <w:abstractNumId w:val="10"/>
  </w:num>
  <w:num w:numId="5">
    <w:abstractNumId w:val="6"/>
  </w:num>
  <w:num w:numId="6">
    <w:abstractNumId w:val="2"/>
  </w:num>
  <w:num w:numId="7">
    <w:abstractNumId w:val="3"/>
  </w:num>
  <w:num w:numId="8">
    <w:abstractNumId w:val="7"/>
  </w:num>
  <w:num w:numId="9">
    <w:abstractNumId w:val="5"/>
  </w:num>
  <w:num w:numId="10">
    <w:abstractNumId w:val="8"/>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2Nzk0MzBhYTY4OTE1N2I3ZjYxNzgzMTZhOGYwMTIifQ=="/>
  </w:docVars>
  <w:rsids>
    <w:rsidRoot w:val="00172A27"/>
    <w:rsid w:val="0000283F"/>
    <w:rsid w:val="00004805"/>
    <w:rsid w:val="000118B4"/>
    <w:rsid w:val="00014E94"/>
    <w:rsid w:val="00016199"/>
    <w:rsid w:val="000167D4"/>
    <w:rsid w:val="00030325"/>
    <w:rsid w:val="0003038F"/>
    <w:rsid w:val="00033730"/>
    <w:rsid w:val="00037A26"/>
    <w:rsid w:val="000427D1"/>
    <w:rsid w:val="0004433B"/>
    <w:rsid w:val="00044547"/>
    <w:rsid w:val="00045A52"/>
    <w:rsid w:val="000508FD"/>
    <w:rsid w:val="00052665"/>
    <w:rsid w:val="000535C7"/>
    <w:rsid w:val="000647E6"/>
    <w:rsid w:val="00067F87"/>
    <w:rsid w:val="00070AEB"/>
    <w:rsid w:val="00095B6B"/>
    <w:rsid w:val="00096B9A"/>
    <w:rsid w:val="00096C80"/>
    <w:rsid w:val="000A5701"/>
    <w:rsid w:val="000A7835"/>
    <w:rsid w:val="000B0506"/>
    <w:rsid w:val="000B2DAD"/>
    <w:rsid w:val="000B3C34"/>
    <w:rsid w:val="000B4E22"/>
    <w:rsid w:val="000C1B06"/>
    <w:rsid w:val="000C294C"/>
    <w:rsid w:val="000C4192"/>
    <w:rsid w:val="000D04ED"/>
    <w:rsid w:val="000E04C4"/>
    <w:rsid w:val="000E4345"/>
    <w:rsid w:val="000E4CF3"/>
    <w:rsid w:val="000E65ED"/>
    <w:rsid w:val="000E7BBA"/>
    <w:rsid w:val="000F07D5"/>
    <w:rsid w:val="000F19B2"/>
    <w:rsid w:val="000F4403"/>
    <w:rsid w:val="00101B53"/>
    <w:rsid w:val="001033ED"/>
    <w:rsid w:val="00104392"/>
    <w:rsid w:val="00107338"/>
    <w:rsid w:val="00107430"/>
    <w:rsid w:val="00110177"/>
    <w:rsid w:val="001104A6"/>
    <w:rsid w:val="001141DA"/>
    <w:rsid w:val="001162B3"/>
    <w:rsid w:val="001248F1"/>
    <w:rsid w:val="00125A90"/>
    <w:rsid w:val="0013031F"/>
    <w:rsid w:val="00132AD4"/>
    <w:rsid w:val="00133AC7"/>
    <w:rsid w:val="001432C0"/>
    <w:rsid w:val="0014446D"/>
    <w:rsid w:val="00147AE8"/>
    <w:rsid w:val="001511C9"/>
    <w:rsid w:val="0015169B"/>
    <w:rsid w:val="001550CC"/>
    <w:rsid w:val="001563FB"/>
    <w:rsid w:val="001665AC"/>
    <w:rsid w:val="0016706E"/>
    <w:rsid w:val="00170A9C"/>
    <w:rsid w:val="00172A82"/>
    <w:rsid w:val="00174076"/>
    <w:rsid w:val="00183357"/>
    <w:rsid w:val="001912DE"/>
    <w:rsid w:val="00194BDE"/>
    <w:rsid w:val="00196D6B"/>
    <w:rsid w:val="001A163C"/>
    <w:rsid w:val="001A6D84"/>
    <w:rsid w:val="001A7688"/>
    <w:rsid w:val="001B1F63"/>
    <w:rsid w:val="001B69D7"/>
    <w:rsid w:val="001C0BFE"/>
    <w:rsid w:val="001C0CA1"/>
    <w:rsid w:val="001C26EA"/>
    <w:rsid w:val="001C31EF"/>
    <w:rsid w:val="001C5F2E"/>
    <w:rsid w:val="001C6D3B"/>
    <w:rsid w:val="001D1C69"/>
    <w:rsid w:val="001D3FD4"/>
    <w:rsid w:val="001E5563"/>
    <w:rsid w:val="001E75FE"/>
    <w:rsid w:val="001F0A38"/>
    <w:rsid w:val="001F3A6C"/>
    <w:rsid w:val="001F7629"/>
    <w:rsid w:val="00200C6D"/>
    <w:rsid w:val="0020308C"/>
    <w:rsid w:val="00203D71"/>
    <w:rsid w:val="00205224"/>
    <w:rsid w:val="00205D4E"/>
    <w:rsid w:val="00210331"/>
    <w:rsid w:val="00212725"/>
    <w:rsid w:val="00220FA6"/>
    <w:rsid w:val="00224912"/>
    <w:rsid w:val="00225B47"/>
    <w:rsid w:val="00226AED"/>
    <w:rsid w:val="00227A42"/>
    <w:rsid w:val="00231113"/>
    <w:rsid w:val="00233BEA"/>
    <w:rsid w:val="00234244"/>
    <w:rsid w:val="00246D1B"/>
    <w:rsid w:val="00247612"/>
    <w:rsid w:val="00250A92"/>
    <w:rsid w:val="0025113A"/>
    <w:rsid w:val="00254D89"/>
    <w:rsid w:val="00255B93"/>
    <w:rsid w:val="00257C9D"/>
    <w:rsid w:val="00266563"/>
    <w:rsid w:val="002677AC"/>
    <w:rsid w:val="00270D73"/>
    <w:rsid w:val="00276134"/>
    <w:rsid w:val="00284849"/>
    <w:rsid w:val="0028700B"/>
    <w:rsid w:val="00287287"/>
    <w:rsid w:val="0029008D"/>
    <w:rsid w:val="0029427D"/>
    <w:rsid w:val="00297096"/>
    <w:rsid w:val="00297605"/>
    <w:rsid w:val="002A69B4"/>
    <w:rsid w:val="002A751B"/>
    <w:rsid w:val="002B3117"/>
    <w:rsid w:val="002B4EFC"/>
    <w:rsid w:val="002C23D4"/>
    <w:rsid w:val="002C313D"/>
    <w:rsid w:val="002D019A"/>
    <w:rsid w:val="002D11CC"/>
    <w:rsid w:val="002D6403"/>
    <w:rsid w:val="002D69FF"/>
    <w:rsid w:val="002E26DA"/>
    <w:rsid w:val="002E3AFA"/>
    <w:rsid w:val="002E3BBF"/>
    <w:rsid w:val="002E492D"/>
    <w:rsid w:val="002E62DD"/>
    <w:rsid w:val="002F0AB7"/>
    <w:rsid w:val="002F1245"/>
    <w:rsid w:val="002F2CA4"/>
    <w:rsid w:val="002F3076"/>
    <w:rsid w:val="002F4E91"/>
    <w:rsid w:val="002F6C37"/>
    <w:rsid w:val="002F76F6"/>
    <w:rsid w:val="00302B99"/>
    <w:rsid w:val="00304001"/>
    <w:rsid w:val="00306A66"/>
    <w:rsid w:val="00307AAA"/>
    <w:rsid w:val="00314A66"/>
    <w:rsid w:val="003156F6"/>
    <w:rsid w:val="00316AC6"/>
    <w:rsid w:val="00320821"/>
    <w:rsid w:val="00323A0F"/>
    <w:rsid w:val="00324758"/>
    <w:rsid w:val="003307E6"/>
    <w:rsid w:val="00333CA3"/>
    <w:rsid w:val="00333DE2"/>
    <w:rsid w:val="00334044"/>
    <w:rsid w:val="00335D51"/>
    <w:rsid w:val="003436AE"/>
    <w:rsid w:val="003575D9"/>
    <w:rsid w:val="003611E0"/>
    <w:rsid w:val="00362EB2"/>
    <w:rsid w:val="00363EEA"/>
    <w:rsid w:val="0036532C"/>
    <w:rsid w:val="00365381"/>
    <w:rsid w:val="003674A1"/>
    <w:rsid w:val="00370EB8"/>
    <w:rsid w:val="003710D4"/>
    <w:rsid w:val="00376D14"/>
    <w:rsid w:val="003771F0"/>
    <w:rsid w:val="0038236E"/>
    <w:rsid w:val="00386F70"/>
    <w:rsid w:val="003900B1"/>
    <w:rsid w:val="003A190B"/>
    <w:rsid w:val="003A29D6"/>
    <w:rsid w:val="003A3D97"/>
    <w:rsid w:val="003A69B0"/>
    <w:rsid w:val="003A6DCD"/>
    <w:rsid w:val="003A6F3C"/>
    <w:rsid w:val="003A71F7"/>
    <w:rsid w:val="003B08DD"/>
    <w:rsid w:val="003B0BA1"/>
    <w:rsid w:val="003B0DE9"/>
    <w:rsid w:val="003B111E"/>
    <w:rsid w:val="003B4777"/>
    <w:rsid w:val="003C30DC"/>
    <w:rsid w:val="003D72C2"/>
    <w:rsid w:val="003E09D4"/>
    <w:rsid w:val="003E0CAD"/>
    <w:rsid w:val="003E4C5B"/>
    <w:rsid w:val="003E5160"/>
    <w:rsid w:val="003F132B"/>
    <w:rsid w:val="003F31FB"/>
    <w:rsid w:val="003F517B"/>
    <w:rsid w:val="004035CB"/>
    <w:rsid w:val="00405731"/>
    <w:rsid w:val="00406F66"/>
    <w:rsid w:val="004277C6"/>
    <w:rsid w:val="0043056A"/>
    <w:rsid w:val="00434795"/>
    <w:rsid w:val="004407CE"/>
    <w:rsid w:val="004476B1"/>
    <w:rsid w:val="00450299"/>
    <w:rsid w:val="004522FF"/>
    <w:rsid w:val="0045429E"/>
    <w:rsid w:val="004608A4"/>
    <w:rsid w:val="004640F1"/>
    <w:rsid w:val="0046482E"/>
    <w:rsid w:val="004725BD"/>
    <w:rsid w:val="00483CD4"/>
    <w:rsid w:val="00485B0C"/>
    <w:rsid w:val="00486EDF"/>
    <w:rsid w:val="0049037F"/>
    <w:rsid w:val="00490FE8"/>
    <w:rsid w:val="00493B42"/>
    <w:rsid w:val="00495DDD"/>
    <w:rsid w:val="00496AB5"/>
    <w:rsid w:val="0049749D"/>
    <w:rsid w:val="00497B57"/>
    <w:rsid w:val="004A2F84"/>
    <w:rsid w:val="004A4E5E"/>
    <w:rsid w:val="004A784E"/>
    <w:rsid w:val="004B1D03"/>
    <w:rsid w:val="004B35C2"/>
    <w:rsid w:val="004B50F4"/>
    <w:rsid w:val="004B7BB5"/>
    <w:rsid w:val="004D5B1E"/>
    <w:rsid w:val="004D7D02"/>
    <w:rsid w:val="004E12A0"/>
    <w:rsid w:val="004E299B"/>
    <w:rsid w:val="004E7007"/>
    <w:rsid w:val="004F6242"/>
    <w:rsid w:val="0050080E"/>
    <w:rsid w:val="005062F3"/>
    <w:rsid w:val="005070D5"/>
    <w:rsid w:val="00512D3A"/>
    <w:rsid w:val="00514793"/>
    <w:rsid w:val="0052121D"/>
    <w:rsid w:val="005226B7"/>
    <w:rsid w:val="005236FC"/>
    <w:rsid w:val="00524DB2"/>
    <w:rsid w:val="00526F45"/>
    <w:rsid w:val="00530ABF"/>
    <w:rsid w:val="00532A48"/>
    <w:rsid w:val="005339A8"/>
    <w:rsid w:val="00542C36"/>
    <w:rsid w:val="00550411"/>
    <w:rsid w:val="005550E8"/>
    <w:rsid w:val="00565161"/>
    <w:rsid w:val="005668B6"/>
    <w:rsid w:val="00567059"/>
    <w:rsid w:val="00574C9B"/>
    <w:rsid w:val="00574DBE"/>
    <w:rsid w:val="0057639C"/>
    <w:rsid w:val="0057744D"/>
    <w:rsid w:val="0058353D"/>
    <w:rsid w:val="00587A6F"/>
    <w:rsid w:val="00591DB0"/>
    <w:rsid w:val="00591E68"/>
    <w:rsid w:val="005A2B64"/>
    <w:rsid w:val="005A4854"/>
    <w:rsid w:val="005B00E6"/>
    <w:rsid w:val="005B6234"/>
    <w:rsid w:val="005D0728"/>
    <w:rsid w:val="005D0DBA"/>
    <w:rsid w:val="005D39C9"/>
    <w:rsid w:val="005D3F34"/>
    <w:rsid w:val="005D7F15"/>
    <w:rsid w:val="005F6FAB"/>
    <w:rsid w:val="006008CA"/>
    <w:rsid w:val="00605D43"/>
    <w:rsid w:val="00612A6C"/>
    <w:rsid w:val="00613112"/>
    <w:rsid w:val="0061513F"/>
    <w:rsid w:val="0062130A"/>
    <w:rsid w:val="0062254C"/>
    <w:rsid w:val="00634294"/>
    <w:rsid w:val="006405B9"/>
    <w:rsid w:val="00651DD2"/>
    <w:rsid w:val="00652E99"/>
    <w:rsid w:val="00655E6F"/>
    <w:rsid w:val="006564F1"/>
    <w:rsid w:val="00657403"/>
    <w:rsid w:val="006604AC"/>
    <w:rsid w:val="006620AC"/>
    <w:rsid w:val="00663FA4"/>
    <w:rsid w:val="00665822"/>
    <w:rsid w:val="006663D6"/>
    <w:rsid w:val="00677562"/>
    <w:rsid w:val="00683695"/>
    <w:rsid w:val="00685254"/>
    <w:rsid w:val="00685C3A"/>
    <w:rsid w:val="00692079"/>
    <w:rsid w:val="0069423C"/>
    <w:rsid w:val="00694B1A"/>
    <w:rsid w:val="00695568"/>
    <w:rsid w:val="006978DD"/>
    <w:rsid w:val="006A6C88"/>
    <w:rsid w:val="006B1CC0"/>
    <w:rsid w:val="006B23A1"/>
    <w:rsid w:val="006B2EE0"/>
    <w:rsid w:val="006B35CB"/>
    <w:rsid w:val="006B60E9"/>
    <w:rsid w:val="006C164F"/>
    <w:rsid w:val="006C18BE"/>
    <w:rsid w:val="006C44A0"/>
    <w:rsid w:val="006C4C97"/>
    <w:rsid w:val="006C5AAB"/>
    <w:rsid w:val="006E2087"/>
    <w:rsid w:val="006E221A"/>
    <w:rsid w:val="006E67F7"/>
    <w:rsid w:val="006F0BDB"/>
    <w:rsid w:val="006F37F0"/>
    <w:rsid w:val="006F4E53"/>
    <w:rsid w:val="006F77F2"/>
    <w:rsid w:val="00703CB6"/>
    <w:rsid w:val="007108BD"/>
    <w:rsid w:val="00712505"/>
    <w:rsid w:val="00712C08"/>
    <w:rsid w:val="0072132F"/>
    <w:rsid w:val="00721E2F"/>
    <w:rsid w:val="007234DF"/>
    <w:rsid w:val="00733A16"/>
    <w:rsid w:val="00734FD1"/>
    <w:rsid w:val="00735A8C"/>
    <w:rsid w:val="00742588"/>
    <w:rsid w:val="007447BF"/>
    <w:rsid w:val="0074757D"/>
    <w:rsid w:val="0074796F"/>
    <w:rsid w:val="0075361E"/>
    <w:rsid w:val="00754799"/>
    <w:rsid w:val="00757DBF"/>
    <w:rsid w:val="007618F3"/>
    <w:rsid w:val="00764879"/>
    <w:rsid w:val="007655AF"/>
    <w:rsid w:val="00765ACF"/>
    <w:rsid w:val="00770DC7"/>
    <w:rsid w:val="0077390A"/>
    <w:rsid w:val="00773FE3"/>
    <w:rsid w:val="00774721"/>
    <w:rsid w:val="007766E3"/>
    <w:rsid w:val="00780C5D"/>
    <w:rsid w:val="0078112B"/>
    <w:rsid w:val="00784F41"/>
    <w:rsid w:val="00792366"/>
    <w:rsid w:val="00792944"/>
    <w:rsid w:val="00794D12"/>
    <w:rsid w:val="0079724A"/>
    <w:rsid w:val="007A29F5"/>
    <w:rsid w:val="007B0694"/>
    <w:rsid w:val="007B4552"/>
    <w:rsid w:val="007B6B06"/>
    <w:rsid w:val="007C4894"/>
    <w:rsid w:val="007C5B99"/>
    <w:rsid w:val="007D2037"/>
    <w:rsid w:val="007D2485"/>
    <w:rsid w:val="007D5B3A"/>
    <w:rsid w:val="007E3B4A"/>
    <w:rsid w:val="007F33B5"/>
    <w:rsid w:val="007F61DC"/>
    <w:rsid w:val="007F6BDE"/>
    <w:rsid w:val="008036AF"/>
    <w:rsid w:val="008045C3"/>
    <w:rsid w:val="00810718"/>
    <w:rsid w:val="008136C1"/>
    <w:rsid w:val="00814CEC"/>
    <w:rsid w:val="0081695E"/>
    <w:rsid w:val="00817145"/>
    <w:rsid w:val="008171F5"/>
    <w:rsid w:val="008178B8"/>
    <w:rsid w:val="00824880"/>
    <w:rsid w:val="00824C32"/>
    <w:rsid w:val="008269F1"/>
    <w:rsid w:val="008336AD"/>
    <w:rsid w:val="0083540F"/>
    <w:rsid w:val="00835F62"/>
    <w:rsid w:val="008365E6"/>
    <w:rsid w:val="008374F5"/>
    <w:rsid w:val="00837951"/>
    <w:rsid w:val="00842360"/>
    <w:rsid w:val="008529CB"/>
    <w:rsid w:val="00855842"/>
    <w:rsid w:val="00857BE6"/>
    <w:rsid w:val="00863536"/>
    <w:rsid w:val="008653F1"/>
    <w:rsid w:val="008732F2"/>
    <w:rsid w:val="008743D0"/>
    <w:rsid w:val="008743DF"/>
    <w:rsid w:val="00880282"/>
    <w:rsid w:val="00880648"/>
    <w:rsid w:val="00892B14"/>
    <w:rsid w:val="008A2D2B"/>
    <w:rsid w:val="008A40EE"/>
    <w:rsid w:val="008A743C"/>
    <w:rsid w:val="008B14B0"/>
    <w:rsid w:val="008C05E2"/>
    <w:rsid w:val="008C26C6"/>
    <w:rsid w:val="008C36DE"/>
    <w:rsid w:val="008C4274"/>
    <w:rsid w:val="008C7DA3"/>
    <w:rsid w:val="008D286A"/>
    <w:rsid w:val="008D5A82"/>
    <w:rsid w:val="008E09AF"/>
    <w:rsid w:val="008E2922"/>
    <w:rsid w:val="008E39D9"/>
    <w:rsid w:val="008E3B0A"/>
    <w:rsid w:val="008F2589"/>
    <w:rsid w:val="008F3AF5"/>
    <w:rsid w:val="008F4A25"/>
    <w:rsid w:val="008F69F5"/>
    <w:rsid w:val="009000CE"/>
    <w:rsid w:val="00900124"/>
    <w:rsid w:val="0090229C"/>
    <w:rsid w:val="00910674"/>
    <w:rsid w:val="00910AF6"/>
    <w:rsid w:val="00910B35"/>
    <w:rsid w:val="00914E62"/>
    <w:rsid w:val="00920A8A"/>
    <w:rsid w:val="00924523"/>
    <w:rsid w:val="00930D39"/>
    <w:rsid w:val="00932C65"/>
    <w:rsid w:val="00934408"/>
    <w:rsid w:val="0093744D"/>
    <w:rsid w:val="00937D06"/>
    <w:rsid w:val="009436E5"/>
    <w:rsid w:val="00943AF6"/>
    <w:rsid w:val="00944E61"/>
    <w:rsid w:val="00945D1E"/>
    <w:rsid w:val="00946574"/>
    <w:rsid w:val="009472C4"/>
    <w:rsid w:val="00950902"/>
    <w:rsid w:val="009663DC"/>
    <w:rsid w:val="009754E4"/>
    <w:rsid w:val="00975CCA"/>
    <w:rsid w:val="0097689A"/>
    <w:rsid w:val="0098274B"/>
    <w:rsid w:val="00984096"/>
    <w:rsid w:val="0099029F"/>
    <w:rsid w:val="00990F11"/>
    <w:rsid w:val="00992116"/>
    <w:rsid w:val="00992C79"/>
    <w:rsid w:val="00994F22"/>
    <w:rsid w:val="0099686C"/>
    <w:rsid w:val="009972BA"/>
    <w:rsid w:val="009A2CFD"/>
    <w:rsid w:val="009A3EB0"/>
    <w:rsid w:val="009A4E29"/>
    <w:rsid w:val="009A7764"/>
    <w:rsid w:val="009B219F"/>
    <w:rsid w:val="009B2C1A"/>
    <w:rsid w:val="009B736F"/>
    <w:rsid w:val="009E5F1E"/>
    <w:rsid w:val="00A021A7"/>
    <w:rsid w:val="00A042AE"/>
    <w:rsid w:val="00A10EE9"/>
    <w:rsid w:val="00A1124E"/>
    <w:rsid w:val="00A1160A"/>
    <w:rsid w:val="00A1252C"/>
    <w:rsid w:val="00A16113"/>
    <w:rsid w:val="00A2041F"/>
    <w:rsid w:val="00A20FB3"/>
    <w:rsid w:val="00A24372"/>
    <w:rsid w:val="00A250AC"/>
    <w:rsid w:val="00A320E6"/>
    <w:rsid w:val="00A3474E"/>
    <w:rsid w:val="00A36DBF"/>
    <w:rsid w:val="00A375EA"/>
    <w:rsid w:val="00A44CA8"/>
    <w:rsid w:val="00A469C8"/>
    <w:rsid w:val="00A47312"/>
    <w:rsid w:val="00A47782"/>
    <w:rsid w:val="00A513CE"/>
    <w:rsid w:val="00A52AB9"/>
    <w:rsid w:val="00A5786F"/>
    <w:rsid w:val="00A57E41"/>
    <w:rsid w:val="00A61FEF"/>
    <w:rsid w:val="00A65EEA"/>
    <w:rsid w:val="00A74B66"/>
    <w:rsid w:val="00A774EA"/>
    <w:rsid w:val="00A77670"/>
    <w:rsid w:val="00A80F0A"/>
    <w:rsid w:val="00A845CF"/>
    <w:rsid w:val="00A84D49"/>
    <w:rsid w:val="00A857E7"/>
    <w:rsid w:val="00A85E1A"/>
    <w:rsid w:val="00A92DB2"/>
    <w:rsid w:val="00AA0DBE"/>
    <w:rsid w:val="00AA6632"/>
    <w:rsid w:val="00AA7CE2"/>
    <w:rsid w:val="00AB1B29"/>
    <w:rsid w:val="00AB3CB3"/>
    <w:rsid w:val="00AB782B"/>
    <w:rsid w:val="00AC6350"/>
    <w:rsid w:val="00AD395C"/>
    <w:rsid w:val="00AD4A4E"/>
    <w:rsid w:val="00AD4E15"/>
    <w:rsid w:val="00AD61F6"/>
    <w:rsid w:val="00AD70C8"/>
    <w:rsid w:val="00AE6346"/>
    <w:rsid w:val="00AE6CE1"/>
    <w:rsid w:val="00AE6D07"/>
    <w:rsid w:val="00AE6DE8"/>
    <w:rsid w:val="00AF59EA"/>
    <w:rsid w:val="00B01445"/>
    <w:rsid w:val="00B04644"/>
    <w:rsid w:val="00B0588A"/>
    <w:rsid w:val="00B06F43"/>
    <w:rsid w:val="00B077C5"/>
    <w:rsid w:val="00B14A4A"/>
    <w:rsid w:val="00B16677"/>
    <w:rsid w:val="00B16A90"/>
    <w:rsid w:val="00B1765E"/>
    <w:rsid w:val="00B213BB"/>
    <w:rsid w:val="00B23DEF"/>
    <w:rsid w:val="00B24756"/>
    <w:rsid w:val="00B25E24"/>
    <w:rsid w:val="00B36958"/>
    <w:rsid w:val="00B416F4"/>
    <w:rsid w:val="00B42265"/>
    <w:rsid w:val="00B42784"/>
    <w:rsid w:val="00B436A5"/>
    <w:rsid w:val="00B44FB2"/>
    <w:rsid w:val="00B455E2"/>
    <w:rsid w:val="00B531B6"/>
    <w:rsid w:val="00B5453D"/>
    <w:rsid w:val="00B602FF"/>
    <w:rsid w:val="00B60818"/>
    <w:rsid w:val="00B6231A"/>
    <w:rsid w:val="00B67F6B"/>
    <w:rsid w:val="00B7404A"/>
    <w:rsid w:val="00B75952"/>
    <w:rsid w:val="00B77C2D"/>
    <w:rsid w:val="00B8199A"/>
    <w:rsid w:val="00B85F4D"/>
    <w:rsid w:val="00B941CF"/>
    <w:rsid w:val="00B94B1C"/>
    <w:rsid w:val="00B94E95"/>
    <w:rsid w:val="00BA1C68"/>
    <w:rsid w:val="00BA775C"/>
    <w:rsid w:val="00BB1464"/>
    <w:rsid w:val="00BB19A0"/>
    <w:rsid w:val="00BB1A09"/>
    <w:rsid w:val="00BB40E8"/>
    <w:rsid w:val="00BB6684"/>
    <w:rsid w:val="00BC12E3"/>
    <w:rsid w:val="00BC4072"/>
    <w:rsid w:val="00BC754E"/>
    <w:rsid w:val="00BD2EDF"/>
    <w:rsid w:val="00BD4536"/>
    <w:rsid w:val="00BE0057"/>
    <w:rsid w:val="00BE7AFB"/>
    <w:rsid w:val="00BF1B12"/>
    <w:rsid w:val="00BF47A9"/>
    <w:rsid w:val="00C02160"/>
    <w:rsid w:val="00C02161"/>
    <w:rsid w:val="00C03CF1"/>
    <w:rsid w:val="00C16657"/>
    <w:rsid w:val="00C17A84"/>
    <w:rsid w:val="00C2035E"/>
    <w:rsid w:val="00C20FC9"/>
    <w:rsid w:val="00C2309B"/>
    <w:rsid w:val="00C32FBE"/>
    <w:rsid w:val="00C351BB"/>
    <w:rsid w:val="00C3688C"/>
    <w:rsid w:val="00C40C06"/>
    <w:rsid w:val="00C466D2"/>
    <w:rsid w:val="00C468D7"/>
    <w:rsid w:val="00C46B6E"/>
    <w:rsid w:val="00C51350"/>
    <w:rsid w:val="00C534DC"/>
    <w:rsid w:val="00C553B8"/>
    <w:rsid w:val="00C57715"/>
    <w:rsid w:val="00C643C4"/>
    <w:rsid w:val="00C66E9C"/>
    <w:rsid w:val="00C677A5"/>
    <w:rsid w:val="00C7077C"/>
    <w:rsid w:val="00C7210B"/>
    <w:rsid w:val="00C756BA"/>
    <w:rsid w:val="00C77314"/>
    <w:rsid w:val="00C808A7"/>
    <w:rsid w:val="00C8484D"/>
    <w:rsid w:val="00C90538"/>
    <w:rsid w:val="00C912A4"/>
    <w:rsid w:val="00C93ED7"/>
    <w:rsid w:val="00CA0F8E"/>
    <w:rsid w:val="00CA1CE0"/>
    <w:rsid w:val="00CA2BD3"/>
    <w:rsid w:val="00CA2EB1"/>
    <w:rsid w:val="00CA3890"/>
    <w:rsid w:val="00CA3F22"/>
    <w:rsid w:val="00CA5324"/>
    <w:rsid w:val="00CA7110"/>
    <w:rsid w:val="00CB61B8"/>
    <w:rsid w:val="00CB67CA"/>
    <w:rsid w:val="00CB7C32"/>
    <w:rsid w:val="00CC108E"/>
    <w:rsid w:val="00CC66C0"/>
    <w:rsid w:val="00CD1FCD"/>
    <w:rsid w:val="00CD76D6"/>
    <w:rsid w:val="00CE0D59"/>
    <w:rsid w:val="00CF50AF"/>
    <w:rsid w:val="00CF6100"/>
    <w:rsid w:val="00CF6EE7"/>
    <w:rsid w:val="00D1204C"/>
    <w:rsid w:val="00D15BD9"/>
    <w:rsid w:val="00D165FD"/>
    <w:rsid w:val="00D1721C"/>
    <w:rsid w:val="00D22B72"/>
    <w:rsid w:val="00D2428A"/>
    <w:rsid w:val="00D32745"/>
    <w:rsid w:val="00D41201"/>
    <w:rsid w:val="00D43AD7"/>
    <w:rsid w:val="00D51C0F"/>
    <w:rsid w:val="00D6179F"/>
    <w:rsid w:val="00D72735"/>
    <w:rsid w:val="00D72EDF"/>
    <w:rsid w:val="00D744AB"/>
    <w:rsid w:val="00D759AB"/>
    <w:rsid w:val="00D860F8"/>
    <w:rsid w:val="00D91322"/>
    <w:rsid w:val="00D95CA9"/>
    <w:rsid w:val="00D96338"/>
    <w:rsid w:val="00D96C6C"/>
    <w:rsid w:val="00DA015B"/>
    <w:rsid w:val="00DA03FE"/>
    <w:rsid w:val="00DA223F"/>
    <w:rsid w:val="00DA3A1E"/>
    <w:rsid w:val="00DA417E"/>
    <w:rsid w:val="00DA47D7"/>
    <w:rsid w:val="00DA5C3C"/>
    <w:rsid w:val="00DA670E"/>
    <w:rsid w:val="00DB03F9"/>
    <w:rsid w:val="00DB18A8"/>
    <w:rsid w:val="00DB2759"/>
    <w:rsid w:val="00DB54DB"/>
    <w:rsid w:val="00DB7869"/>
    <w:rsid w:val="00DC174C"/>
    <w:rsid w:val="00DC77C3"/>
    <w:rsid w:val="00DC7BAE"/>
    <w:rsid w:val="00DD16A1"/>
    <w:rsid w:val="00DD3D04"/>
    <w:rsid w:val="00DD5B1F"/>
    <w:rsid w:val="00DD6AB1"/>
    <w:rsid w:val="00DE0FE9"/>
    <w:rsid w:val="00DE44EB"/>
    <w:rsid w:val="00DE4F2E"/>
    <w:rsid w:val="00DE7452"/>
    <w:rsid w:val="00DE7FE2"/>
    <w:rsid w:val="00DF1311"/>
    <w:rsid w:val="00DF5D5C"/>
    <w:rsid w:val="00E01AD7"/>
    <w:rsid w:val="00E04D58"/>
    <w:rsid w:val="00E05C97"/>
    <w:rsid w:val="00E06B53"/>
    <w:rsid w:val="00E12041"/>
    <w:rsid w:val="00E1212D"/>
    <w:rsid w:val="00E1548B"/>
    <w:rsid w:val="00E20B15"/>
    <w:rsid w:val="00E22660"/>
    <w:rsid w:val="00E3216E"/>
    <w:rsid w:val="00E32B1B"/>
    <w:rsid w:val="00E428E0"/>
    <w:rsid w:val="00E4792D"/>
    <w:rsid w:val="00E5564F"/>
    <w:rsid w:val="00E55C92"/>
    <w:rsid w:val="00E56B74"/>
    <w:rsid w:val="00E61567"/>
    <w:rsid w:val="00E64B8F"/>
    <w:rsid w:val="00E64E0D"/>
    <w:rsid w:val="00E67A57"/>
    <w:rsid w:val="00E73665"/>
    <w:rsid w:val="00E73A59"/>
    <w:rsid w:val="00E76A0D"/>
    <w:rsid w:val="00E846FA"/>
    <w:rsid w:val="00E900F1"/>
    <w:rsid w:val="00EA1C89"/>
    <w:rsid w:val="00EA2115"/>
    <w:rsid w:val="00EA70CF"/>
    <w:rsid w:val="00EB1654"/>
    <w:rsid w:val="00EB26B6"/>
    <w:rsid w:val="00EB33CC"/>
    <w:rsid w:val="00EB565D"/>
    <w:rsid w:val="00EB592B"/>
    <w:rsid w:val="00EB60CC"/>
    <w:rsid w:val="00EC4088"/>
    <w:rsid w:val="00ED0EC9"/>
    <w:rsid w:val="00ED1D2B"/>
    <w:rsid w:val="00ED626C"/>
    <w:rsid w:val="00EE167E"/>
    <w:rsid w:val="00EE32A5"/>
    <w:rsid w:val="00EE574D"/>
    <w:rsid w:val="00EE7591"/>
    <w:rsid w:val="00EF20DB"/>
    <w:rsid w:val="00EF7B21"/>
    <w:rsid w:val="00F0000B"/>
    <w:rsid w:val="00F015F2"/>
    <w:rsid w:val="00F144E8"/>
    <w:rsid w:val="00F21FC9"/>
    <w:rsid w:val="00F2235A"/>
    <w:rsid w:val="00F2271A"/>
    <w:rsid w:val="00F23785"/>
    <w:rsid w:val="00F24DD9"/>
    <w:rsid w:val="00F25911"/>
    <w:rsid w:val="00F263C9"/>
    <w:rsid w:val="00F2644A"/>
    <w:rsid w:val="00F27E8A"/>
    <w:rsid w:val="00F3575B"/>
    <w:rsid w:val="00F3725A"/>
    <w:rsid w:val="00F4011C"/>
    <w:rsid w:val="00F429E7"/>
    <w:rsid w:val="00F44C9D"/>
    <w:rsid w:val="00F47DB8"/>
    <w:rsid w:val="00F5076E"/>
    <w:rsid w:val="00F5353C"/>
    <w:rsid w:val="00F55D4A"/>
    <w:rsid w:val="00F60184"/>
    <w:rsid w:val="00F613CA"/>
    <w:rsid w:val="00F616E0"/>
    <w:rsid w:val="00F62BF0"/>
    <w:rsid w:val="00F66164"/>
    <w:rsid w:val="00F676ED"/>
    <w:rsid w:val="00F73A94"/>
    <w:rsid w:val="00F74334"/>
    <w:rsid w:val="00F7483A"/>
    <w:rsid w:val="00F74A1B"/>
    <w:rsid w:val="00F76E68"/>
    <w:rsid w:val="00F7706F"/>
    <w:rsid w:val="00F84633"/>
    <w:rsid w:val="00F84793"/>
    <w:rsid w:val="00F8641F"/>
    <w:rsid w:val="00F93E85"/>
    <w:rsid w:val="00F97E04"/>
    <w:rsid w:val="00F97ED6"/>
    <w:rsid w:val="00FA360A"/>
    <w:rsid w:val="00FA46BA"/>
    <w:rsid w:val="00FA789E"/>
    <w:rsid w:val="00FB6FA5"/>
    <w:rsid w:val="00FB757C"/>
    <w:rsid w:val="00FB7BAA"/>
    <w:rsid w:val="00FC202B"/>
    <w:rsid w:val="00FC3494"/>
    <w:rsid w:val="00FC55AE"/>
    <w:rsid w:val="00FD41A7"/>
    <w:rsid w:val="00FD7017"/>
    <w:rsid w:val="00FE00FF"/>
    <w:rsid w:val="00FE3B7D"/>
    <w:rsid w:val="00FE5916"/>
    <w:rsid w:val="00FF23CC"/>
    <w:rsid w:val="00FF27F0"/>
    <w:rsid w:val="01C76FF4"/>
    <w:rsid w:val="01FC384A"/>
    <w:rsid w:val="028176A9"/>
    <w:rsid w:val="032164B4"/>
    <w:rsid w:val="033E6596"/>
    <w:rsid w:val="038F0529"/>
    <w:rsid w:val="03BA68A4"/>
    <w:rsid w:val="046B62A4"/>
    <w:rsid w:val="04C80A50"/>
    <w:rsid w:val="05C26A6C"/>
    <w:rsid w:val="05C329CC"/>
    <w:rsid w:val="06167792"/>
    <w:rsid w:val="061A5059"/>
    <w:rsid w:val="067769EE"/>
    <w:rsid w:val="06825953"/>
    <w:rsid w:val="06BB3497"/>
    <w:rsid w:val="06DF163E"/>
    <w:rsid w:val="07BA29CB"/>
    <w:rsid w:val="07E92D8B"/>
    <w:rsid w:val="08713B21"/>
    <w:rsid w:val="08797B32"/>
    <w:rsid w:val="08AE1F8E"/>
    <w:rsid w:val="0914011E"/>
    <w:rsid w:val="09404292"/>
    <w:rsid w:val="0A080230"/>
    <w:rsid w:val="0A8E71CF"/>
    <w:rsid w:val="0ABE74DA"/>
    <w:rsid w:val="0ACC04FC"/>
    <w:rsid w:val="0BB5139A"/>
    <w:rsid w:val="0C2870DB"/>
    <w:rsid w:val="0CDF099D"/>
    <w:rsid w:val="0D130EA5"/>
    <w:rsid w:val="0D69482B"/>
    <w:rsid w:val="0DD80D60"/>
    <w:rsid w:val="0E8D066C"/>
    <w:rsid w:val="0E934B16"/>
    <w:rsid w:val="0ECD76EC"/>
    <w:rsid w:val="0F7102E3"/>
    <w:rsid w:val="0F716AF9"/>
    <w:rsid w:val="0F871E57"/>
    <w:rsid w:val="10F31ED2"/>
    <w:rsid w:val="10FB141F"/>
    <w:rsid w:val="13677E24"/>
    <w:rsid w:val="13AA66FD"/>
    <w:rsid w:val="140B6C2C"/>
    <w:rsid w:val="145F697A"/>
    <w:rsid w:val="148015C0"/>
    <w:rsid w:val="14AD58CE"/>
    <w:rsid w:val="1503183F"/>
    <w:rsid w:val="157A2F8C"/>
    <w:rsid w:val="159031EF"/>
    <w:rsid w:val="15D80089"/>
    <w:rsid w:val="1600771B"/>
    <w:rsid w:val="16153802"/>
    <w:rsid w:val="168D6F19"/>
    <w:rsid w:val="16DB74E3"/>
    <w:rsid w:val="173D5065"/>
    <w:rsid w:val="178E7573"/>
    <w:rsid w:val="17C15040"/>
    <w:rsid w:val="180010AD"/>
    <w:rsid w:val="181A4DD1"/>
    <w:rsid w:val="1886143D"/>
    <w:rsid w:val="18AA5B83"/>
    <w:rsid w:val="19236B7C"/>
    <w:rsid w:val="193852D4"/>
    <w:rsid w:val="19445B69"/>
    <w:rsid w:val="1AA43B08"/>
    <w:rsid w:val="1AA55966"/>
    <w:rsid w:val="1B110EB4"/>
    <w:rsid w:val="1B7C277F"/>
    <w:rsid w:val="1B9E5E5D"/>
    <w:rsid w:val="1DE87974"/>
    <w:rsid w:val="1EF352AC"/>
    <w:rsid w:val="1F422BCC"/>
    <w:rsid w:val="20921C6E"/>
    <w:rsid w:val="20D06598"/>
    <w:rsid w:val="2116794B"/>
    <w:rsid w:val="215C7EC7"/>
    <w:rsid w:val="226C3AFE"/>
    <w:rsid w:val="228544F2"/>
    <w:rsid w:val="233A3300"/>
    <w:rsid w:val="253C424E"/>
    <w:rsid w:val="25623CE0"/>
    <w:rsid w:val="25F7179C"/>
    <w:rsid w:val="278F2917"/>
    <w:rsid w:val="287813E5"/>
    <w:rsid w:val="28B9002A"/>
    <w:rsid w:val="28FA54E8"/>
    <w:rsid w:val="29ED6B20"/>
    <w:rsid w:val="2A3E2B02"/>
    <w:rsid w:val="2A4E56E7"/>
    <w:rsid w:val="2BAF0CE8"/>
    <w:rsid w:val="2C10610D"/>
    <w:rsid w:val="2C141E75"/>
    <w:rsid w:val="2C2435B2"/>
    <w:rsid w:val="2C6900D0"/>
    <w:rsid w:val="2C8252C1"/>
    <w:rsid w:val="2D0E7EF8"/>
    <w:rsid w:val="2DB67D52"/>
    <w:rsid w:val="2EC15EC1"/>
    <w:rsid w:val="2ED322A9"/>
    <w:rsid w:val="305361E5"/>
    <w:rsid w:val="332819F2"/>
    <w:rsid w:val="33CD35DD"/>
    <w:rsid w:val="34B2789A"/>
    <w:rsid w:val="35062681"/>
    <w:rsid w:val="35277A3A"/>
    <w:rsid w:val="35401001"/>
    <w:rsid w:val="36796BCB"/>
    <w:rsid w:val="369D0E59"/>
    <w:rsid w:val="37392F69"/>
    <w:rsid w:val="3755095F"/>
    <w:rsid w:val="37723089"/>
    <w:rsid w:val="37881521"/>
    <w:rsid w:val="37E9455E"/>
    <w:rsid w:val="383F1F0E"/>
    <w:rsid w:val="38764804"/>
    <w:rsid w:val="39A762A3"/>
    <w:rsid w:val="3A785728"/>
    <w:rsid w:val="3AA97831"/>
    <w:rsid w:val="3BA76463"/>
    <w:rsid w:val="3BCA3066"/>
    <w:rsid w:val="3CA1161A"/>
    <w:rsid w:val="3CFF27BA"/>
    <w:rsid w:val="3E84791C"/>
    <w:rsid w:val="3E940B72"/>
    <w:rsid w:val="3EBFCC81"/>
    <w:rsid w:val="4019128C"/>
    <w:rsid w:val="403A65B2"/>
    <w:rsid w:val="40606B81"/>
    <w:rsid w:val="40D16C92"/>
    <w:rsid w:val="40E40903"/>
    <w:rsid w:val="415D38C7"/>
    <w:rsid w:val="41791A4B"/>
    <w:rsid w:val="42075E58"/>
    <w:rsid w:val="42500597"/>
    <w:rsid w:val="425043A9"/>
    <w:rsid w:val="42B75E7A"/>
    <w:rsid w:val="43AD31C2"/>
    <w:rsid w:val="4406186A"/>
    <w:rsid w:val="448B7B5E"/>
    <w:rsid w:val="452F1758"/>
    <w:rsid w:val="455137A8"/>
    <w:rsid w:val="469600D4"/>
    <w:rsid w:val="46E01FFF"/>
    <w:rsid w:val="47345B43"/>
    <w:rsid w:val="479C0F48"/>
    <w:rsid w:val="47B34089"/>
    <w:rsid w:val="47DB3CE8"/>
    <w:rsid w:val="48463C2C"/>
    <w:rsid w:val="48B732E5"/>
    <w:rsid w:val="49923B99"/>
    <w:rsid w:val="4A0A79F3"/>
    <w:rsid w:val="4A3B0653"/>
    <w:rsid w:val="4A412A67"/>
    <w:rsid w:val="4A5761FE"/>
    <w:rsid w:val="4A944709"/>
    <w:rsid w:val="4B7FD68F"/>
    <w:rsid w:val="4CC24545"/>
    <w:rsid w:val="4D3413C9"/>
    <w:rsid w:val="4D3A4220"/>
    <w:rsid w:val="4DE31BC7"/>
    <w:rsid w:val="4E5C3D37"/>
    <w:rsid w:val="4EC64C6F"/>
    <w:rsid w:val="4F17179E"/>
    <w:rsid w:val="50BF72F3"/>
    <w:rsid w:val="50D57461"/>
    <w:rsid w:val="510205CA"/>
    <w:rsid w:val="513E6354"/>
    <w:rsid w:val="519F037D"/>
    <w:rsid w:val="526102E0"/>
    <w:rsid w:val="52C4218B"/>
    <w:rsid w:val="52D8521E"/>
    <w:rsid w:val="52ED3E30"/>
    <w:rsid w:val="530C70EF"/>
    <w:rsid w:val="53491DE5"/>
    <w:rsid w:val="53516E37"/>
    <w:rsid w:val="53BA741D"/>
    <w:rsid w:val="562F471A"/>
    <w:rsid w:val="56F21C2E"/>
    <w:rsid w:val="57AB2523"/>
    <w:rsid w:val="57F96141"/>
    <w:rsid w:val="57FD30CA"/>
    <w:rsid w:val="5843164F"/>
    <w:rsid w:val="5ACC7844"/>
    <w:rsid w:val="5AEE1935"/>
    <w:rsid w:val="5B013E7A"/>
    <w:rsid w:val="5DB842BF"/>
    <w:rsid w:val="5DD70598"/>
    <w:rsid w:val="5F1F28FE"/>
    <w:rsid w:val="5F382347"/>
    <w:rsid w:val="5F7DD34F"/>
    <w:rsid w:val="5FA10193"/>
    <w:rsid w:val="6143407C"/>
    <w:rsid w:val="61C176C2"/>
    <w:rsid w:val="62315533"/>
    <w:rsid w:val="62C17E5F"/>
    <w:rsid w:val="63BD124F"/>
    <w:rsid w:val="63DE6D8C"/>
    <w:rsid w:val="64BF4D2A"/>
    <w:rsid w:val="65E70806"/>
    <w:rsid w:val="66403D70"/>
    <w:rsid w:val="68620CBD"/>
    <w:rsid w:val="6894486A"/>
    <w:rsid w:val="692C5405"/>
    <w:rsid w:val="6AE04FAB"/>
    <w:rsid w:val="6BDF1639"/>
    <w:rsid w:val="6C177BF8"/>
    <w:rsid w:val="6CCC5704"/>
    <w:rsid w:val="6D430ED2"/>
    <w:rsid w:val="6D9306B2"/>
    <w:rsid w:val="6ED23AA0"/>
    <w:rsid w:val="6F742173"/>
    <w:rsid w:val="6F7946CA"/>
    <w:rsid w:val="6F7C1F27"/>
    <w:rsid w:val="707974DF"/>
    <w:rsid w:val="7080269D"/>
    <w:rsid w:val="709219E8"/>
    <w:rsid w:val="70FB7954"/>
    <w:rsid w:val="720777AD"/>
    <w:rsid w:val="7235260C"/>
    <w:rsid w:val="727F34DF"/>
    <w:rsid w:val="72D3337D"/>
    <w:rsid w:val="72F94AC0"/>
    <w:rsid w:val="732D5C76"/>
    <w:rsid w:val="743F1FC9"/>
    <w:rsid w:val="74863EF0"/>
    <w:rsid w:val="74A01D1B"/>
    <w:rsid w:val="75EF6733"/>
    <w:rsid w:val="76884B83"/>
    <w:rsid w:val="790960F5"/>
    <w:rsid w:val="7A7B1A65"/>
    <w:rsid w:val="7A7C5466"/>
    <w:rsid w:val="7AFF3108"/>
    <w:rsid w:val="7B653C75"/>
    <w:rsid w:val="7B7B467D"/>
    <w:rsid w:val="7BB10FB0"/>
    <w:rsid w:val="7BE723E0"/>
    <w:rsid w:val="7C49406A"/>
    <w:rsid w:val="7DB12889"/>
    <w:rsid w:val="7DDF6B71"/>
    <w:rsid w:val="7F2306EA"/>
    <w:rsid w:val="7F360F45"/>
    <w:rsid w:val="7FB32B38"/>
    <w:rsid w:val="7FD9D07F"/>
    <w:rsid w:val="7FFE42BB"/>
    <w:rsid w:val="7FFF0275"/>
    <w:rsid w:val="B3FF605D"/>
    <w:rsid w:val="BF5FB2F3"/>
    <w:rsid w:val="BF6FC22B"/>
    <w:rsid w:val="CEBDED32"/>
    <w:rsid w:val="DFFFEACF"/>
    <w:rsid w:val="E5F7CF0F"/>
    <w:rsid w:val="E7BB4A40"/>
    <w:rsid w:val="EEB7FE47"/>
    <w:rsid w:val="EEDF520F"/>
    <w:rsid w:val="EF7DC35E"/>
    <w:rsid w:val="EFB63C7B"/>
    <w:rsid w:val="EFED54E6"/>
    <w:rsid w:val="F54E85DA"/>
    <w:rsid w:val="F57F4E29"/>
    <w:rsid w:val="F6EF0E4B"/>
    <w:rsid w:val="FB96D2A3"/>
    <w:rsid w:val="FCFA3F6C"/>
    <w:rsid w:val="FDC411CC"/>
    <w:rsid w:val="FEBEFE5A"/>
    <w:rsid w:val="FED973F1"/>
    <w:rsid w:val="FEF42807"/>
    <w:rsid w:val="FF3B8D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66"/>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link w:val="19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link w:val="158"/>
    <w:qFormat/>
    <w:uiPriority w:val="0"/>
    <w:pPr>
      <w:keepNext/>
      <w:keepLines/>
      <w:spacing w:before="260" w:beforeLines="0" w:after="260" w:afterLines="0" w:line="416" w:lineRule="auto"/>
      <w:outlineLvl w:val="2"/>
    </w:pPr>
    <w:rPr>
      <w:b/>
      <w:bCs/>
      <w:sz w:val="32"/>
      <w:szCs w:val="32"/>
    </w:rPr>
  </w:style>
  <w:style w:type="paragraph" w:styleId="7">
    <w:name w:val="heading 4"/>
    <w:basedOn w:val="6"/>
    <w:next w:val="8"/>
    <w:link w:val="195"/>
    <w:qFormat/>
    <w:uiPriority w:val="0"/>
    <w:pPr>
      <w:numPr>
        <w:ilvl w:val="3"/>
        <w:numId w:val="1"/>
      </w:numPr>
      <w:spacing w:before="156" w:beforeLines="50" w:after="156" w:afterLines="50" w:line="360" w:lineRule="auto"/>
      <w:jc w:val="center"/>
      <w:outlineLvl w:val="3"/>
    </w:pPr>
    <w:rPr>
      <w:rFonts w:ascii="Arial" w:hAnsi="Arial"/>
      <w:b w:val="0"/>
      <w:bCs w:val="0"/>
      <w:color w:val="000000"/>
      <w:sz w:val="24"/>
      <w:szCs w:val="24"/>
      <w:lang w:val="en-US" w:eastAsia="zh-CN"/>
    </w:rPr>
  </w:style>
  <w:style w:type="paragraph" w:styleId="9">
    <w:name w:val="heading 5"/>
    <w:basedOn w:val="7"/>
    <w:next w:val="8"/>
    <w:link w:val="134"/>
    <w:qFormat/>
    <w:uiPriority w:val="0"/>
    <w:pPr>
      <w:numPr>
        <w:ilvl w:val="4"/>
        <w:numId w:val="1"/>
      </w:numPr>
      <w:spacing w:line="240" w:lineRule="exact"/>
      <w:outlineLvl w:val="4"/>
    </w:pPr>
  </w:style>
  <w:style w:type="paragraph" w:styleId="10">
    <w:name w:val="heading 6"/>
    <w:basedOn w:val="1"/>
    <w:next w:val="1"/>
    <w:link w:val="186"/>
    <w:qFormat/>
    <w:uiPriority w:val="0"/>
    <w:pPr>
      <w:keepNext/>
      <w:keepLines/>
      <w:adjustRightInd w:val="0"/>
      <w:spacing w:before="240" w:beforeLines="0" w:after="64" w:afterLines="0" w:line="320" w:lineRule="atLeast"/>
      <w:textAlignment w:val="baseline"/>
      <w:outlineLvl w:val="5"/>
    </w:pPr>
    <w:rPr>
      <w:rFonts w:ascii="Cambria" w:hAnsi="Cambria"/>
      <w:b/>
      <w:bCs/>
      <w:kern w:val="0"/>
      <w:sz w:val="24"/>
      <w:szCs w:val="24"/>
    </w:rPr>
  </w:style>
  <w:style w:type="paragraph" w:styleId="11">
    <w:name w:val="heading 7"/>
    <w:basedOn w:val="1"/>
    <w:next w:val="8"/>
    <w:link w:val="149"/>
    <w:qFormat/>
    <w:uiPriority w:val="0"/>
    <w:pPr>
      <w:keepNext/>
      <w:keepLines/>
      <w:numPr>
        <w:ilvl w:val="6"/>
        <w:numId w:val="1"/>
      </w:numPr>
      <w:spacing w:before="240" w:beforeLines="0" w:after="64" w:afterLines="0" w:line="320" w:lineRule="auto"/>
      <w:outlineLvl w:val="6"/>
    </w:pPr>
    <w:rPr>
      <w:b/>
      <w:sz w:val="24"/>
    </w:rPr>
  </w:style>
  <w:style w:type="paragraph" w:styleId="12">
    <w:name w:val="heading 8"/>
    <w:basedOn w:val="1"/>
    <w:next w:val="8"/>
    <w:link w:val="144"/>
    <w:qFormat/>
    <w:uiPriority w:val="0"/>
    <w:pPr>
      <w:keepNext/>
      <w:keepLines/>
      <w:numPr>
        <w:ilvl w:val="7"/>
        <w:numId w:val="1"/>
      </w:numPr>
      <w:spacing w:before="240" w:beforeLines="0" w:after="64" w:afterLines="0" w:line="320" w:lineRule="auto"/>
      <w:outlineLvl w:val="7"/>
    </w:pPr>
    <w:rPr>
      <w:rFonts w:ascii="Arial" w:hAnsi="Arial" w:eastAsia="黑体"/>
      <w:sz w:val="24"/>
    </w:rPr>
  </w:style>
  <w:style w:type="paragraph" w:styleId="13">
    <w:name w:val="heading 9"/>
    <w:basedOn w:val="1"/>
    <w:next w:val="8"/>
    <w:link w:val="137"/>
    <w:qFormat/>
    <w:uiPriority w:val="0"/>
    <w:pPr>
      <w:keepNext/>
      <w:keepLines/>
      <w:numPr>
        <w:ilvl w:val="8"/>
        <w:numId w:val="1"/>
      </w:numPr>
      <w:spacing w:before="240" w:beforeLines="0" w:after="64" w:afterLines="0" w:line="320" w:lineRule="auto"/>
      <w:outlineLvl w:val="8"/>
    </w:pPr>
    <w:rPr>
      <w:rFonts w:ascii="Arial" w:hAnsi="Arial" w:eastAsia="黑体"/>
    </w:rPr>
  </w:style>
  <w:style w:type="character" w:default="1" w:styleId="43">
    <w:name w:val="Default Paragraph Font"/>
    <w:semiHidden/>
    <w:qFormat/>
    <w:uiPriority w:val="0"/>
  </w:style>
  <w:style w:type="table" w:default="1" w:styleId="4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3"/>
    <w:link w:val="147"/>
    <w:qFormat/>
    <w:uiPriority w:val="0"/>
    <w:pPr>
      <w:spacing w:after="120" w:afterLines="0"/>
    </w:pPr>
  </w:style>
  <w:style w:type="paragraph" w:styleId="3">
    <w:name w:val="Title"/>
    <w:basedOn w:val="1"/>
    <w:next w:val="1"/>
    <w:link w:val="154"/>
    <w:qFormat/>
    <w:uiPriority w:val="10"/>
    <w:pPr>
      <w:spacing w:before="240" w:after="60"/>
      <w:jc w:val="center"/>
      <w:outlineLvl w:val="0"/>
    </w:pPr>
    <w:rPr>
      <w:rFonts w:ascii="Cambria" w:hAnsi="Cambria"/>
      <w:b/>
      <w:bCs/>
      <w:sz w:val="32"/>
      <w:szCs w:val="32"/>
    </w:rPr>
  </w:style>
  <w:style w:type="paragraph" w:styleId="8">
    <w:name w:val="Normal Indent"/>
    <w:basedOn w:val="1"/>
    <w:qFormat/>
    <w:uiPriority w:val="0"/>
    <w:pPr>
      <w:ind w:firstLine="420" w:firstLineChars="200"/>
    </w:pPr>
  </w:style>
  <w:style w:type="paragraph" w:styleId="14">
    <w:name w:val="toc 7"/>
    <w:basedOn w:val="1"/>
    <w:next w:val="1"/>
    <w:qFormat/>
    <w:uiPriority w:val="0"/>
    <w:pPr>
      <w:ind w:left="1260"/>
      <w:jc w:val="left"/>
    </w:pPr>
    <w:rPr>
      <w:sz w:val="18"/>
      <w:szCs w:val="18"/>
    </w:rPr>
  </w:style>
  <w:style w:type="paragraph" w:styleId="15">
    <w:name w:val="Document Map"/>
    <w:basedOn w:val="1"/>
    <w:link w:val="177"/>
    <w:qFormat/>
    <w:uiPriority w:val="0"/>
    <w:pPr>
      <w:shd w:val="clear" w:color="auto" w:fill="000080"/>
    </w:pPr>
  </w:style>
  <w:style w:type="paragraph" w:styleId="16">
    <w:name w:val="annotation text"/>
    <w:basedOn w:val="1"/>
    <w:link w:val="197"/>
    <w:qFormat/>
    <w:uiPriority w:val="0"/>
    <w:pPr>
      <w:jc w:val="left"/>
    </w:pPr>
  </w:style>
  <w:style w:type="paragraph" w:styleId="17">
    <w:name w:val="Body Text 3"/>
    <w:basedOn w:val="1"/>
    <w:link w:val="211"/>
    <w:qFormat/>
    <w:uiPriority w:val="0"/>
    <w:pPr>
      <w:spacing w:after="120" w:afterLines="0"/>
    </w:pPr>
    <w:rPr>
      <w:sz w:val="16"/>
      <w:szCs w:val="16"/>
    </w:rPr>
  </w:style>
  <w:style w:type="paragraph" w:styleId="18">
    <w:name w:val="Body Text Indent"/>
    <w:basedOn w:val="1"/>
    <w:link w:val="208"/>
    <w:qFormat/>
    <w:uiPriority w:val="0"/>
    <w:pPr>
      <w:spacing w:after="120" w:afterLines="0"/>
      <w:ind w:left="420" w:leftChars="200"/>
    </w:pPr>
  </w:style>
  <w:style w:type="paragraph" w:styleId="19">
    <w:name w:val="Block Text"/>
    <w:basedOn w:val="1"/>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840" w:leftChars="400"/>
    </w:pPr>
  </w:style>
  <w:style w:type="paragraph" w:styleId="22">
    <w:name w:val="Plain Text"/>
    <w:basedOn w:val="1"/>
    <w:link w:val="143"/>
    <w:qFormat/>
    <w:uiPriority w:val="0"/>
    <w:rPr>
      <w:rFonts w:ascii="宋体" w:hAnsi="Courier New"/>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207"/>
    <w:qFormat/>
    <w:uiPriority w:val="0"/>
    <w:pPr>
      <w:ind w:left="100" w:leftChars="2500"/>
    </w:pPr>
    <w:rPr>
      <w:rFonts w:ascii="宋体" w:hAnsi="Courier New"/>
      <w:b/>
      <w:bCs/>
      <w:sz w:val="28"/>
      <w:szCs w:val="21"/>
    </w:rPr>
  </w:style>
  <w:style w:type="paragraph" w:styleId="25">
    <w:name w:val="Body Text Indent 2"/>
    <w:basedOn w:val="1"/>
    <w:link w:val="135"/>
    <w:qFormat/>
    <w:uiPriority w:val="0"/>
    <w:pPr>
      <w:spacing w:after="120" w:afterLines="0" w:line="480" w:lineRule="auto"/>
      <w:ind w:left="420" w:leftChars="200"/>
    </w:pPr>
  </w:style>
  <w:style w:type="paragraph" w:styleId="26">
    <w:name w:val="Balloon Text"/>
    <w:basedOn w:val="1"/>
    <w:link w:val="203"/>
    <w:semiHidden/>
    <w:qFormat/>
    <w:uiPriority w:val="99"/>
    <w:rPr>
      <w:sz w:val="18"/>
      <w:szCs w:val="18"/>
    </w:rPr>
  </w:style>
  <w:style w:type="paragraph" w:styleId="27">
    <w:name w:val="footer"/>
    <w:basedOn w:val="1"/>
    <w:link w:val="142"/>
    <w:qFormat/>
    <w:uiPriority w:val="0"/>
    <w:pPr>
      <w:tabs>
        <w:tab w:val="center" w:pos="4153"/>
        <w:tab w:val="right" w:pos="8306"/>
      </w:tabs>
      <w:snapToGrid w:val="0"/>
      <w:jc w:val="left"/>
    </w:pPr>
    <w:rPr>
      <w:sz w:val="18"/>
    </w:rPr>
  </w:style>
  <w:style w:type="paragraph" w:styleId="28">
    <w:name w:val="header"/>
    <w:basedOn w:val="1"/>
    <w:link w:val="205"/>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style>
  <w:style w:type="paragraph" w:styleId="30">
    <w:name w:val="toc 4"/>
    <w:basedOn w:val="1"/>
    <w:next w:val="1"/>
    <w:qFormat/>
    <w:uiPriority w:val="0"/>
    <w:pPr>
      <w:ind w:left="630"/>
      <w:jc w:val="left"/>
    </w:pPr>
    <w:rPr>
      <w:sz w:val="18"/>
      <w:szCs w:val="18"/>
    </w:rPr>
  </w:style>
  <w:style w:type="paragraph" w:styleId="31">
    <w:name w:val="toc 6"/>
    <w:basedOn w:val="1"/>
    <w:next w:val="1"/>
    <w:qFormat/>
    <w:uiPriority w:val="0"/>
    <w:pPr>
      <w:ind w:left="1050"/>
      <w:jc w:val="left"/>
    </w:pPr>
    <w:rPr>
      <w:sz w:val="18"/>
      <w:szCs w:val="18"/>
    </w:rPr>
  </w:style>
  <w:style w:type="paragraph" w:styleId="32">
    <w:name w:val="Body Text Indent 3"/>
    <w:basedOn w:val="1"/>
    <w:link w:val="170"/>
    <w:qFormat/>
    <w:uiPriority w:val="0"/>
    <w:pPr>
      <w:spacing w:after="120" w:afterLines="0"/>
      <w:ind w:left="420" w:leftChars="200"/>
    </w:pPr>
    <w:rPr>
      <w:sz w:val="16"/>
      <w:szCs w:val="16"/>
    </w:rPr>
  </w:style>
  <w:style w:type="paragraph" w:styleId="33">
    <w:name w:val="toc 2"/>
    <w:basedOn w:val="1"/>
    <w:next w:val="1"/>
    <w:qFormat/>
    <w:uiPriority w:val="39"/>
    <w:pPr>
      <w:ind w:left="420" w:leftChars="200"/>
    </w:pPr>
  </w:style>
  <w:style w:type="paragraph" w:styleId="34">
    <w:name w:val="toc 9"/>
    <w:basedOn w:val="1"/>
    <w:next w:val="1"/>
    <w:qFormat/>
    <w:uiPriority w:val="0"/>
    <w:pPr>
      <w:ind w:left="1680"/>
      <w:jc w:val="left"/>
    </w:pPr>
    <w:rPr>
      <w:sz w:val="18"/>
      <w:szCs w:val="18"/>
    </w:rPr>
  </w:style>
  <w:style w:type="paragraph" w:styleId="35">
    <w:name w:val="Body Text 2"/>
    <w:basedOn w:val="1"/>
    <w:link w:val="161"/>
    <w:qFormat/>
    <w:uiPriority w:val="0"/>
    <w:rPr>
      <w:sz w:val="24"/>
    </w:rPr>
  </w:style>
  <w:style w:type="paragraph" w:styleId="36">
    <w:name w:val="HTML Preformatted"/>
    <w:basedOn w:val="1"/>
    <w:link w:val="13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7">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38">
    <w:name w:val="annotation subject"/>
    <w:basedOn w:val="16"/>
    <w:next w:val="16"/>
    <w:link w:val="152"/>
    <w:qFormat/>
    <w:uiPriority w:val="99"/>
    <w:rPr>
      <w:b/>
      <w:bCs/>
    </w:rPr>
  </w:style>
  <w:style w:type="paragraph" w:styleId="39">
    <w:name w:val="Body Text First Indent"/>
    <w:basedOn w:val="2"/>
    <w:link w:val="188"/>
    <w:qFormat/>
    <w:uiPriority w:val="0"/>
    <w:pPr>
      <w:ind w:firstLine="420" w:firstLineChars="100"/>
    </w:pPr>
  </w:style>
  <w:style w:type="paragraph" w:styleId="40">
    <w:name w:val="Body Text First Indent 2"/>
    <w:basedOn w:val="18"/>
    <w:link w:val="174"/>
    <w:qFormat/>
    <w:uiPriority w:val="0"/>
    <w:pPr>
      <w:ind w:firstLine="420" w:firstLineChars="200"/>
    </w:pPr>
    <w:rPr>
      <w:szCs w:val="24"/>
    </w:rPr>
  </w:style>
  <w:style w:type="table" w:styleId="42">
    <w:name w:val="Table Grid"/>
    <w:basedOn w:val="4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b/>
      <w:bCs/>
    </w:rPr>
  </w:style>
  <w:style w:type="character" w:styleId="45">
    <w:name w:val="page number"/>
    <w:basedOn w:val="43"/>
    <w:qFormat/>
    <w:uiPriority w:val="99"/>
  </w:style>
  <w:style w:type="character" w:styleId="46">
    <w:name w:val="FollowedHyperlink"/>
    <w:qFormat/>
    <w:uiPriority w:val="99"/>
    <w:rPr>
      <w:color w:val="954F72"/>
      <w:u w:val="single"/>
    </w:rPr>
  </w:style>
  <w:style w:type="character" w:styleId="47">
    <w:name w:val="Emphasis"/>
    <w:qFormat/>
    <w:uiPriority w:val="0"/>
    <w:rPr>
      <w:color w:val="C60A00"/>
    </w:rPr>
  </w:style>
  <w:style w:type="character" w:styleId="48">
    <w:name w:val="HTML Acronym"/>
    <w:basedOn w:val="43"/>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paragraph" w:customStyle="1" w:styleId="51">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52">
    <w:name w:val="11"/>
    <w:basedOn w:val="18"/>
    <w:link w:val="169"/>
    <w:qFormat/>
    <w:uiPriority w:val="0"/>
    <w:pPr>
      <w:spacing w:line="360" w:lineRule="auto"/>
    </w:pPr>
    <w:rPr>
      <w:rFonts w:hAnsi="宋体"/>
      <w:b/>
      <w:szCs w:val="21"/>
    </w:rPr>
  </w:style>
  <w:style w:type="paragraph" w:customStyle="1" w:styleId="53">
    <w:name w:val="_Style 75"/>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4">
    <w:name w:val="font7"/>
    <w:basedOn w:val="1"/>
    <w:qFormat/>
    <w:uiPriority w:val="0"/>
    <w:pPr>
      <w:widowControl/>
      <w:spacing w:before="100" w:beforeAutospacing="1" w:after="100" w:afterAutospacing="1"/>
      <w:jc w:val="left"/>
    </w:pPr>
    <w:rPr>
      <w:rFonts w:ascii="宋体" w:hAnsi="宋体" w:cs="宋体"/>
      <w:color w:val="333333"/>
      <w:kern w:val="0"/>
      <w:sz w:val="20"/>
    </w:rPr>
  </w:style>
  <w:style w:type="paragraph" w:customStyle="1" w:styleId="5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6">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5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58">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59">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rPr>
  </w:style>
  <w:style w:type="paragraph" w:customStyle="1" w:styleId="6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61">
    <w:name w:val="Char Char Char Char Char1 Char Char Char Char Char Char Char"/>
    <w:basedOn w:val="1"/>
    <w:qFormat/>
    <w:uiPriority w:val="0"/>
    <w:pPr>
      <w:spacing w:line="360" w:lineRule="auto"/>
    </w:pPr>
    <w:rPr>
      <w:rFonts w:ascii="Tahoma" w:hAnsi="Tahoma"/>
      <w:sz w:val="24"/>
    </w:rPr>
  </w:style>
  <w:style w:type="paragraph" w:customStyle="1" w:styleId="62">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styleId="63">
    <w:name w:val="No Spacing"/>
    <w:link w:val="187"/>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4">
    <w:name w:val=" Char1"/>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 w:val="24"/>
      <w:szCs w:val="18"/>
    </w:rPr>
  </w:style>
  <w:style w:type="paragraph" w:customStyle="1" w:styleId="65">
    <w:name w:val="表格文字"/>
    <w:basedOn w:val="1"/>
    <w:qFormat/>
    <w:uiPriority w:val="0"/>
    <w:pPr>
      <w:adjustRightInd w:val="0"/>
      <w:spacing w:line="420" w:lineRule="atLeast"/>
      <w:jc w:val="left"/>
      <w:textAlignment w:val="baseline"/>
    </w:pPr>
    <w:rPr>
      <w:kern w:val="0"/>
    </w:rPr>
  </w:style>
  <w:style w:type="paragraph" w:styleId="66">
    <w:name w:val="List Paragraph"/>
    <w:basedOn w:val="1"/>
    <w:qFormat/>
    <w:uiPriority w:val="34"/>
    <w:pPr>
      <w:spacing w:line="360" w:lineRule="auto"/>
      <w:ind w:firstLine="420" w:firstLineChars="200"/>
    </w:pPr>
    <w:rPr>
      <w:rFonts w:ascii="Calibri" w:hAnsi="Calibri"/>
      <w:szCs w:val="22"/>
    </w:rPr>
  </w:style>
  <w:style w:type="paragraph" w:customStyle="1" w:styleId="67">
    <w:name w:val="纯文本1"/>
    <w:basedOn w:val="1"/>
    <w:qFormat/>
    <w:uiPriority w:val="0"/>
    <w:pPr>
      <w:adjustRightInd w:val="0"/>
      <w:jc w:val="left"/>
      <w:textAlignment w:val="baseline"/>
    </w:pPr>
    <w:rPr>
      <w:rFonts w:ascii="宋体" w:hAnsi="Courier New"/>
      <w:sz w:val="24"/>
    </w:rPr>
  </w:style>
  <w:style w:type="paragraph" w:customStyle="1" w:styleId="68">
    <w:name w:val="_Style 58"/>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9">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0">
    <w:name w:val="公文标题"/>
    <w:basedOn w:val="6"/>
    <w:qFormat/>
    <w:uiPriority w:val="0"/>
    <w:pPr>
      <w:spacing w:line="240" w:lineRule="auto"/>
      <w:ind w:left="1469" w:right="1542"/>
      <w:jc w:val="center"/>
    </w:pPr>
    <w:rPr>
      <w:bCs w:val="0"/>
      <w:sz w:val="44"/>
      <w:szCs w:val="24"/>
      <w:lang w:val="en-US" w:eastAsia="zh-CN"/>
    </w:rPr>
  </w:style>
  <w:style w:type="paragraph" w:customStyle="1" w:styleId="71">
    <w:name w:val="发文落款"/>
    <w:basedOn w:val="57"/>
    <w:qFormat/>
    <w:uiPriority w:val="0"/>
    <w:pPr>
      <w:ind w:left="4094" w:right="607" w:firstLine="0"/>
      <w:jc w:val="center"/>
    </w:pPr>
  </w:style>
  <w:style w:type="paragraph" w:customStyle="1" w:styleId="72">
    <w:name w:val="域名"/>
    <w:basedOn w:val="1"/>
    <w:qFormat/>
    <w:uiPriority w:val="0"/>
    <w:pPr>
      <w:adjustRightInd w:val="0"/>
      <w:spacing w:line="240" w:lineRule="exact"/>
      <w:textAlignment w:val="baseline"/>
    </w:pPr>
    <w:rPr>
      <w:rFonts w:ascii="宋体" w:eastAsia="仿宋_GB2312"/>
      <w:b/>
      <w:color w:val="FF0000"/>
      <w:kern w:val="0"/>
    </w:rPr>
  </w:style>
  <w:style w:type="paragraph" w:customStyle="1" w:styleId="73">
    <w:name w:val="xl22"/>
    <w:basedOn w:val="1"/>
    <w:qFormat/>
    <w:uiPriority w:val="0"/>
    <w:pPr>
      <w:widowControl/>
      <w:spacing w:before="100" w:beforeLines="0" w:beforeAutospacing="1" w:after="100" w:afterLines="0" w:afterAutospacing="1"/>
      <w:jc w:val="center"/>
      <w:textAlignment w:val="center"/>
    </w:pPr>
    <w:rPr>
      <w:rFonts w:hint="eastAsia" w:ascii="仿宋_GB2312" w:hAnsi="宋体" w:eastAsia="仿宋_GB2312"/>
      <w:kern w:val="0"/>
      <w:sz w:val="24"/>
      <w:szCs w:val="24"/>
    </w:rPr>
  </w:style>
  <w:style w:type="paragraph" w:customStyle="1" w:styleId="74">
    <w:name w:val="Plain Text"/>
    <w:basedOn w:val="1"/>
    <w:qFormat/>
    <w:uiPriority w:val="0"/>
    <w:pPr>
      <w:adjustRightInd w:val="0"/>
      <w:jc w:val="left"/>
      <w:textAlignment w:val="baseline"/>
    </w:pPr>
    <w:rPr>
      <w:rFonts w:ascii="宋体" w:hAnsi="Courier New"/>
      <w:sz w:val="24"/>
    </w:rPr>
  </w:style>
  <w:style w:type="paragraph" w:customStyle="1" w:styleId="75">
    <w:name w:val="Char Char Char Char Char1 Char"/>
    <w:basedOn w:val="1"/>
    <w:qFormat/>
    <w:uiPriority w:val="0"/>
    <w:rPr>
      <w:rFonts w:ascii="Tahoma" w:hAnsi="Tahoma"/>
      <w:sz w:val="24"/>
    </w:rPr>
  </w:style>
  <w:style w:type="paragraph" w:customStyle="1" w:styleId="76">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7">
    <w:name w:val="正文4"/>
    <w:basedOn w:val="1"/>
    <w:qFormat/>
    <w:uiPriority w:val="0"/>
    <w:pPr>
      <w:ind w:firstLine="630"/>
    </w:pPr>
    <w:rPr>
      <w:sz w:val="28"/>
    </w:rPr>
  </w:style>
  <w:style w:type="paragraph" w:customStyle="1" w:styleId="78">
    <w:name w:val="默认段落字体 Para Char Char Char Char"/>
    <w:basedOn w:val="1"/>
    <w:qFormat/>
    <w:uiPriority w:val="0"/>
    <w:rPr>
      <w:szCs w:val="24"/>
    </w:rPr>
  </w:style>
  <w:style w:type="paragraph" w:customStyle="1" w:styleId="79">
    <w:name w:val="xl76"/>
    <w:basedOn w:val="1"/>
    <w:qFormat/>
    <w:uiPriority w:val="0"/>
    <w:pPr>
      <w:widowControl/>
      <w:spacing w:before="100" w:beforeAutospacing="1" w:after="100" w:afterAutospacing="1"/>
      <w:jc w:val="left"/>
    </w:pPr>
    <w:rPr>
      <w:rFonts w:ascii="宋体" w:hAnsi="宋体" w:cs="宋体"/>
      <w:kern w:val="0"/>
      <w:sz w:val="20"/>
    </w:rPr>
  </w:style>
  <w:style w:type="paragraph" w:customStyle="1" w:styleId="80">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81">
    <w:name w:val="bg"/>
    <w:basedOn w:val="18"/>
    <w:qFormat/>
    <w:uiPriority w:val="0"/>
    <w:pPr>
      <w:topLinePunct/>
      <w:snapToGrid w:val="0"/>
      <w:spacing w:after="0"/>
      <w:ind w:left="0" w:leftChars="0"/>
      <w:jc w:val="center"/>
    </w:pPr>
    <w:rPr>
      <w:rFonts w:hAnsi="Calibri"/>
      <w:color w:val="000000"/>
      <w:sz w:val="18"/>
      <w:szCs w:val="18"/>
      <w:lang w:val="en-US" w:eastAsia="zh-CN"/>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84">
    <w:name w:val="by"/>
    <w:basedOn w:val="81"/>
    <w:qFormat/>
    <w:uiPriority w:val="0"/>
    <w:pPr>
      <w:autoSpaceDE w:val="0"/>
      <w:autoSpaceDN w:val="0"/>
      <w:adjustRightInd w:val="0"/>
      <w:spacing w:afterLines="10"/>
      <w:ind w:left="545" w:leftChars="25" w:right="52" w:rightChars="25" w:hanging="493" w:hangingChars="275"/>
      <w:jc w:val="both"/>
    </w:pPr>
    <w:rPr>
      <w:rFonts w:hAnsi="Calibri" w:cs="Times New Roman"/>
      <w:spacing w:val="2"/>
    </w:rPr>
  </w:style>
  <w:style w:type="paragraph" w:customStyle="1" w:styleId="85">
    <w:name w:val="xl75"/>
    <w:basedOn w:val="1"/>
    <w:qFormat/>
    <w:uiPriority w:val="0"/>
    <w:pPr>
      <w:widowControl/>
      <w:spacing w:before="100" w:beforeAutospacing="1" w:after="100" w:afterAutospacing="1"/>
      <w:jc w:val="center"/>
    </w:pPr>
    <w:rPr>
      <w:rFonts w:ascii="宋体" w:hAnsi="宋体" w:cs="宋体"/>
      <w:kern w:val="0"/>
      <w:sz w:val="20"/>
    </w:rPr>
  </w:style>
  <w:style w:type="paragraph" w:customStyle="1" w:styleId="86">
    <w:name w:val="Char1 Char Char Char Char Char Char Char Char Char Char Char Char Char Char Char Char Char Char Char"/>
    <w:basedOn w:val="1"/>
    <w:qFormat/>
    <w:uiPriority w:val="0"/>
    <w:pPr>
      <w:spacing w:line="360" w:lineRule="auto"/>
    </w:pPr>
  </w:style>
  <w:style w:type="paragraph" w:customStyle="1" w:styleId="87">
    <w:name w:val="p17"/>
    <w:basedOn w:val="1"/>
    <w:qFormat/>
    <w:uiPriority w:val="0"/>
    <w:pPr>
      <w:widowControl/>
    </w:pPr>
    <w:rPr>
      <w:rFonts w:ascii="宋体" w:hAnsi="宋体" w:cs="宋体"/>
      <w:kern w:val="0"/>
      <w:szCs w:val="21"/>
    </w:rPr>
  </w:style>
  <w:style w:type="paragraph" w:customStyle="1" w:styleId="88">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样式 段后: 0.5 行1"/>
    <w:basedOn w:val="1"/>
    <w:qFormat/>
    <w:uiPriority w:val="0"/>
    <w:pPr>
      <w:snapToGrid w:val="0"/>
      <w:spacing w:afterLines="50"/>
    </w:pPr>
    <w:rPr>
      <w:rFonts w:cs="宋体"/>
      <w:sz w:val="24"/>
      <w:szCs w:val="24"/>
    </w:rPr>
  </w:style>
  <w:style w:type="paragraph" w:customStyle="1" w:styleId="90">
    <w:name w:val="bn"/>
    <w:basedOn w:val="1"/>
    <w:qFormat/>
    <w:uiPriority w:val="0"/>
    <w:pPr>
      <w:topLinePunct/>
      <w:snapToGrid w:val="0"/>
      <w:ind w:left="20" w:leftChars="20" w:right="20" w:rightChars="20"/>
      <w:jc w:val="center"/>
    </w:pPr>
    <w:rPr>
      <w:color w:val="000000"/>
      <w:kern w:val="18"/>
      <w:sz w:val="18"/>
      <w:szCs w:val="18"/>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rPr>
  </w:style>
  <w:style w:type="paragraph" w:customStyle="1" w:styleId="93">
    <w:name w:val="表格空行_制度头表格"/>
    <w:basedOn w:val="60"/>
    <w:qFormat/>
    <w:uiPriority w:val="0"/>
    <w:pPr>
      <w:tabs>
        <w:tab w:val="left" w:pos="2960"/>
      </w:tabs>
      <w:jc w:val="both"/>
    </w:pPr>
    <w:rPr>
      <w:rFonts w:eastAsia="黑体"/>
      <w:sz w:val="11"/>
      <w:szCs w:val="30"/>
    </w:rPr>
  </w:style>
  <w:style w:type="paragraph" w:customStyle="1" w:styleId="94">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rPr>
  </w:style>
  <w:style w:type="paragraph" w:customStyle="1" w:styleId="95">
    <w:name w:val="p15"/>
    <w:basedOn w:val="1"/>
    <w:qFormat/>
    <w:uiPriority w:val="0"/>
    <w:pPr>
      <w:widowControl/>
    </w:pPr>
    <w:rPr>
      <w:rFonts w:ascii="宋体" w:hAnsi="宋体" w:cs="宋体"/>
      <w:kern w:val="0"/>
      <w:szCs w:val="21"/>
    </w:rPr>
  </w:style>
  <w:style w:type="paragraph" w:customStyle="1" w:styleId="96">
    <w:name w:val="_Style 31"/>
    <w:basedOn w:val="1"/>
    <w:qFormat/>
    <w:uiPriority w:val="0"/>
  </w:style>
  <w:style w:type="paragraph" w:customStyle="1" w:styleId="97">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98">
    <w:name w:val=" Char Char Char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99">
    <w:name w:val="Char Char Char Char Char Char Char Char Char Char Char Char"/>
    <w:basedOn w:val="1"/>
    <w:qFormat/>
    <w:uiPriority w:val="0"/>
    <w:pPr>
      <w:spacing w:line="360" w:lineRule="auto"/>
    </w:pPr>
  </w:style>
  <w:style w:type="paragraph" w:customStyle="1" w:styleId="100">
    <w:name w:val="Char"/>
    <w:basedOn w:val="1"/>
    <w:qFormat/>
    <w:uiPriority w:val="0"/>
    <w:rPr>
      <w:sz w:val="24"/>
      <w:szCs w:val="24"/>
    </w:rPr>
  </w:style>
  <w:style w:type="paragraph" w:customStyle="1" w:styleId="101">
    <w:name w:val="font5"/>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2">
    <w:name w:val="font6"/>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3">
    <w:name w:val="样式 样式 样式1 + 段后: 0.5 行 + 段后: 0.5 行"/>
    <w:basedOn w:val="1"/>
    <w:qFormat/>
    <w:uiPriority w:val="0"/>
    <w:pPr>
      <w:numPr>
        <w:ilvl w:val="0"/>
        <w:numId w:val="2"/>
      </w:numPr>
      <w:adjustRightInd w:val="0"/>
      <w:snapToGrid w:val="0"/>
      <w:jc w:val="left"/>
      <w:outlineLvl w:val="0"/>
    </w:pPr>
    <w:rPr>
      <w:rFonts w:ascii="宋体" w:hAnsi="Arial" w:cs="宋体"/>
      <w:sz w:val="24"/>
    </w:rPr>
  </w:style>
  <w:style w:type="paragraph" w:customStyle="1" w:styleId="104">
    <w:name w:val="p0"/>
    <w:basedOn w:val="1"/>
    <w:qFormat/>
    <w:uiPriority w:val="0"/>
    <w:pPr>
      <w:widowControl/>
    </w:pPr>
    <w:rPr>
      <w:kern w:val="0"/>
      <w:szCs w:val="21"/>
    </w:rPr>
  </w:style>
  <w:style w:type="paragraph" w:customStyle="1" w:styleId="105">
    <w:name w:val="第二级"/>
    <w:basedOn w:val="1"/>
    <w:qFormat/>
    <w:uiPriority w:val="0"/>
    <w:pPr>
      <w:numPr>
        <w:ilvl w:val="1"/>
        <w:numId w:val="3"/>
      </w:numPr>
      <w:adjustRightInd w:val="0"/>
      <w:snapToGrid w:val="0"/>
      <w:spacing w:afterLines="50"/>
      <w:ind w:left="0" w:firstLine="0"/>
      <w:jc w:val="left"/>
      <w:outlineLvl w:val="1"/>
    </w:pPr>
    <w:rPr>
      <w:rFonts w:ascii="宋体" w:hAnsi="Arial"/>
      <w:sz w:val="24"/>
    </w:rPr>
  </w:style>
  <w:style w:type="paragraph" w:customStyle="1" w:styleId="106">
    <w:name w:val="_Style 67"/>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7">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108">
    <w:name w:val=" Char1 Char Char Char Char Char Char Char Char Char Char Char Char Char Char Char Char Char Char Char"/>
    <w:basedOn w:val="1"/>
    <w:qFormat/>
    <w:uiPriority w:val="0"/>
    <w:pPr>
      <w:spacing w:line="360" w:lineRule="auto"/>
    </w:pPr>
  </w:style>
  <w:style w:type="paragraph" w:customStyle="1" w:styleId="109">
    <w:name w:val="正文首行缩进1"/>
    <w:basedOn w:val="1"/>
    <w:link w:val="148"/>
    <w:qFormat/>
    <w:uiPriority w:val="0"/>
    <w:pPr>
      <w:spacing w:line="360" w:lineRule="auto"/>
      <w:ind w:firstLine="200" w:firstLineChars="200"/>
    </w:pPr>
    <w:rPr>
      <w:sz w:val="24"/>
      <w:szCs w:val="24"/>
    </w:rPr>
  </w:style>
  <w:style w:type="paragraph" w:customStyle="1" w:styleId="11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1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112">
    <w:name w:val="_Style 111"/>
    <w:semiHidden/>
    <w:qFormat/>
    <w:uiPriority w:val="99"/>
    <w:rPr>
      <w:rFonts w:ascii="Times New Roman" w:hAnsi="Times New Roman" w:eastAsia="宋体" w:cs="Times New Roman"/>
      <w:kern w:val="2"/>
      <w:sz w:val="21"/>
      <w:lang w:val="en-US" w:eastAsia="zh-CN" w:bidi="ar-SA"/>
    </w:rPr>
  </w:style>
  <w:style w:type="paragraph" w:customStyle="1" w:styleId="11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114">
    <w:name w:val=" Char"/>
    <w:basedOn w:val="1"/>
    <w:qFormat/>
    <w:uiPriority w:val="0"/>
    <w:rPr>
      <w:sz w:val="24"/>
      <w:szCs w:val="24"/>
    </w:rPr>
  </w:style>
  <w:style w:type="paragraph" w:customStyle="1" w:styleId="115">
    <w:name w:val="1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116">
    <w:name w:val="_Style 115"/>
    <w:basedOn w:val="4"/>
    <w:next w:val="1"/>
    <w:qFormat/>
    <w:uiPriority w:val="39"/>
    <w:pPr>
      <w:widowControl/>
      <w:adjustRightInd w:val="0"/>
      <w:spacing w:before="480" w:after="0" w:line="276" w:lineRule="auto"/>
      <w:jc w:val="left"/>
      <w:outlineLvl w:val="9"/>
    </w:pPr>
    <w:rPr>
      <w:rFonts w:ascii="Cambria" w:hAnsi="Cambria"/>
      <w:b w:val="0"/>
      <w:color w:val="365F91"/>
      <w:kern w:val="0"/>
      <w:sz w:val="28"/>
      <w:szCs w:val="28"/>
      <w:lang w:val="en-US" w:eastAsia="zh-CN"/>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中文1"/>
    <w:basedOn w:val="56"/>
    <w:qFormat/>
    <w:uiPriority w:val="0"/>
    <w:pPr>
      <w:spacing w:afterLines="150"/>
      <w:ind w:firstLine="371" w:firstLineChars="206"/>
    </w:pPr>
    <w:rPr>
      <w:rFonts w:ascii="宋体" w:hAnsi="宋体"/>
    </w:rPr>
  </w:style>
  <w:style w:type="paragraph" w:customStyle="1" w:styleId="119">
    <w:name w:val="默认段落字体 Para Char Char Char Char Char Char Char Char Char Char Char Char Char Char"/>
    <w:basedOn w:val="15"/>
    <w:qFormat/>
    <w:uiPriority w:val="0"/>
  </w:style>
  <w:style w:type="paragraph" w:customStyle="1" w:styleId="120">
    <w:name w:val="样式 第二级 + 段后: 0.5 行"/>
    <w:basedOn w:val="105"/>
    <w:qFormat/>
    <w:uiPriority w:val="0"/>
    <w:pPr>
      <w:spacing w:afterLines="0"/>
      <w:ind w:left="567" w:hanging="567"/>
    </w:pPr>
    <w:rPr>
      <w:rFonts w:cs="宋体"/>
    </w:rPr>
  </w:style>
  <w:style w:type="paragraph" w:customStyle="1" w:styleId="12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2">
    <w:name w:val="！正文（四号字）"/>
    <w:link w:val="172"/>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23">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124">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rPr>
  </w:style>
  <w:style w:type="paragraph" w:customStyle="1" w:styleId="125">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rPr>
  </w:style>
  <w:style w:type="paragraph" w:customStyle="1" w:styleId="126">
    <w:name w:val="样式 标题 3 + (中文) 黑体 小四 非加粗 段前: 7.8 磅 段后: 0 磅 行距: 固定值 20 磅"/>
    <w:basedOn w:val="6"/>
    <w:qFormat/>
    <w:uiPriority w:val="0"/>
    <w:pPr>
      <w:spacing w:before="0" w:beforeLines="0" w:after="0" w:afterLines="0" w:line="400" w:lineRule="exact"/>
    </w:pPr>
    <w:rPr>
      <w:rFonts w:eastAsia="黑体" w:cs="宋体"/>
      <w:b w:val="0"/>
      <w:bCs w:val="0"/>
      <w:sz w:val="24"/>
      <w:szCs w:val="20"/>
    </w:rPr>
  </w:style>
  <w:style w:type="paragraph" w:customStyle="1" w:styleId="127">
    <w:name w:val="xl74"/>
    <w:basedOn w:val="1"/>
    <w:qFormat/>
    <w:uiPriority w:val="0"/>
    <w:pPr>
      <w:widowControl/>
      <w:spacing w:before="100" w:beforeAutospacing="1" w:after="100" w:afterAutospacing="1"/>
      <w:jc w:val="left"/>
    </w:pPr>
    <w:rPr>
      <w:rFonts w:ascii="宋体" w:hAnsi="宋体" w:cs="宋体"/>
      <w:kern w:val="0"/>
      <w:sz w:val="20"/>
    </w:rPr>
  </w:style>
  <w:style w:type="character" w:customStyle="1" w:styleId="128">
    <w:name w:val="正文文本缩进 3 Char1"/>
    <w:qFormat/>
    <w:uiPriority w:val="0"/>
    <w:rPr>
      <w:rFonts w:eastAsia="仿宋_GB2312"/>
      <w:sz w:val="16"/>
      <w:szCs w:val="16"/>
    </w:rPr>
  </w:style>
  <w:style w:type="character" w:customStyle="1" w:styleId="129">
    <w:name w:val="纯文本 Char"/>
    <w:qFormat/>
    <w:uiPriority w:val="0"/>
    <w:rPr>
      <w:rFonts w:ascii="宋体" w:hAnsi="Courier New" w:eastAsia="宋体"/>
      <w:kern w:val="2"/>
      <w:sz w:val="21"/>
      <w:lang w:val="en-US" w:eastAsia="zh-CN" w:bidi="ar-SA"/>
    </w:rPr>
  </w:style>
  <w:style w:type="character" w:customStyle="1" w:styleId="130">
    <w:name w:val="日期 Char1"/>
    <w:qFormat/>
    <w:uiPriority w:val="0"/>
    <w:rPr>
      <w:rFonts w:ascii="Times New Roman" w:hAnsi="Times New Roman" w:eastAsia="宋体" w:cs="Times New Roman"/>
      <w:szCs w:val="20"/>
    </w:rPr>
  </w:style>
  <w:style w:type="character" w:customStyle="1" w:styleId="131">
    <w:name w:val="font41"/>
    <w:qFormat/>
    <w:uiPriority w:val="0"/>
    <w:rPr>
      <w:rFonts w:hint="eastAsia" w:ascii="宋体" w:hAnsi="宋体" w:eastAsia="宋体" w:cs="宋体"/>
      <w:color w:val="000000"/>
      <w:sz w:val="21"/>
      <w:szCs w:val="21"/>
      <w:u w:val="none"/>
    </w:rPr>
  </w:style>
  <w:style w:type="character" w:customStyle="1" w:styleId="132">
    <w:name w:val="正文首行缩进 2 Char1"/>
    <w:qFormat/>
    <w:uiPriority w:val="0"/>
    <w:rPr>
      <w:rFonts w:ascii="宋体" w:hAnsi="宋体" w:eastAsia="仿宋_GB2312"/>
      <w:sz w:val="30"/>
      <w:szCs w:val="28"/>
    </w:rPr>
  </w:style>
  <w:style w:type="character" w:customStyle="1" w:styleId="133">
    <w:name w:val="HTML 预设格式 Char2"/>
    <w:semiHidden/>
    <w:qFormat/>
    <w:uiPriority w:val="99"/>
    <w:rPr>
      <w:rFonts w:ascii="Courier New" w:hAnsi="Courier New" w:cs="Courier New"/>
      <w:sz w:val="20"/>
      <w:szCs w:val="20"/>
    </w:rPr>
  </w:style>
  <w:style w:type="character" w:customStyle="1" w:styleId="134">
    <w:name w:val="标题 5 Char"/>
    <w:link w:val="9"/>
    <w:qFormat/>
    <w:uiPriority w:val="0"/>
    <w:rPr>
      <w:rFonts w:ascii="Arial" w:hAnsi="Arial" w:eastAsia="宋体"/>
      <w:color w:val="000000"/>
      <w:kern w:val="2"/>
      <w:sz w:val="24"/>
      <w:szCs w:val="24"/>
      <w:lang w:val="en-US" w:eastAsia="zh-CN" w:bidi="ar-SA"/>
    </w:rPr>
  </w:style>
  <w:style w:type="character" w:customStyle="1" w:styleId="135">
    <w:name w:val="正文文本缩进 2 Char"/>
    <w:link w:val="25"/>
    <w:qFormat/>
    <w:uiPriority w:val="0"/>
    <w:rPr>
      <w:kern w:val="2"/>
      <w:sz w:val="21"/>
    </w:rPr>
  </w:style>
  <w:style w:type="character" w:customStyle="1" w:styleId="136">
    <w:name w:val="HTML 预设格式 Char"/>
    <w:link w:val="36"/>
    <w:qFormat/>
    <w:uiPriority w:val="0"/>
    <w:rPr>
      <w:rFonts w:ascii="宋体" w:hAnsi="宋体" w:eastAsia="宋体" w:cs="宋体"/>
      <w:sz w:val="24"/>
      <w:szCs w:val="24"/>
      <w:lang w:val="en-US" w:eastAsia="zh-CN" w:bidi="ar-SA"/>
    </w:rPr>
  </w:style>
  <w:style w:type="character" w:customStyle="1" w:styleId="137">
    <w:name w:val="标题 9 Char"/>
    <w:link w:val="13"/>
    <w:qFormat/>
    <w:uiPriority w:val="0"/>
    <w:rPr>
      <w:rFonts w:ascii="Arial" w:hAnsi="Arial" w:eastAsia="黑体"/>
      <w:kern w:val="2"/>
      <w:sz w:val="21"/>
      <w:lang w:val="en-US" w:eastAsia="zh-CN" w:bidi="ar-SA"/>
    </w:rPr>
  </w:style>
  <w:style w:type="character" w:customStyle="1" w:styleId="138">
    <w:name w:val="文档结构图 Char1"/>
    <w:qFormat/>
    <w:uiPriority w:val="0"/>
    <w:rPr>
      <w:rFonts w:ascii="宋体"/>
      <w:sz w:val="18"/>
      <w:szCs w:val="18"/>
    </w:rPr>
  </w:style>
  <w:style w:type="character" w:customStyle="1" w:styleId="139">
    <w:name w:val="font01"/>
    <w:qFormat/>
    <w:uiPriority w:val="0"/>
    <w:rPr>
      <w:rFonts w:ascii="Calibri" w:hAnsi="Calibri" w:cs="Calibri"/>
      <w:color w:val="000000"/>
      <w:sz w:val="21"/>
      <w:szCs w:val="21"/>
      <w:u w:val="none"/>
    </w:rPr>
  </w:style>
  <w:style w:type="character" w:customStyle="1" w:styleId="140">
    <w:name w:val="正文文本 Char2"/>
    <w:basedOn w:val="43"/>
    <w:semiHidden/>
    <w:qFormat/>
    <w:uiPriority w:val="99"/>
  </w:style>
  <w:style w:type="character" w:customStyle="1" w:styleId="141">
    <w:name w:val="Char Char3"/>
    <w:qFormat/>
    <w:uiPriority w:val="0"/>
    <w:rPr>
      <w:rFonts w:ascii="Arial" w:hAnsi="Arial" w:eastAsia="黑体"/>
      <w:b/>
      <w:bCs/>
      <w:kern w:val="2"/>
      <w:sz w:val="32"/>
      <w:szCs w:val="32"/>
      <w:lang w:val="en-US" w:eastAsia="zh-CN" w:bidi="ar-SA"/>
    </w:rPr>
  </w:style>
  <w:style w:type="character" w:customStyle="1" w:styleId="142">
    <w:name w:val="页脚 Char"/>
    <w:link w:val="27"/>
    <w:qFormat/>
    <w:uiPriority w:val="0"/>
    <w:rPr>
      <w:rFonts w:eastAsia="宋体"/>
      <w:kern w:val="2"/>
      <w:sz w:val="18"/>
      <w:lang w:val="en-US" w:eastAsia="zh-CN" w:bidi="ar-SA"/>
    </w:rPr>
  </w:style>
  <w:style w:type="character" w:customStyle="1" w:styleId="143">
    <w:name w:val="纯文本 Char1"/>
    <w:link w:val="22"/>
    <w:qFormat/>
    <w:uiPriority w:val="0"/>
    <w:rPr>
      <w:rFonts w:ascii="宋体" w:hAnsi="Courier New" w:eastAsia="宋体"/>
      <w:kern w:val="2"/>
      <w:sz w:val="21"/>
      <w:lang w:val="en-US" w:eastAsia="zh-CN" w:bidi="ar-SA"/>
    </w:rPr>
  </w:style>
  <w:style w:type="character" w:customStyle="1" w:styleId="144">
    <w:name w:val="标题 8 Char"/>
    <w:link w:val="12"/>
    <w:qFormat/>
    <w:uiPriority w:val="0"/>
    <w:rPr>
      <w:rFonts w:ascii="Arial" w:hAnsi="Arial" w:eastAsia="黑体"/>
      <w:kern w:val="2"/>
      <w:sz w:val="24"/>
      <w:lang w:val="en-US" w:eastAsia="zh-CN" w:bidi="ar-SA"/>
    </w:rPr>
  </w:style>
  <w:style w:type="character" w:customStyle="1" w:styleId="145">
    <w:name w:val="Char Char22"/>
    <w:qFormat/>
    <w:uiPriority w:val="0"/>
    <w:rPr>
      <w:rFonts w:ascii="Arial" w:hAnsi="Arial" w:eastAsia="黑体"/>
      <w:b/>
      <w:bCs/>
      <w:kern w:val="2"/>
      <w:sz w:val="32"/>
      <w:szCs w:val="32"/>
      <w:lang w:val="en-US" w:eastAsia="zh-CN" w:bidi="ar-SA"/>
    </w:rPr>
  </w:style>
  <w:style w:type="character" w:customStyle="1" w:styleId="146">
    <w:name w:val="日期 Char2"/>
    <w:qFormat/>
    <w:uiPriority w:val="99"/>
    <w:rPr>
      <w:rFonts w:eastAsia="仿宋_GB2312"/>
      <w:sz w:val="30"/>
    </w:rPr>
  </w:style>
  <w:style w:type="character" w:customStyle="1" w:styleId="147">
    <w:name w:val="正文文本 Char"/>
    <w:link w:val="2"/>
    <w:qFormat/>
    <w:uiPriority w:val="0"/>
    <w:rPr>
      <w:kern w:val="2"/>
      <w:sz w:val="21"/>
    </w:rPr>
  </w:style>
  <w:style w:type="character" w:customStyle="1" w:styleId="148">
    <w:name w:val="正文首行缩进 Char Char"/>
    <w:link w:val="109"/>
    <w:qFormat/>
    <w:uiPriority w:val="0"/>
    <w:rPr>
      <w:kern w:val="2"/>
      <w:sz w:val="24"/>
      <w:szCs w:val="24"/>
      <w:lang w:bidi="ar-SA"/>
    </w:rPr>
  </w:style>
  <w:style w:type="character" w:customStyle="1" w:styleId="149">
    <w:name w:val="标题 7 Char"/>
    <w:link w:val="11"/>
    <w:qFormat/>
    <w:uiPriority w:val="0"/>
    <w:rPr>
      <w:rFonts w:eastAsia="宋体"/>
      <w:b/>
      <w:kern w:val="2"/>
      <w:sz w:val="24"/>
      <w:lang w:val="en-US" w:eastAsia="zh-CN" w:bidi="ar-SA"/>
    </w:rPr>
  </w:style>
  <w:style w:type="character" w:customStyle="1" w:styleId="150">
    <w:name w:val="标题 Char1"/>
    <w:qFormat/>
    <w:uiPriority w:val="10"/>
    <w:rPr>
      <w:rFonts w:ascii="Cambria" w:hAnsi="Cambria" w:eastAsia="宋体" w:cs="Times New Roman"/>
      <w:b/>
      <w:bCs/>
      <w:sz w:val="32"/>
      <w:szCs w:val="32"/>
    </w:rPr>
  </w:style>
  <w:style w:type="character" w:customStyle="1" w:styleId="151">
    <w:name w:val="正文文本缩进 3 Char3"/>
    <w:semiHidden/>
    <w:qFormat/>
    <w:uiPriority w:val="99"/>
    <w:rPr>
      <w:sz w:val="16"/>
      <w:szCs w:val="16"/>
    </w:rPr>
  </w:style>
  <w:style w:type="character" w:customStyle="1" w:styleId="152">
    <w:name w:val="批注主题 Char"/>
    <w:link w:val="38"/>
    <w:qFormat/>
    <w:uiPriority w:val="99"/>
    <w:rPr>
      <w:rFonts w:eastAsia="宋体"/>
      <w:b/>
      <w:bCs/>
      <w:kern w:val="2"/>
      <w:sz w:val="21"/>
      <w:lang w:val="en-US" w:eastAsia="zh-CN" w:bidi="ar-SA"/>
    </w:rPr>
  </w:style>
  <w:style w:type="character" w:customStyle="1" w:styleId="153">
    <w:name w:val="标题 2 Char1"/>
    <w:qFormat/>
    <w:uiPriority w:val="9"/>
    <w:rPr>
      <w:rFonts w:ascii="Cambria" w:hAnsi="Cambria" w:eastAsia="宋体" w:cs="Times New Roman"/>
      <w:bCs/>
      <w:kern w:val="0"/>
      <w:sz w:val="24"/>
      <w:szCs w:val="24"/>
    </w:rPr>
  </w:style>
  <w:style w:type="character" w:customStyle="1" w:styleId="154">
    <w:name w:val="标题 Char"/>
    <w:link w:val="3"/>
    <w:qFormat/>
    <w:uiPriority w:val="10"/>
    <w:rPr>
      <w:rFonts w:ascii="Cambria" w:hAnsi="Cambria"/>
      <w:b/>
      <w:bCs/>
      <w:kern w:val="2"/>
      <w:sz w:val="32"/>
      <w:szCs w:val="32"/>
    </w:rPr>
  </w:style>
  <w:style w:type="character" w:customStyle="1" w:styleId="155">
    <w:name w:val="font31"/>
    <w:qFormat/>
    <w:uiPriority w:val="0"/>
    <w:rPr>
      <w:rFonts w:hint="eastAsia" w:ascii="宋体" w:hAnsi="宋体" w:eastAsia="宋体" w:cs="宋体"/>
      <w:color w:val="FF0000"/>
      <w:sz w:val="21"/>
      <w:szCs w:val="21"/>
      <w:u w:val="none"/>
    </w:rPr>
  </w:style>
  <w:style w:type="character" w:customStyle="1" w:styleId="156">
    <w:name w:val="正文首行缩进 Char1"/>
    <w:basedOn w:val="147"/>
    <w:qFormat/>
    <w:uiPriority w:val="0"/>
  </w:style>
  <w:style w:type="character" w:customStyle="1" w:styleId="157">
    <w:name w:val="批注主题 Char2"/>
    <w:qFormat/>
    <w:uiPriority w:val="99"/>
    <w:rPr>
      <w:rFonts w:eastAsia="仿宋_GB2312"/>
      <w:b/>
      <w:bCs/>
      <w:sz w:val="30"/>
    </w:rPr>
  </w:style>
  <w:style w:type="character" w:customStyle="1" w:styleId="158">
    <w:name w:val="标题 3 Char"/>
    <w:link w:val="6"/>
    <w:qFormat/>
    <w:uiPriority w:val="0"/>
    <w:rPr>
      <w:b/>
      <w:bCs/>
      <w:kern w:val="2"/>
      <w:sz w:val="32"/>
      <w:szCs w:val="32"/>
    </w:rPr>
  </w:style>
  <w:style w:type="character" w:customStyle="1" w:styleId="159">
    <w:name w:val="HTML 预设格式 Char1"/>
    <w:qFormat/>
    <w:uiPriority w:val="0"/>
    <w:rPr>
      <w:rFonts w:ascii="Courier New" w:hAnsi="Courier New" w:cs="Courier New"/>
      <w:kern w:val="2"/>
    </w:rPr>
  </w:style>
  <w:style w:type="character" w:customStyle="1" w:styleId="160">
    <w:name w:val="纯文本 Char3"/>
    <w:semiHidden/>
    <w:qFormat/>
    <w:uiPriority w:val="99"/>
    <w:rPr>
      <w:rFonts w:ascii="宋体" w:hAnsi="Courier New" w:eastAsia="宋体" w:cs="Courier New"/>
      <w:szCs w:val="21"/>
    </w:rPr>
  </w:style>
  <w:style w:type="character" w:customStyle="1" w:styleId="161">
    <w:name w:val="正文文本 2 Char"/>
    <w:link w:val="35"/>
    <w:qFormat/>
    <w:uiPriority w:val="0"/>
    <w:rPr>
      <w:kern w:val="2"/>
      <w:sz w:val="24"/>
    </w:rPr>
  </w:style>
  <w:style w:type="character" w:customStyle="1" w:styleId="162">
    <w:name w:val="Char Char11"/>
    <w:qFormat/>
    <w:uiPriority w:val="0"/>
    <w:rPr>
      <w:kern w:val="2"/>
      <w:sz w:val="26"/>
    </w:rPr>
  </w:style>
  <w:style w:type="character" w:customStyle="1" w:styleId="163">
    <w:name w:val="批注主题 Char1"/>
    <w:qFormat/>
    <w:uiPriority w:val="0"/>
    <w:rPr>
      <w:rFonts w:eastAsia="仿宋_GB2312"/>
      <w:b/>
      <w:bCs/>
      <w:sz w:val="30"/>
    </w:rPr>
  </w:style>
  <w:style w:type="character" w:customStyle="1" w:styleId="164">
    <w:name w:val="Char Char5"/>
    <w:qFormat/>
    <w:uiPriority w:val="0"/>
    <w:rPr>
      <w:rFonts w:ascii="宋体" w:hAnsi="Courier New" w:eastAsia="宋体"/>
      <w:kern w:val="2"/>
      <w:sz w:val="21"/>
      <w:lang w:val="en-US" w:eastAsia="zh-CN" w:bidi="ar-SA"/>
    </w:rPr>
  </w:style>
  <w:style w:type="character" w:customStyle="1" w:styleId="165">
    <w:name w:val=" Char Char5"/>
    <w:qFormat/>
    <w:uiPriority w:val="0"/>
    <w:rPr>
      <w:rFonts w:ascii="宋体" w:hAnsi="Courier New" w:eastAsia="宋体"/>
      <w:kern w:val="2"/>
      <w:sz w:val="21"/>
      <w:lang w:val="en-US" w:eastAsia="zh-CN" w:bidi="ar-SA"/>
    </w:rPr>
  </w:style>
  <w:style w:type="character" w:customStyle="1" w:styleId="166">
    <w:name w:val="标题 1 Char"/>
    <w:link w:val="4"/>
    <w:qFormat/>
    <w:uiPriority w:val="0"/>
    <w:rPr>
      <w:b/>
      <w:bCs/>
      <w:kern w:val="44"/>
      <w:sz w:val="44"/>
      <w:szCs w:val="44"/>
    </w:rPr>
  </w:style>
  <w:style w:type="character" w:customStyle="1" w:styleId="167">
    <w:name w:val="font11"/>
    <w:qFormat/>
    <w:uiPriority w:val="0"/>
    <w:rPr>
      <w:rFonts w:hint="eastAsia" w:ascii="宋体" w:hAnsi="宋体" w:eastAsia="宋体" w:cs="宋体"/>
      <w:color w:val="FF0000"/>
      <w:sz w:val="21"/>
      <w:szCs w:val="21"/>
      <w:u w:val="none"/>
    </w:rPr>
  </w:style>
  <w:style w:type="character" w:customStyle="1" w:styleId="168">
    <w:name w:val="正文首行缩进 Char2"/>
    <w:qFormat/>
    <w:uiPriority w:val="99"/>
    <w:rPr>
      <w:rFonts w:eastAsia="仿宋_GB2312"/>
      <w:kern w:val="2"/>
      <w:sz w:val="30"/>
    </w:rPr>
  </w:style>
  <w:style w:type="character" w:customStyle="1" w:styleId="169">
    <w:name w:val="11 Char"/>
    <w:link w:val="52"/>
    <w:qFormat/>
    <w:uiPriority w:val="0"/>
    <w:rPr>
      <w:rFonts w:hAnsi="宋体"/>
      <w:b/>
      <w:kern w:val="2"/>
      <w:sz w:val="21"/>
      <w:szCs w:val="21"/>
    </w:rPr>
  </w:style>
  <w:style w:type="character" w:customStyle="1" w:styleId="170">
    <w:name w:val="正文文本缩进 3 Char"/>
    <w:link w:val="32"/>
    <w:qFormat/>
    <w:uiPriority w:val="0"/>
    <w:rPr>
      <w:kern w:val="2"/>
      <w:sz w:val="16"/>
      <w:szCs w:val="16"/>
    </w:rPr>
  </w:style>
  <w:style w:type="character" w:customStyle="1" w:styleId="171">
    <w:name w:val="正文文本 2 Char2"/>
    <w:basedOn w:val="43"/>
    <w:semiHidden/>
    <w:qFormat/>
    <w:uiPriority w:val="99"/>
  </w:style>
  <w:style w:type="character" w:customStyle="1" w:styleId="172">
    <w:name w:val="！正文（四号字） Char"/>
    <w:link w:val="122"/>
    <w:qFormat/>
    <w:uiPriority w:val="0"/>
    <w:rPr>
      <w:kern w:val="2"/>
      <w:sz w:val="24"/>
      <w:szCs w:val="28"/>
      <w:lang w:val="en-US" w:eastAsia="zh-CN" w:bidi="ar-SA"/>
    </w:rPr>
  </w:style>
  <w:style w:type="character" w:customStyle="1" w:styleId="173">
    <w:name w:val="正文文本缩进 Char2"/>
    <w:basedOn w:val="43"/>
    <w:semiHidden/>
    <w:qFormat/>
    <w:uiPriority w:val="99"/>
  </w:style>
  <w:style w:type="character" w:customStyle="1" w:styleId="174">
    <w:name w:val="正文首行缩进 2 Char"/>
    <w:link w:val="40"/>
    <w:qFormat/>
    <w:uiPriority w:val="0"/>
    <w:rPr>
      <w:rFonts w:hAnsi="Calibri"/>
      <w:kern w:val="2"/>
      <w:sz w:val="21"/>
      <w:szCs w:val="24"/>
    </w:rPr>
  </w:style>
  <w:style w:type="character" w:customStyle="1" w:styleId="175">
    <w:name w:val="正文文本缩进 2 Char1"/>
    <w:basedOn w:val="43"/>
    <w:semiHidden/>
    <w:qFormat/>
    <w:uiPriority w:val="99"/>
  </w:style>
  <w:style w:type="character" w:customStyle="1" w:styleId="176">
    <w:name w:val="页眉 Char1"/>
    <w:semiHidden/>
    <w:qFormat/>
    <w:uiPriority w:val="99"/>
    <w:rPr>
      <w:sz w:val="18"/>
      <w:szCs w:val="18"/>
    </w:rPr>
  </w:style>
  <w:style w:type="character" w:customStyle="1" w:styleId="177">
    <w:name w:val="文档结构图 Char"/>
    <w:link w:val="15"/>
    <w:qFormat/>
    <w:uiPriority w:val="0"/>
    <w:rPr>
      <w:kern w:val="2"/>
      <w:sz w:val="21"/>
      <w:shd w:val="clear" w:color="auto" w:fill="000080"/>
    </w:rPr>
  </w:style>
  <w:style w:type="character" w:customStyle="1" w:styleId="178">
    <w:name w:val=" Char Char3"/>
    <w:qFormat/>
    <w:uiPriority w:val="0"/>
    <w:rPr>
      <w:rFonts w:ascii="Arial" w:hAnsi="Arial" w:eastAsia="黑体"/>
      <w:b/>
      <w:bCs/>
      <w:kern w:val="2"/>
      <w:sz w:val="32"/>
      <w:szCs w:val="32"/>
      <w:lang w:val="en-US" w:eastAsia="zh-CN" w:bidi="ar-SA"/>
    </w:rPr>
  </w:style>
  <w:style w:type="character" w:customStyle="1" w:styleId="179">
    <w:name w:val="font21"/>
    <w:qFormat/>
    <w:uiPriority w:val="0"/>
    <w:rPr>
      <w:rFonts w:hint="eastAsia" w:ascii="宋体" w:hAnsi="宋体" w:eastAsia="宋体"/>
      <w:color w:val="000000"/>
      <w:sz w:val="20"/>
      <w:szCs w:val="20"/>
      <w:u w:val="none"/>
    </w:rPr>
  </w:style>
  <w:style w:type="character" w:customStyle="1" w:styleId="180">
    <w:name w:val="Char Char13"/>
    <w:qFormat/>
    <w:uiPriority w:val="0"/>
    <w:rPr>
      <w:rFonts w:ascii="宋体" w:eastAsia="宋体"/>
      <w:kern w:val="2"/>
      <w:sz w:val="24"/>
      <w:lang w:val="en-US" w:eastAsia="zh-CN" w:bidi="ar-SA"/>
    </w:rPr>
  </w:style>
  <w:style w:type="character" w:customStyle="1" w:styleId="181">
    <w:name w:val="正文文本 3 Char2"/>
    <w:semiHidden/>
    <w:qFormat/>
    <w:uiPriority w:val="99"/>
    <w:rPr>
      <w:sz w:val="16"/>
      <w:szCs w:val="16"/>
    </w:rPr>
  </w:style>
  <w:style w:type="character" w:customStyle="1" w:styleId="182">
    <w:name w:val="正文文本 Char1"/>
    <w:qFormat/>
    <w:uiPriority w:val="99"/>
    <w:rPr>
      <w:kern w:val="2"/>
      <w:sz w:val="21"/>
    </w:rPr>
  </w:style>
  <w:style w:type="character" w:customStyle="1" w:styleId="183">
    <w:name w:val=" Char Char12"/>
    <w:qFormat/>
    <w:uiPriority w:val="0"/>
    <w:rPr>
      <w:rFonts w:ascii="Arial" w:hAnsi="Arial" w:eastAsia="黑体"/>
      <w:b/>
      <w:bCs/>
      <w:kern w:val="2"/>
      <w:sz w:val="32"/>
      <w:szCs w:val="32"/>
      <w:lang w:val="en-US" w:eastAsia="zh-CN" w:bidi="ar-SA"/>
    </w:rPr>
  </w:style>
  <w:style w:type="character" w:customStyle="1" w:styleId="184">
    <w:name w:val="正文文本 2 Char1"/>
    <w:qFormat/>
    <w:uiPriority w:val="0"/>
    <w:rPr>
      <w:kern w:val="2"/>
      <w:sz w:val="21"/>
    </w:rPr>
  </w:style>
  <w:style w:type="character" w:customStyle="1" w:styleId="185">
    <w:name w:val="孙普文字 Char1"/>
    <w:qFormat/>
    <w:uiPriority w:val="0"/>
    <w:rPr>
      <w:rFonts w:ascii="宋体" w:hAnsi="Courier New" w:eastAsia="宋体"/>
      <w:kern w:val="2"/>
      <w:sz w:val="21"/>
      <w:lang w:val="en-US" w:eastAsia="zh-CN" w:bidi="ar-SA"/>
    </w:rPr>
  </w:style>
  <w:style w:type="character" w:customStyle="1" w:styleId="186">
    <w:name w:val="标题 6 Char"/>
    <w:link w:val="10"/>
    <w:qFormat/>
    <w:uiPriority w:val="0"/>
    <w:rPr>
      <w:rFonts w:ascii="Cambria" w:hAnsi="Cambria" w:eastAsia="宋体"/>
      <w:b/>
      <w:bCs/>
      <w:sz w:val="24"/>
      <w:szCs w:val="24"/>
      <w:lang w:bidi="ar-SA"/>
    </w:rPr>
  </w:style>
  <w:style w:type="character" w:customStyle="1" w:styleId="187">
    <w:name w:val="无间隔 Char"/>
    <w:link w:val="63"/>
    <w:qFormat/>
    <w:uiPriority w:val="1"/>
    <w:rPr>
      <w:kern w:val="2"/>
      <w:sz w:val="24"/>
      <w:lang w:val="en-US" w:eastAsia="zh-CN" w:bidi="ar-SA"/>
    </w:rPr>
  </w:style>
  <w:style w:type="character" w:customStyle="1" w:styleId="188">
    <w:name w:val="正文首行缩进 Char"/>
    <w:link w:val="39"/>
    <w:qFormat/>
    <w:uiPriority w:val="0"/>
    <w:rPr>
      <w:kern w:val="2"/>
      <w:sz w:val="21"/>
    </w:rPr>
  </w:style>
  <w:style w:type="character" w:customStyle="1" w:styleId="189">
    <w:name w:val="正文首行缩进 Char3"/>
    <w:basedOn w:val="140"/>
    <w:semiHidden/>
    <w:qFormat/>
    <w:uiPriority w:val="99"/>
  </w:style>
  <w:style w:type="character" w:customStyle="1" w:styleId="190">
    <w:name w:val="Comment Text Char"/>
    <w:qFormat/>
    <w:locked/>
    <w:uiPriority w:val="0"/>
    <w:rPr>
      <w:kern w:val="2"/>
      <w:sz w:val="24"/>
      <w:szCs w:val="24"/>
    </w:rPr>
  </w:style>
  <w:style w:type="character" w:customStyle="1" w:styleId="191">
    <w:name w:val="标题 2 Char"/>
    <w:link w:val="5"/>
    <w:qFormat/>
    <w:uiPriority w:val="0"/>
    <w:rPr>
      <w:rFonts w:ascii="Arial" w:hAnsi="Arial" w:eastAsia="黑体"/>
      <w:b/>
      <w:bCs/>
      <w:kern w:val="2"/>
      <w:sz w:val="32"/>
      <w:szCs w:val="32"/>
      <w:lang w:val="en-US" w:eastAsia="zh-CN" w:bidi="ar-SA"/>
    </w:rPr>
  </w:style>
  <w:style w:type="character" w:customStyle="1" w:styleId="192">
    <w:name w:val="页脚 Char1"/>
    <w:semiHidden/>
    <w:qFormat/>
    <w:uiPriority w:val="99"/>
    <w:rPr>
      <w:sz w:val="18"/>
      <w:szCs w:val="18"/>
    </w:rPr>
  </w:style>
  <w:style w:type="character" w:customStyle="1" w:styleId="193">
    <w:name w:val="正文文本缩进 3 Char2"/>
    <w:qFormat/>
    <w:uiPriority w:val="99"/>
    <w:rPr>
      <w:rFonts w:eastAsia="仿宋_GB2312"/>
      <w:sz w:val="16"/>
      <w:szCs w:val="16"/>
    </w:rPr>
  </w:style>
  <w:style w:type="character" w:customStyle="1" w:styleId="194">
    <w:name w:val="Comment Subject Char"/>
    <w:qFormat/>
    <w:locked/>
    <w:uiPriority w:val="0"/>
    <w:rPr>
      <w:b/>
      <w:bCs/>
      <w:kern w:val="2"/>
      <w:sz w:val="24"/>
      <w:szCs w:val="24"/>
    </w:rPr>
  </w:style>
  <w:style w:type="character" w:customStyle="1" w:styleId="195">
    <w:name w:val="标题 4 Char"/>
    <w:link w:val="7"/>
    <w:qFormat/>
    <w:uiPriority w:val="0"/>
    <w:rPr>
      <w:rFonts w:ascii="Arial" w:hAnsi="Arial" w:eastAsia="宋体"/>
      <w:color w:val="000000"/>
      <w:kern w:val="2"/>
      <w:sz w:val="24"/>
      <w:szCs w:val="24"/>
      <w:lang w:val="en-US" w:eastAsia="zh-CN" w:bidi="ar-SA"/>
    </w:rPr>
  </w:style>
  <w:style w:type="character" w:customStyle="1" w:styleId="196">
    <w:name w:val="批注文字 Char2"/>
    <w:basedOn w:val="43"/>
    <w:semiHidden/>
    <w:qFormat/>
    <w:uiPriority w:val="99"/>
  </w:style>
  <w:style w:type="character" w:customStyle="1" w:styleId="197">
    <w:name w:val="批注文字 Char"/>
    <w:link w:val="16"/>
    <w:qFormat/>
    <w:uiPriority w:val="0"/>
    <w:rPr>
      <w:rFonts w:eastAsia="宋体"/>
      <w:kern w:val="2"/>
      <w:sz w:val="21"/>
      <w:lang w:val="en-US" w:eastAsia="zh-CN" w:bidi="ar-SA"/>
    </w:rPr>
  </w:style>
  <w:style w:type="character" w:customStyle="1" w:styleId="198">
    <w:name w:val="！正文（四号字） Char Char"/>
    <w:qFormat/>
    <w:uiPriority w:val="0"/>
    <w:rPr>
      <w:rFonts w:eastAsia="Times New Roman"/>
      <w:kern w:val="2"/>
      <w:sz w:val="24"/>
      <w:szCs w:val="28"/>
      <w:lang w:val="en-US" w:eastAsia="zh-CN" w:bidi="ar-SA"/>
    </w:rPr>
  </w:style>
  <w:style w:type="character" w:customStyle="1" w:styleId="199">
    <w:name w:val="正文文本缩进 Char1"/>
    <w:qFormat/>
    <w:uiPriority w:val="99"/>
  </w:style>
  <w:style w:type="character" w:customStyle="1" w:styleId="200">
    <w:name w:val="批注主题 Char3"/>
    <w:semiHidden/>
    <w:qFormat/>
    <w:uiPriority w:val="99"/>
    <w:rPr>
      <w:b/>
      <w:bCs/>
    </w:rPr>
  </w:style>
  <w:style w:type="character" w:customStyle="1" w:styleId="201">
    <w:name w:val="Char Char10"/>
    <w:qFormat/>
    <w:uiPriority w:val="0"/>
    <w:rPr>
      <w:rFonts w:ascii="宋体" w:hAnsi="Courier New" w:eastAsia="宋体" w:cs="宋体"/>
      <w:kern w:val="2"/>
      <w:sz w:val="24"/>
      <w:szCs w:val="24"/>
      <w:lang w:val="en-US" w:eastAsia="zh-CN"/>
    </w:rPr>
  </w:style>
  <w:style w:type="character" w:customStyle="1" w:styleId="202">
    <w:name w:val="批注文字 Char1"/>
    <w:qFormat/>
    <w:uiPriority w:val="0"/>
    <w:rPr>
      <w:rFonts w:eastAsia="仿宋_GB2312"/>
      <w:sz w:val="30"/>
    </w:rPr>
  </w:style>
  <w:style w:type="character" w:customStyle="1" w:styleId="203">
    <w:name w:val="批注框文本 Char"/>
    <w:link w:val="26"/>
    <w:qFormat/>
    <w:uiPriority w:val="99"/>
    <w:rPr>
      <w:kern w:val="2"/>
      <w:sz w:val="18"/>
      <w:szCs w:val="18"/>
    </w:rPr>
  </w:style>
  <w:style w:type="character" w:customStyle="1" w:styleId="204">
    <w:name w:val="文档结构图 Char2"/>
    <w:semiHidden/>
    <w:qFormat/>
    <w:uiPriority w:val="99"/>
    <w:rPr>
      <w:rFonts w:ascii="宋体" w:eastAsia="宋体"/>
      <w:sz w:val="18"/>
      <w:szCs w:val="18"/>
    </w:rPr>
  </w:style>
  <w:style w:type="character" w:customStyle="1" w:styleId="205">
    <w:name w:val="页眉 Char"/>
    <w:link w:val="28"/>
    <w:qFormat/>
    <w:uiPriority w:val="0"/>
    <w:rPr>
      <w:rFonts w:eastAsia="宋体"/>
      <w:kern w:val="2"/>
      <w:sz w:val="18"/>
      <w:lang w:val="en-US" w:eastAsia="zh-CN" w:bidi="ar-SA"/>
    </w:rPr>
  </w:style>
  <w:style w:type="character" w:customStyle="1" w:styleId="206">
    <w:name w:val="Footer-Even Char1"/>
    <w:qFormat/>
    <w:locked/>
    <w:uiPriority w:val="0"/>
    <w:rPr>
      <w:rFonts w:eastAsia="仿宋_GB2312"/>
      <w:sz w:val="18"/>
    </w:rPr>
  </w:style>
  <w:style w:type="character" w:customStyle="1" w:styleId="207">
    <w:name w:val="日期 Char"/>
    <w:link w:val="24"/>
    <w:qFormat/>
    <w:uiPriority w:val="0"/>
    <w:rPr>
      <w:rFonts w:ascii="宋体" w:hAnsi="Courier New" w:cs="Courier New"/>
      <w:b/>
      <w:bCs/>
      <w:kern w:val="2"/>
      <w:sz w:val="28"/>
      <w:szCs w:val="21"/>
    </w:rPr>
  </w:style>
  <w:style w:type="character" w:customStyle="1" w:styleId="208">
    <w:name w:val="正文文本缩进 Char"/>
    <w:link w:val="18"/>
    <w:qFormat/>
    <w:uiPriority w:val="0"/>
    <w:rPr>
      <w:kern w:val="2"/>
      <w:sz w:val="21"/>
    </w:rPr>
  </w:style>
  <w:style w:type="character" w:customStyle="1" w:styleId="209">
    <w:name w:val="h Char1"/>
    <w:qFormat/>
    <w:locked/>
    <w:uiPriority w:val="0"/>
    <w:rPr>
      <w:rFonts w:eastAsia="仿宋_GB2312"/>
      <w:sz w:val="18"/>
    </w:rPr>
  </w:style>
  <w:style w:type="character" w:customStyle="1" w:styleId="210">
    <w:name w:val="正文文本 3 Char1"/>
    <w:qFormat/>
    <w:uiPriority w:val="0"/>
    <w:rPr>
      <w:rFonts w:eastAsia="仿宋_GB2312"/>
      <w:sz w:val="16"/>
      <w:szCs w:val="16"/>
    </w:rPr>
  </w:style>
  <w:style w:type="character" w:customStyle="1" w:styleId="211">
    <w:name w:val="正文文本 3 Char"/>
    <w:link w:val="17"/>
    <w:qFormat/>
    <w:uiPriority w:val="0"/>
    <w:rPr>
      <w:rFonts w:eastAsia="宋体"/>
      <w:kern w:val="2"/>
      <w:sz w:val="16"/>
      <w:szCs w:val="16"/>
      <w:lang w:val="en-US" w:eastAsia="zh-CN" w:bidi="ar-SA"/>
    </w:rPr>
  </w:style>
  <w:style w:type="character" w:customStyle="1" w:styleId="212">
    <w:name w:val="纯文本 Char2"/>
    <w:qFormat/>
    <w:uiPriority w:val="0"/>
    <w:rPr>
      <w:rFonts w:ascii="宋体" w:hAnsi="Courier New" w:eastAsia="宋体"/>
      <w:kern w:val="2"/>
      <w:sz w:val="21"/>
      <w:lang w:val="en-US" w:eastAsia="zh-CN" w:bidi="ar-SA"/>
    </w:rPr>
  </w:style>
  <w:style w:type="character" w:customStyle="1" w:styleId="213">
    <w:name w:val="日期 Char3"/>
    <w:basedOn w:val="43"/>
    <w:semiHidden/>
    <w:qFormat/>
    <w:uiPriority w:val="99"/>
  </w:style>
  <w:style w:type="character" w:customStyle="1" w:styleId="214">
    <w:name w:val="Char Char12"/>
    <w:qFormat/>
    <w:uiPriority w:val="0"/>
    <w:rPr>
      <w:rFonts w:eastAsia="仿宋_GB2312"/>
      <w:sz w:val="18"/>
    </w:rPr>
  </w:style>
  <w:style w:type="character" w:customStyle="1" w:styleId="215">
    <w:name w:val="正文首行缩进 2 Char2"/>
    <w:basedOn w:val="173"/>
    <w:semiHidden/>
    <w:qFormat/>
    <w:uiPriority w:val="99"/>
  </w:style>
  <w:style w:type="paragraph" w:customStyle="1" w:styleId="216">
    <w:name w:val="协议书标题2"/>
    <w:basedOn w:val="5"/>
    <w:next w:val="1"/>
    <w:qFormat/>
    <w:uiPriority w:val="0"/>
    <w:pPr>
      <w:keepNext w:val="0"/>
      <w:keepLines w:val="0"/>
      <w:numPr>
        <w:ilvl w:val="0"/>
        <w:numId w:val="4"/>
      </w:numPr>
      <w:tabs>
        <w:tab w:val="left" w:pos="567"/>
      </w:tabs>
      <w:spacing w:line="360" w:lineRule="auto"/>
      <w:ind w:firstLine="0" w:firstLineChars="0"/>
      <w:jc w:val="left"/>
    </w:pPr>
    <w:rPr>
      <w:rFonts w:ascii="宋体" w:hAnsi="宋体"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9a4f49-ebab-417c-8546-fa8cd7502349}"/>
        <w:style w:val=""/>
        <w:category>
          <w:name w:val="常规"/>
          <w:gallery w:val="placeholder"/>
        </w:category>
        <w:types>
          <w:type w:val="bbPlcHdr"/>
        </w:types>
        <w:behaviors>
          <w:behavior w:val="content"/>
        </w:behaviors>
        <w:description w:val=""/>
        <w:guid w:val="{d29a4f49-ebab-417c-8546-fa8cd7502349}"/>
      </w:docPartPr>
      <w:docPartBody>
        <w:p w14:paraId="275C6431">
          <w:r>
            <w:rPr>
              <w:color w:val="808080"/>
            </w:rPr>
            <w:t>单击此处输入文字。</w:t>
          </w:r>
        </w:p>
      </w:docPartBody>
    </w:docPart>
    <w:docPart>
      <w:docPartPr>
        <w:name w:val="{ddb38fdc-3ae1-4b6d-8114-ccbf2b1778b2}"/>
        <w:style w:val=""/>
        <w:category>
          <w:name w:val="常规"/>
          <w:gallery w:val="placeholder"/>
        </w:category>
        <w:types>
          <w:type w:val="bbPlcHdr"/>
        </w:types>
        <w:behaviors>
          <w:behavior w:val="content"/>
        </w:behaviors>
        <w:description w:val=""/>
        <w:guid w:val="{ddb38fdc-3ae1-4b6d-8114-ccbf2b1778b2}"/>
      </w:docPartPr>
      <w:docPartBody>
        <w:p w14:paraId="3485D51B">
          <w:r>
            <w:rPr>
              <w:color w:val="808080"/>
            </w:rPr>
            <w:t>单击此处输入文字。</w:t>
          </w:r>
        </w:p>
      </w:docPartBody>
    </w:docPart>
    <w:docPart>
      <w:docPartPr>
        <w:name w:val="{a98e34f5-3396-40ea-8da0-080982dd8b26}"/>
        <w:style w:val=""/>
        <w:category>
          <w:name w:val="常规"/>
          <w:gallery w:val="placeholder"/>
        </w:category>
        <w:types>
          <w:type w:val="bbPlcHdr"/>
        </w:types>
        <w:behaviors>
          <w:behavior w:val="content"/>
        </w:behaviors>
        <w:description w:val=""/>
        <w:guid w:val="{a98e34f5-3396-40ea-8da0-080982dd8b26}"/>
      </w:docPartPr>
      <w:docPartBody>
        <w:p w14:paraId="73A2F43D">
          <w:r>
            <w:rPr>
              <w:color w:val="808080"/>
            </w:rPr>
            <w:t>单击此处输入文字。</w:t>
          </w:r>
        </w:p>
      </w:docPartBody>
    </w:docPart>
    <w:docPart>
      <w:docPartPr>
        <w:name w:val="{2e27e38d-a9a7-454f-91f7-00dbf9991142}"/>
        <w:style w:val=""/>
        <w:category>
          <w:name w:val="常规"/>
          <w:gallery w:val="placeholder"/>
        </w:category>
        <w:types>
          <w:type w:val="bbPlcHdr"/>
        </w:types>
        <w:behaviors>
          <w:behavior w:val="content"/>
        </w:behaviors>
        <w:description w:val=""/>
        <w:guid w:val="{2e27e38d-a9a7-454f-91f7-00dbf9991142}"/>
      </w:docPartPr>
      <w:docPartBody>
        <w:p w14:paraId="477076BD">
          <w:r>
            <w:rPr>
              <w:color w:val="808080"/>
            </w:rPr>
            <w:t>单击此处输入文字。</w:t>
          </w:r>
        </w:p>
      </w:docPartBody>
    </w:docPart>
    <w:docPart>
      <w:docPartPr>
        <w:name w:val="{32d11245-faf2-4039-be21-2ab39401b3a3}"/>
        <w:style w:val=""/>
        <w:category>
          <w:name w:val="常规"/>
          <w:gallery w:val="placeholder"/>
        </w:category>
        <w:types>
          <w:type w:val="bbPlcHdr"/>
        </w:types>
        <w:behaviors>
          <w:behavior w:val="content"/>
        </w:behaviors>
        <w:description w:val=""/>
        <w:guid w:val="{32d11245-faf2-4039-be21-2ab39401b3a3}"/>
      </w:docPartPr>
      <w:docPartBody>
        <w:p w14:paraId="1A71A487">
          <w:r>
            <w:rPr>
              <w:color w:val="808080"/>
            </w:rPr>
            <w:t>单击此处输入文字。</w:t>
          </w:r>
        </w:p>
      </w:docPartBody>
    </w:docPart>
    <w:docPart>
      <w:docPartPr>
        <w:name w:val="{66305872-23f0-41d3-956b-c1146a41573e}"/>
        <w:style w:val=""/>
        <w:category>
          <w:name w:val="常规"/>
          <w:gallery w:val="placeholder"/>
        </w:category>
        <w:types>
          <w:type w:val="bbPlcHdr"/>
        </w:types>
        <w:behaviors>
          <w:behavior w:val="content"/>
        </w:behaviors>
        <w:description w:val=""/>
        <w:guid w:val="{66305872-23f0-41d3-956b-c1146a41573e}"/>
      </w:docPartPr>
      <w:docPartBody>
        <w:p w14:paraId="00C0A61B">
          <w:r>
            <w:rPr>
              <w:color w:val="808080"/>
            </w:rPr>
            <w:t>单击此处输入文字。</w:t>
          </w:r>
        </w:p>
      </w:docPartBody>
    </w:docPart>
    <w:docPart>
      <w:docPartPr>
        <w:name w:val="{4dbc001f-1dc4-4cfb-8275-76554defad98}"/>
        <w:style w:val=""/>
        <w:category>
          <w:name w:val="常规"/>
          <w:gallery w:val="placeholder"/>
        </w:category>
        <w:types>
          <w:type w:val="bbPlcHdr"/>
        </w:types>
        <w:behaviors>
          <w:behavior w:val="content"/>
        </w:behaviors>
        <w:description w:val=""/>
        <w:guid w:val="{4dbc001f-1dc4-4cfb-8275-76554defad98}"/>
      </w:docPartPr>
      <w:docPartBody>
        <w:p w14:paraId="5071D206">
          <w:r>
            <w:rPr>
              <w:color w:val="808080"/>
            </w:rPr>
            <w:t>单击此处输入文字。</w:t>
          </w:r>
        </w:p>
      </w:docPartBody>
    </w:docPart>
    <w:docPart>
      <w:docPartPr>
        <w:name w:val="{886a6ca1-311b-4b40-8dd4-50feba905341}"/>
        <w:style w:val=""/>
        <w:category>
          <w:name w:val="常规"/>
          <w:gallery w:val="placeholder"/>
        </w:category>
        <w:types>
          <w:type w:val="bbPlcHdr"/>
        </w:types>
        <w:behaviors>
          <w:behavior w:val="content"/>
        </w:behaviors>
        <w:description w:val=""/>
        <w:guid w:val="{886a6ca1-311b-4b40-8dd4-50feba905341}"/>
      </w:docPartPr>
      <w:docPartBody>
        <w:p w14:paraId="2CA50A40">
          <w:r>
            <w:rPr>
              <w:color w:val="808080"/>
            </w:rPr>
            <w:t>单击此处输入文字。</w:t>
          </w:r>
        </w:p>
      </w:docPartBody>
    </w:docPart>
    <w:docPart>
      <w:docPartPr>
        <w:name w:val="{5a251721-7d40-43e0-a3cf-9c067606f324}"/>
        <w:style w:val=""/>
        <w:category>
          <w:name w:val="常规"/>
          <w:gallery w:val="placeholder"/>
        </w:category>
        <w:types>
          <w:type w:val="bbPlcHdr"/>
        </w:types>
        <w:behaviors>
          <w:behavior w:val="content"/>
        </w:behaviors>
        <w:description w:val=""/>
        <w:guid w:val="{5a251721-7d40-43e0-a3cf-9c067606f324}"/>
      </w:docPartPr>
      <w:docPartBody>
        <w:p w14:paraId="43DD7B40">
          <w:r>
            <w:rPr>
              <w:color w:val="808080"/>
            </w:rPr>
            <w:t>单击此处输入文字。</w:t>
          </w:r>
        </w:p>
      </w:docPartBody>
    </w:docPart>
    <w:docPart>
      <w:docPartPr>
        <w:name w:val="{c45d3679-566b-4755-bd4d-12ab3d9902cb}"/>
        <w:style w:val=""/>
        <w:category>
          <w:name w:val="常规"/>
          <w:gallery w:val="placeholder"/>
        </w:category>
        <w:types>
          <w:type w:val="bbPlcHdr"/>
        </w:types>
        <w:behaviors>
          <w:behavior w:val="content"/>
        </w:behaviors>
        <w:description w:val=""/>
        <w:guid w:val="{c45d3679-566b-4755-bd4d-12ab3d9902cb}"/>
      </w:docPartPr>
      <w:docPartBody>
        <w:p w14:paraId="4455ABAA">
          <w:r>
            <w:rPr>
              <w:color w:val="808080"/>
            </w:rPr>
            <w:t>单击此处输入文字。</w:t>
          </w:r>
        </w:p>
      </w:docPartBody>
    </w:docPart>
    <w:docPart>
      <w:docPartPr>
        <w:name w:val="{2da471d0-4341-4ab1-84cf-b9e268d7d281}"/>
        <w:style w:val=""/>
        <w:category>
          <w:name w:val="常规"/>
          <w:gallery w:val="placeholder"/>
        </w:category>
        <w:types>
          <w:type w:val="bbPlcHdr"/>
        </w:types>
        <w:behaviors>
          <w:behavior w:val="content"/>
        </w:behaviors>
        <w:description w:val=""/>
        <w:guid w:val="{2da471d0-4341-4ab1-84cf-b9e268d7d281}"/>
      </w:docPartPr>
      <w:docPartBody>
        <w:p w14:paraId="4A8CA6F9">
          <w:r>
            <w:rPr>
              <w:color w:val="808080"/>
            </w:rPr>
            <w:t>单击此处输入日期。</w:t>
          </w:r>
        </w:p>
      </w:docPartBody>
    </w:docPart>
    <w:docPart>
      <w:docPartPr>
        <w:name w:val="{bd86530f-057e-44b0-90ff-4218b7a32529}"/>
        <w:style w:val=""/>
        <w:category>
          <w:name w:val="常规"/>
          <w:gallery w:val="placeholder"/>
        </w:category>
        <w:types>
          <w:type w:val="bbPlcHdr"/>
        </w:types>
        <w:behaviors>
          <w:behavior w:val="content"/>
        </w:behaviors>
        <w:description w:val=""/>
        <w:guid w:val="{bd86530f-057e-44b0-90ff-4218b7a32529}"/>
      </w:docPartPr>
      <w:docPartBody>
        <w:p w14:paraId="242BD64A">
          <w:r>
            <w:rPr>
              <w:color w:val="808080"/>
            </w:rPr>
            <w:t>单击此处输入日期。</w:t>
          </w:r>
        </w:p>
      </w:docPartBody>
    </w:docPart>
    <w:docPart>
      <w:docPartPr>
        <w:name w:val="{2ea8e540-e88a-433b-a81f-112094e96934}"/>
        <w:style w:val=""/>
        <w:category>
          <w:name w:val="常规"/>
          <w:gallery w:val="placeholder"/>
        </w:category>
        <w:types>
          <w:type w:val="bbPlcHdr"/>
        </w:types>
        <w:behaviors>
          <w:behavior w:val="content"/>
        </w:behaviors>
        <w:description w:val=""/>
        <w:guid w:val="{2ea8e540-e88a-433b-a81f-112094e96934}"/>
      </w:docPartPr>
      <w:docPartBody>
        <w:p w14:paraId="33A17B3A">
          <w:r>
            <w:rPr>
              <w:color w:val="808080"/>
            </w:rPr>
            <w:t>单击此处输入文字。</w:t>
          </w:r>
        </w:p>
      </w:docPartBody>
    </w:docPart>
    <w:docPart>
      <w:docPartPr>
        <w:name w:val="{fa692a2e-5a3e-498c-9b97-0e321972836f}"/>
        <w:style w:val=""/>
        <w:category>
          <w:name w:val="常规"/>
          <w:gallery w:val="placeholder"/>
        </w:category>
        <w:types>
          <w:type w:val="bbPlcHdr"/>
        </w:types>
        <w:behaviors>
          <w:behavior w:val="content"/>
        </w:behaviors>
        <w:description w:val=""/>
        <w:guid w:val="{fa692a2e-5a3e-498c-9b97-0e321972836f}"/>
      </w:docPartPr>
      <w:docPartBody>
        <w:p w14:paraId="1CC92102">
          <w:r>
            <w:rPr>
              <w:color w:val="808080"/>
            </w:rPr>
            <w:t>单击此处输入文字。</w:t>
          </w:r>
        </w:p>
      </w:docPartBody>
    </w:docPart>
    <w:docPart>
      <w:docPartPr>
        <w:name w:val="{0ab42b20-37ff-4e2e-adfc-7dc19458732f}"/>
        <w:style w:val=""/>
        <w:category>
          <w:name w:val="常规"/>
          <w:gallery w:val="placeholder"/>
        </w:category>
        <w:types>
          <w:type w:val="bbPlcHdr"/>
        </w:types>
        <w:behaviors>
          <w:behavior w:val="content"/>
        </w:behaviors>
        <w:description w:val=""/>
        <w:guid w:val="{0ab42b20-37ff-4e2e-adfc-7dc19458732f}"/>
      </w:docPartPr>
      <w:docPartBody>
        <w:p w14:paraId="24079BCB">
          <w:r>
            <w:rPr>
              <w:color w:val="808080"/>
            </w:rPr>
            <w:t>单击此处输入文字。</w:t>
          </w:r>
        </w:p>
      </w:docPartBody>
    </w:docPart>
    <w:docPart>
      <w:docPartPr>
        <w:name w:val="{9fa581aa-cc00-49f0-8e72-ffb105d88c29}"/>
        <w:style w:val=""/>
        <w:category>
          <w:name w:val="常规"/>
          <w:gallery w:val="placeholder"/>
        </w:category>
        <w:types>
          <w:type w:val="bbPlcHdr"/>
        </w:types>
        <w:behaviors>
          <w:behavior w:val="content"/>
        </w:behaviors>
        <w:description w:val=""/>
        <w:guid w:val="{9fa581aa-cc00-49f0-8e72-ffb105d88c29}"/>
      </w:docPartPr>
      <w:docPartBody>
        <w:p w14:paraId="373C02BB">
          <w:r>
            <w:rPr>
              <w:color w:val="808080"/>
            </w:rPr>
            <w:t>单击此处输入文字。</w:t>
          </w:r>
        </w:p>
      </w:docPartBody>
    </w:docPart>
    <w:docPart>
      <w:docPartPr>
        <w:name w:val="{e305f72a-b990-4b72-948d-0359106c3f17}"/>
        <w:style w:val=""/>
        <w:category>
          <w:name w:val="常规"/>
          <w:gallery w:val="placeholder"/>
        </w:category>
        <w:types>
          <w:type w:val="bbPlcHdr"/>
        </w:types>
        <w:behaviors>
          <w:behavior w:val="content"/>
        </w:behaviors>
        <w:description w:val=""/>
        <w:guid w:val="{e305f72a-b990-4b72-948d-0359106c3f17}"/>
      </w:docPartPr>
      <w:docPartBody>
        <w:p w14:paraId="2A587EA9">
          <w:r>
            <w:rPr>
              <w:color w:val="808080"/>
            </w:rPr>
            <w:t>单击此处输入文字。</w:t>
          </w:r>
        </w:p>
      </w:docPartBody>
    </w:docPart>
    <w:docPart>
      <w:docPartPr>
        <w:name w:val="{b3c31c3e-c9d6-4e74-809a-73660709bddf}"/>
        <w:style w:val=""/>
        <w:category>
          <w:name w:val="常规"/>
          <w:gallery w:val="placeholder"/>
        </w:category>
        <w:types>
          <w:type w:val="bbPlcHdr"/>
        </w:types>
        <w:behaviors>
          <w:behavior w:val="content"/>
        </w:behaviors>
        <w:description w:val=""/>
        <w:guid w:val="{b3c31c3e-c9d6-4e74-809a-73660709bddf}"/>
      </w:docPartPr>
      <w:docPartBody>
        <w:p w14:paraId="0E3E65BA">
          <w:r>
            <w:rPr>
              <w:color w:val="808080"/>
            </w:rPr>
            <w:t>单击此处输入文字。</w:t>
          </w:r>
        </w:p>
      </w:docPartBody>
    </w:docPart>
    <w:docPart>
      <w:docPartPr>
        <w:name w:val="{3bbf677d-2cf9-4124-b72b-ee0fee01b7a4}"/>
        <w:style w:val=""/>
        <w:category>
          <w:name w:val="常规"/>
          <w:gallery w:val="placeholder"/>
        </w:category>
        <w:types>
          <w:type w:val="bbPlcHdr"/>
        </w:types>
        <w:behaviors>
          <w:behavior w:val="content"/>
        </w:behaviors>
        <w:description w:val=""/>
        <w:guid w:val="{3bbf677d-2cf9-4124-b72b-ee0fee01b7a4}"/>
      </w:docPartPr>
      <w:docPartBody>
        <w:p w14:paraId="4EAD1424">
          <w:r>
            <w:rPr>
              <w:color w:val="808080"/>
            </w:rPr>
            <w:t>单击此处输入文字。</w:t>
          </w:r>
        </w:p>
      </w:docPartBody>
    </w:docPart>
    <w:docPart>
      <w:docPartPr>
        <w:name w:val="{0f3aab04-b71c-40a8-b88b-75d7b816f505}"/>
        <w:style w:val=""/>
        <w:category>
          <w:name w:val="常规"/>
          <w:gallery w:val="placeholder"/>
        </w:category>
        <w:types>
          <w:type w:val="bbPlcHdr"/>
        </w:types>
        <w:behaviors>
          <w:behavior w:val="content"/>
        </w:behaviors>
        <w:description w:val=""/>
        <w:guid w:val="{0f3aab04-b71c-40a8-b88b-75d7b816f505}"/>
      </w:docPartPr>
      <w:docPartBody>
        <w:p w14:paraId="13A7F572">
          <w:r>
            <w:rPr>
              <w:color w:val="808080"/>
            </w:rPr>
            <w:t>单击此处输入文字。</w:t>
          </w:r>
        </w:p>
      </w:docPartBody>
    </w:docPart>
    <w:docPart>
      <w:docPartPr>
        <w:name w:val="{e4927e00-de71-43b6-9965-455c6ba44bc2}"/>
        <w:style w:val=""/>
        <w:category>
          <w:name w:val="常规"/>
          <w:gallery w:val="placeholder"/>
        </w:category>
        <w:types>
          <w:type w:val="bbPlcHdr"/>
        </w:types>
        <w:behaviors>
          <w:behavior w:val="content"/>
        </w:behaviors>
        <w:description w:val=""/>
        <w:guid w:val="{e4927e00-de71-43b6-9965-455c6ba44bc2}"/>
      </w:docPartPr>
      <w:docPartBody>
        <w:p w14:paraId="56CCD35F">
          <w:r>
            <w:rPr>
              <w:color w:val="808080"/>
            </w:rPr>
            <w:t>单击此处输入日期。</w:t>
          </w:r>
        </w:p>
      </w:docPartBody>
    </w:docPart>
    <w:docPart>
      <w:docPartPr>
        <w:name w:val="{500d7113-4265-473b-981d-82e196f709d3}"/>
        <w:style w:val=""/>
        <w:category>
          <w:name w:val="常规"/>
          <w:gallery w:val="placeholder"/>
        </w:category>
        <w:types>
          <w:type w:val="bbPlcHdr"/>
        </w:types>
        <w:behaviors>
          <w:behavior w:val="content"/>
        </w:behaviors>
        <w:description w:val=""/>
        <w:guid w:val="{500d7113-4265-473b-981d-82e196f709d3}"/>
      </w:docPartPr>
      <w:docPartBody>
        <w:p w14:paraId="72A3CE57">
          <w:r>
            <w:rPr>
              <w:color w:val="808080"/>
            </w:rPr>
            <w:t>单击此处输入日期。</w:t>
          </w:r>
        </w:p>
      </w:docPartBody>
    </w:docPart>
    <w:docPart>
      <w:docPartPr>
        <w:name w:val="{a3c0603a-d72f-4d69-b9ea-15e4999f1698}"/>
        <w:style w:val=""/>
        <w:category>
          <w:name w:val="常规"/>
          <w:gallery w:val="placeholder"/>
        </w:category>
        <w:types>
          <w:type w:val="bbPlcHdr"/>
        </w:types>
        <w:behaviors>
          <w:behavior w:val="content"/>
        </w:behaviors>
        <w:description w:val=""/>
        <w:guid w:val="{a3c0603a-d72f-4d69-b9ea-15e4999f1698}"/>
      </w:docPartPr>
      <w:docPartBody>
        <w:p w14:paraId="146ED12A">
          <w:r>
            <w:rPr>
              <w:color w:val="808080"/>
            </w:rPr>
            <w:t>单击此处输入文字。</w:t>
          </w:r>
        </w:p>
      </w:docPartBody>
    </w:docPart>
    <w:docPart>
      <w:docPartPr>
        <w:name w:val="{9bde448b-48a0-48c2-8c32-4f38256284a1}"/>
        <w:style w:val=""/>
        <w:category>
          <w:name w:val="常规"/>
          <w:gallery w:val="placeholder"/>
        </w:category>
        <w:types>
          <w:type w:val="bbPlcHdr"/>
        </w:types>
        <w:behaviors>
          <w:behavior w:val="content"/>
        </w:behaviors>
        <w:description w:val=""/>
        <w:guid w:val="{9bde448b-48a0-48c2-8c32-4f38256284a1}"/>
      </w:docPartPr>
      <w:docPartBody>
        <w:p w14:paraId="1E07B685">
          <w:r>
            <w:rPr>
              <w:color w:val="808080"/>
            </w:rPr>
            <w:t>选择一项。</w:t>
          </w:r>
        </w:p>
      </w:docPartBody>
    </w:docPart>
    <w:docPart>
      <w:docPartPr>
        <w:name w:val="{98af5dc3-3451-429e-9fa7-86aad60c1a88}"/>
        <w:style w:val=""/>
        <w:category>
          <w:name w:val="常规"/>
          <w:gallery w:val="placeholder"/>
        </w:category>
        <w:types>
          <w:type w:val="bbPlcHdr"/>
        </w:types>
        <w:behaviors>
          <w:behavior w:val="content"/>
        </w:behaviors>
        <w:description w:val=""/>
        <w:guid w:val="{98af5dc3-3451-429e-9fa7-86aad60c1a88}"/>
      </w:docPartPr>
      <w:docPartBody>
        <w:p w14:paraId="6CFCEDF4">
          <w:r>
            <w:rPr>
              <w:color w:val="808080"/>
            </w:rPr>
            <w:t>单击此处输入文字。</w:t>
          </w:r>
        </w:p>
      </w:docPartBody>
    </w:docPart>
    <w:docPart>
      <w:docPartPr>
        <w:name w:val="{62759f59-d9c4-4759-9b64-fd03b48ef15a}"/>
        <w:style w:val=""/>
        <w:category>
          <w:name w:val="常规"/>
          <w:gallery w:val="placeholder"/>
        </w:category>
        <w:types>
          <w:type w:val="bbPlcHdr"/>
        </w:types>
        <w:behaviors>
          <w:behavior w:val="content"/>
        </w:behaviors>
        <w:description w:val=""/>
        <w:guid w:val="{62759f59-d9c4-4759-9b64-fd03b48ef15a}"/>
      </w:docPartPr>
      <w:docPartBody>
        <w:p w14:paraId="278A4A6C">
          <w:r>
            <w:rPr>
              <w:color w:val="808080"/>
            </w:rPr>
            <w:t>单击此处输入文字。</w:t>
          </w:r>
        </w:p>
      </w:docPartBody>
    </w:docPart>
    <w:docPart>
      <w:docPartPr>
        <w:name w:val="{f0f095f9-5e29-4387-b06b-f7de569d5c5b}"/>
        <w:style w:val=""/>
        <w:category>
          <w:name w:val="常规"/>
          <w:gallery w:val="placeholder"/>
        </w:category>
        <w:types>
          <w:type w:val="bbPlcHdr"/>
        </w:types>
        <w:behaviors>
          <w:behavior w:val="content"/>
        </w:behaviors>
        <w:description w:val=""/>
        <w:guid w:val="{f0f095f9-5e29-4387-b06b-f7de569d5c5b}"/>
      </w:docPartPr>
      <w:docPartBody>
        <w:p w14:paraId="72CA45AC">
          <w:r>
            <w:rPr>
              <w:color w:val="808080"/>
            </w:rPr>
            <w:t>单击此处输入文字。</w:t>
          </w:r>
        </w:p>
      </w:docPartBody>
    </w:docPart>
    <w:docPart>
      <w:docPartPr>
        <w:name w:val="{49f2dec1-f09e-4eda-86d1-6c4fdf9a4705}"/>
        <w:style w:val=""/>
        <w:category>
          <w:name w:val="常规"/>
          <w:gallery w:val="placeholder"/>
        </w:category>
        <w:types>
          <w:type w:val="bbPlcHdr"/>
        </w:types>
        <w:behaviors>
          <w:behavior w:val="content"/>
        </w:behaviors>
        <w:description w:val=""/>
        <w:guid w:val="{49f2dec1-f09e-4eda-86d1-6c4fdf9a4705}"/>
      </w:docPartPr>
      <w:docPartBody>
        <w:p w14:paraId="1306584F">
          <w:r>
            <w:rPr>
              <w:color w:val="808080"/>
            </w:rPr>
            <w:t>单击此处输入文字。</w:t>
          </w:r>
        </w:p>
      </w:docPartBody>
    </w:docPart>
    <w:docPart>
      <w:docPartPr>
        <w:name w:val="{b35765ef-3e80-42db-9c49-428a10d245a9}"/>
        <w:style w:val=""/>
        <w:category>
          <w:name w:val="常规"/>
          <w:gallery w:val="placeholder"/>
        </w:category>
        <w:types>
          <w:type w:val="bbPlcHdr"/>
        </w:types>
        <w:behaviors>
          <w:behavior w:val="content"/>
        </w:behaviors>
        <w:description w:val=""/>
        <w:guid w:val="{b35765ef-3e80-42db-9c49-428a10d245a9}"/>
      </w:docPartPr>
      <w:docPartBody>
        <w:p w14:paraId="27F033A1">
          <w:r>
            <w:rPr>
              <w:color w:val="808080"/>
            </w:rPr>
            <w:t>单击此处输入文字。</w:t>
          </w:r>
        </w:p>
      </w:docPartBody>
    </w:docPart>
    <w:docPart>
      <w:docPartPr>
        <w:name w:val="{732a2662-9bbe-4147-8ae5-1b2a9b34ae99}"/>
        <w:style w:val=""/>
        <w:category>
          <w:name w:val="常规"/>
          <w:gallery w:val="placeholder"/>
        </w:category>
        <w:types>
          <w:type w:val="bbPlcHdr"/>
        </w:types>
        <w:behaviors>
          <w:behavior w:val="content"/>
        </w:behaviors>
        <w:description w:val=""/>
        <w:guid w:val="{732a2662-9bbe-4147-8ae5-1b2a9b34ae99}"/>
      </w:docPartPr>
      <w:docPartBody>
        <w:p w14:paraId="0DACA7F6">
          <w:r>
            <w:rPr>
              <w:color w:val="808080"/>
            </w:rPr>
            <w:t>单击此处输入文字。</w:t>
          </w:r>
        </w:p>
      </w:docPartBody>
    </w:docPart>
    <w:docPart>
      <w:docPartPr>
        <w:name w:val="{718aa4a6-4418-4e1a-8d6d-ed480785fb6d}"/>
        <w:style w:val=""/>
        <w:category>
          <w:name w:val="常规"/>
          <w:gallery w:val="placeholder"/>
        </w:category>
        <w:types>
          <w:type w:val="bbPlcHdr"/>
        </w:types>
        <w:behaviors>
          <w:behavior w:val="content"/>
        </w:behaviors>
        <w:description w:val=""/>
        <w:guid w:val="{718aa4a6-4418-4e1a-8d6d-ed480785fb6d}"/>
      </w:docPartPr>
      <w:docPartBody>
        <w:p w14:paraId="47A5E75B">
          <w:r>
            <w:rPr>
              <w:color w:val="808080"/>
            </w:rPr>
            <w:t>单击此处输入文字。</w:t>
          </w:r>
        </w:p>
      </w:docPartBody>
    </w:docPart>
    <w:docPart>
      <w:docPartPr>
        <w:name w:val="{cd26310c-fbf4-4e06-94d6-cc1d447b05c9}"/>
        <w:style w:val=""/>
        <w:category>
          <w:name w:val="常规"/>
          <w:gallery w:val="placeholder"/>
        </w:category>
        <w:types>
          <w:type w:val="bbPlcHdr"/>
        </w:types>
        <w:behaviors>
          <w:behavior w:val="content"/>
        </w:behaviors>
        <w:description w:val=""/>
        <w:guid w:val="{cd26310c-fbf4-4e06-94d6-cc1d447b05c9}"/>
      </w:docPartPr>
      <w:docPartBody>
        <w:p w14:paraId="14571164">
          <w:r>
            <w:rPr>
              <w:color w:val="808080"/>
            </w:rPr>
            <w:t>单击此处输入文字。</w:t>
          </w:r>
        </w:p>
      </w:docPartBody>
    </w:docPart>
    <w:docPart>
      <w:docPartPr>
        <w:name w:val="{8bac2369-ec32-43f1-8f61-051285ac2d42}"/>
        <w:style w:val=""/>
        <w:category>
          <w:name w:val="常规"/>
          <w:gallery w:val="placeholder"/>
        </w:category>
        <w:types>
          <w:type w:val="bbPlcHdr"/>
        </w:types>
        <w:behaviors>
          <w:behavior w:val="content"/>
        </w:behaviors>
        <w:description w:val=""/>
        <w:guid w:val="{8bac2369-ec32-43f1-8f61-051285ac2d42}"/>
      </w:docPartPr>
      <w:docPartBody>
        <w:p w14:paraId="1C2DDDA7">
          <w:r>
            <w:rPr>
              <w:color w:val="808080"/>
            </w:rPr>
            <w:t>单击此处输入文字。</w:t>
          </w:r>
        </w:p>
      </w:docPartBody>
    </w:docPart>
    <w:docPart>
      <w:docPartPr>
        <w:name w:val="{7d9adc19-0d9f-401f-8daf-769da2ed54c9}"/>
        <w:style w:val=""/>
        <w:category>
          <w:name w:val="常规"/>
          <w:gallery w:val="placeholder"/>
        </w:category>
        <w:types>
          <w:type w:val="bbPlcHdr"/>
        </w:types>
        <w:behaviors>
          <w:behavior w:val="content"/>
        </w:behaviors>
        <w:description w:val=""/>
        <w:guid w:val="{7d9adc19-0d9f-401f-8daf-769da2ed54c9}"/>
      </w:docPartPr>
      <w:docPartBody>
        <w:p w14:paraId="5F2CCCE9">
          <w:r>
            <w:rPr>
              <w:color w:val="808080"/>
            </w:rPr>
            <w:t>单击此处输入文字。</w:t>
          </w:r>
        </w:p>
      </w:docPartBody>
    </w:docPart>
    <w:docPart>
      <w:docPartPr>
        <w:name w:val="{6f4c801d-f721-4c01-8e7b-32630c111422}"/>
        <w:style w:val=""/>
        <w:category>
          <w:name w:val="常规"/>
          <w:gallery w:val="placeholder"/>
        </w:category>
        <w:types>
          <w:type w:val="bbPlcHdr"/>
        </w:types>
        <w:behaviors>
          <w:behavior w:val="content"/>
        </w:behaviors>
        <w:description w:val=""/>
        <w:guid w:val="{6f4c801d-f721-4c01-8e7b-32630c111422}"/>
      </w:docPartPr>
      <w:docPartBody>
        <w:p w14:paraId="75F2C28D">
          <w:r>
            <w:rPr>
              <w:color w:val="808080"/>
            </w:rPr>
            <w:t>单击此处输入文字。</w:t>
          </w:r>
        </w:p>
      </w:docPartBody>
    </w:docPart>
    <w:docPart>
      <w:docPartPr>
        <w:name w:val="{b39e8399-7b89-4bdd-9306-155b96b4bad4}"/>
        <w:style w:val=""/>
        <w:category>
          <w:name w:val="常规"/>
          <w:gallery w:val="placeholder"/>
        </w:category>
        <w:types>
          <w:type w:val="bbPlcHdr"/>
        </w:types>
        <w:behaviors>
          <w:behavior w:val="content"/>
        </w:behaviors>
        <w:description w:val=""/>
        <w:guid w:val="{b39e8399-7b89-4bdd-9306-155b96b4bad4}"/>
      </w:docPartPr>
      <w:docPartBody>
        <w:p w14:paraId="2587BB4E">
          <w:r>
            <w:rPr>
              <w:color w:val="808080"/>
            </w:rPr>
            <w:t>单击此处输入文字。</w:t>
          </w:r>
        </w:p>
      </w:docPartBody>
    </w:docPart>
    <w:docPart>
      <w:docPartPr>
        <w:name w:val="{08c693c0-389e-4309-9cd7-047b12dbe6fc}"/>
        <w:style w:val=""/>
        <w:category>
          <w:name w:val="常规"/>
          <w:gallery w:val="placeholder"/>
        </w:category>
        <w:types>
          <w:type w:val="bbPlcHdr"/>
        </w:types>
        <w:behaviors>
          <w:behavior w:val="content"/>
        </w:behaviors>
        <w:description w:val=""/>
        <w:guid w:val="{08c693c0-389e-4309-9cd7-047b12dbe6fc}"/>
      </w:docPartPr>
      <w:docPartBody>
        <w:p w14:paraId="016EC74C">
          <w:r>
            <w:rPr>
              <w:color w:val="808080"/>
            </w:rPr>
            <w:t>单击此处输入文字。</w:t>
          </w:r>
        </w:p>
      </w:docPartBody>
    </w:docPart>
    <w:docPart>
      <w:docPartPr>
        <w:name w:val="{b50ec190-e121-4e69-9cf3-fc6962a87fea}"/>
        <w:style w:val=""/>
        <w:category>
          <w:name w:val="常规"/>
          <w:gallery w:val="placeholder"/>
        </w:category>
        <w:types>
          <w:type w:val="bbPlcHdr"/>
        </w:types>
        <w:behaviors>
          <w:behavior w:val="content"/>
        </w:behaviors>
        <w:description w:val=""/>
        <w:guid w:val="{b50ec190-e121-4e69-9cf3-fc6962a87fea}"/>
      </w:docPartPr>
      <w:docPartBody>
        <w:p w14:paraId="1CBF1E5F">
          <w:r>
            <w:rPr>
              <w:color w:val="808080"/>
            </w:rPr>
            <w:t>单击此处输入文字。</w:t>
          </w:r>
        </w:p>
      </w:docPartBody>
    </w:docPart>
    <w:docPart>
      <w:docPartPr>
        <w:name w:val="{714637e3-94b0-4968-b6b3-99830a5c64bf}"/>
        <w:style w:val=""/>
        <w:category>
          <w:name w:val="常规"/>
          <w:gallery w:val="placeholder"/>
        </w:category>
        <w:types>
          <w:type w:val="bbPlcHdr"/>
        </w:types>
        <w:behaviors>
          <w:behavior w:val="content"/>
        </w:behaviors>
        <w:description w:val=""/>
        <w:guid w:val="{714637e3-94b0-4968-b6b3-99830a5c64bf}"/>
      </w:docPartPr>
      <w:docPartBody>
        <w:p w14:paraId="28D8AC5C">
          <w:r>
            <w:rPr>
              <w:color w:val="808080"/>
            </w:rPr>
            <w:t>单击此处输入文字。</w:t>
          </w:r>
        </w:p>
      </w:docPartBody>
    </w:docPart>
    <w:docPart>
      <w:docPartPr>
        <w:name w:val="{6e3d3541-6dc0-42a5-84fc-0afbdda8ee5e}"/>
        <w:style w:val=""/>
        <w:category>
          <w:name w:val="常规"/>
          <w:gallery w:val="placeholder"/>
        </w:category>
        <w:types>
          <w:type w:val="bbPlcHdr"/>
        </w:types>
        <w:behaviors>
          <w:behavior w:val="content"/>
        </w:behaviors>
        <w:description w:val=""/>
        <w:guid w:val="{6e3d3541-6dc0-42a5-84fc-0afbdda8ee5e}"/>
      </w:docPartPr>
      <w:docPartBody>
        <w:p w14:paraId="70AE4456">
          <w:r>
            <w:rPr>
              <w:color w:val="808080"/>
            </w:rPr>
            <w:t>单击此处输入日期。</w:t>
          </w:r>
        </w:p>
      </w:docPartBody>
    </w:docPart>
    <w:docPart>
      <w:docPartPr>
        <w:name w:val="{f555b9a0-dc2e-4353-8007-32c9b16ebb82}"/>
        <w:style w:val=""/>
        <w:category>
          <w:name w:val="常规"/>
          <w:gallery w:val="placeholder"/>
        </w:category>
        <w:types>
          <w:type w:val="bbPlcHdr"/>
        </w:types>
        <w:behaviors>
          <w:behavior w:val="content"/>
        </w:behaviors>
        <w:description w:val=""/>
        <w:guid w:val="{f555b9a0-dc2e-4353-8007-32c9b16ebb82}"/>
      </w:docPartPr>
      <w:docPartBody>
        <w:p w14:paraId="40FC781E">
          <w:r>
            <w:rPr>
              <w:color w:val="808080"/>
            </w:rPr>
            <w:t>单击此处输入文字。</w:t>
          </w:r>
        </w:p>
      </w:docPartBody>
    </w:docPart>
    <w:docPart>
      <w:docPartPr>
        <w:name w:val="{612f204c-cb0c-4891-a380-41b1506f5110}"/>
        <w:style w:val=""/>
        <w:category>
          <w:name w:val="常规"/>
          <w:gallery w:val="placeholder"/>
        </w:category>
        <w:types>
          <w:type w:val="bbPlcHdr"/>
        </w:types>
        <w:behaviors>
          <w:behavior w:val="content"/>
        </w:behaviors>
        <w:description w:val=""/>
        <w:guid w:val="{612f204c-cb0c-4891-a380-41b1506f5110}"/>
      </w:docPartPr>
      <w:docPartBody>
        <w:p w14:paraId="78D85EC3">
          <w:r>
            <w:rPr>
              <w:color w:val="808080"/>
            </w:rPr>
            <w:t>单击此处输入文字。</w:t>
          </w:r>
        </w:p>
      </w:docPartBody>
    </w:docPart>
    <w:docPart>
      <w:docPartPr>
        <w:name w:val="{744c5381-511f-4cf4-ab8f-0ffdfdda22b4}"/>
        <w:style w:val=""/>
        <w:category>
          <w:name w:val="常规"/>
          <w:gallery w:val="placeholder"/>
        </w:category>
        <w:types>
          <w:type w:val="bbPlcHdr"/>
        </w:types>
        <w:behaviors>
          <w:behavior w:val="content"/>
        </w:behaviors>
        <w:description w:val=""/>
        <w:guid w:val="{744c5381-511f-4cf4-ab8f-0ffdfdda22b4}"/>
      </w:docPartPr>
      <w:docPartBody>
        <w:p w14:paraId="2DE90DCD">
          <w:r>
            <w:rPr>
              <w:color w:val="808080"/>
            </w:rPr>
            <w:t>单击此处输入文字。</w:t>
          </w:r>
        </w:p>
      </w:docPartBody>
    </w:docPart>
    <w:docPart>
      <w:docPartPr>
        <w:name w:val="{b6e09d04-89da-4f94-ac9b-971ea24c4db2}"/>
        <w:style w:val=""/>
        <w:category>
          <w:name w:val="常规"/>
          <w:gallery w:val="placeholder"/>
        </w:category>
        <w:types>
          <w:type w:val="bbPlcHdr"/>
        </w:types>
        <w:behaviors>
          <w:behavior w:val="content"/>
        </w:behaviors>
        <w:description w:val=""/>
        <w:guid w:val="{b6e09d04-89da-4f94-ac9b-971ea24c4db2}"/>
      </w:docPartPr>
      <w:docPartBody>
        <w:p w14:paraId="54EFA21F">
          <w:r>
            <w:rPr>
              <w:color w:val="808080"/>
            </w:rPr>
            <w:t>单击此处输入文字。</w:t>
          </w:r>
        </w:p>
      </w:docPartBody>
    </w:docPart>
    <w:docPart>
      <w:docPartPr>
        <w:name w:val="{e8241c9f-4ba0-43de-8c1c-bbbdff8f160b}"/>
        <w:style w:val=""/>
        <w:category>
          <w:name w:val="常规"/>
          <w:gallery w:val="placeholder"/>
        </w:category>
        <w:types>
          <w:type w:val="bbPlcHdr"/>
        </w:types>
        <w:behaviors>
          <w:behavior w:val="content"/>
        </w:behaviors>
        <w:description w:val=""/>
        <w:guid w:val="{e8241c9f-4ba0-43de-8c1c-bbbdff8f160b}"/>
      </w:docPartPr>
      <w:docPartBody>
        <w:p w14:paraId="13D02C5F">
          <w:r>
            <w:rPr>
              <w:color w:val="808080"/>
            </w:rPr>
            <w:t>单击此处输入文字。</w:t>
          </w:r>
        </w:p>
      </w:docPartBody>
    </w:docPart>
    <w:docPart>
      <w:docPartPr>
        <w:name w:val="{1661a3a4-0eee-4ba6-acbf-3475ba36987f}"/>
        <w:style w:val=""/>
        <w:category>
          <w:name w:val="常规"/>
          <w:gallery w:val="placeholder"/>
        </w:category>
        <w:types>
          <w:type w:val="bbPlcHdr"/>
        </w:types>
        <w:behaviors>
          <w:behavior w:val="content"/>
        </w:behaviors>
        <w:description w:val=""/>
        <w:guid w:val="{1661a3a4-0eee-4ba6-acbf-3475ba36987f}"/>
      </w:docPartPr>
      <w:docPartBody>
        <w:p w14:paraId="7D251BFF">
          <w:r>
            <w:rPr>
              <w:color w:val="808080"/>
            </w:rPr>
            <w:t>单击此处输入文字。</w:t>
          </w:r>
        </w:p>
      </w:docPartBody>
    </w:docPart>
    <w:docPart>
      <w:docPartPr>
        <w:name w:val="{92ab2c52-acc8-4791-9ba2-3a069dbee474}"/>
        <w:style w:val=""/>
        <w:category>
          <w:name w:val="常规"/>
          <w:gallery w:val="placeholder"/>
        </w:category>
        <w:types>
          <w:type w:val="bbPlcHdr"/>
        </w:types>
        <w:behaviors>
          <w:behavior w:val="content"/>
        </w:behaviors>
        <w:description w:val=""/>
        <w:guid w:val="{92ab2c52-acc8-4791-9ba2-3a069dbee474}"/>
      </w:docPartPr>
      <w:docPartBody>
        <w:p w14:paraId="0B896C7C">
          <w:r>
            <w:rPr>
              <w:color w:val="808080"/>
            </w:rPr>
            <w:t>单击此处输入文字。</w:t>
          </w:r>
        </w:p>
      </w:docPartBody>
    </w:docPart>
    <w:docPart>
      <w:docPartPr>
        <w:name w:val="{4be50d74-4e22-4e46-a715-b4796f5c7cea}"/>
        <w:style w:val=""/>
        <w:category>
          <w:name w:val="常规"/>
          <w:gallery w:val="placeholder"/>
        </w:category>
        <w:types>
          <w:type w:val="bbPlcHdr"/>
        </w:types>
        <w:behaviors>
          <w:behavior w:val="content"/>
        </w:behaviors>
        <w:description w:val=""/>
        <w:guid w:val="{4be50d74-4e22-4e46-a715-b4796f5c7cea}"/>
      </w:docPartPr>
      <w:docPartBody>
        <w:p w14:paraId="4654A74D">
          <w:r>
            <w:rPr>
              <w:color w:val="808080"/>
            </w:rPr>
            <w:t>单击此处输入文字。</w:t>
          </w:r>
        </w:p>
      </w:docPartBody>
    </w:docPart>
    <w:docPart>
      <w:docPartPr>
        <w:name w:val="{c56f650b-ac93-47b9-96a5-27a22ba75fbe}"/>
        <w:style w:val=""/>
        <w:category>
          <w:name w:val="常规"/>
          <w:gallery w:val="placeholder"/>
        </w:category>
        <w:types>
          <w:type w:val="bbPlcHdr"/>
        </w:types>
        <w:behaviors>
          <w:behavior w:val="content"/>
        </w:behaviors>
        <w:description w:val=""/>
        <w:guid w:val="{c56f650b-ac93-47b9-96a5-27a22ba75fbe}"/>
      </w:docPartPr>
      <w:docPartBody>
        <w:p w14:paraId="28DFD712">
          <w:r>
            <w:rPr>
              <w:color w:val="808080"/>
            </w:rPr>
            <w:t>单击此处输入文字。</w:t>
          </w:r>
        </w:p>
      </w:docPartBody>
    </w:docPart>
    <w:docPart>
      <w:docPartPr>
        <w:name w:val="{1837541e-bf7e-47e2-97cf-8196e9121433}"/>
        <w:style w:val=""/>
        <w:category>
          <w:name w:val="常规"/>
          <w:gallery w:val="placeholder"/>
        </w:category>
        <w:types>
          <w:type w:val="bbPlcHdr"/>
        </w:types>
        <w:behaviors>
          <w:behavior w:val="content"/>
        </w:behaviors>
        <w:description w:val=""/>
        <w:guid w:val="{1837541e-bf7e-47e2-97cf-8196e9121433}"/>
      </w:docPartPr>
      <w:docPartBody>
        <w:p w14:paraId="357DDBA0">
          <w:r>
            <w:rPr>
              <w:color w:val="808080"/>
            </w:rPr>
            <w:t>单击此处输入文字。</w:t>
          </w:r>
        </w:p>
      </w:docPartBody>
    </w:docPart>
    <w:docPart>
      <w:docPartPr>
        <w:name w:val="{59cd4dc1-bf13-4fbf-9c2b-55003587352b}"/>
        <w:style w:val=""/>
        <w:category>
          <w:name w:val="常规"/>
          <w:gallery w:val="placeholder"/>
        </w:category>
        <w:types>
          <w:type w:val="bbPlcHdr"/>
        </w:types>
        <w:behaviors>
          <w:behavior w:val="content"/>
        </w:behaviors>
        <w:description w:val=""/>
        <w:guid w:val="{59cd4dc1-bf13-4fbf-9c2b-55003587352b}"/>
      </w:docPartPr>
      <w:docPartBody>
        <w:p w14:paraId="72DA57AB">
          <w:r>
            <w:rPr>
              <w:color w:val="808080"/>
            </w:rPr>
            <w:t>单击此处输入文字。</w:t>
          </w:r>
        </w:p>
      </w:docPartBody>
    </w:docPart>
    <w:docPart>
      <w:docPartPr>
        <w:name w:val="{c79843f5-d946-437d-856e-de9efef9ac68}"/>
        <w:style w:val=""/>
        <w:category>
          <w:name w:val="常规"/>
          <w:gallery w:val="placeholder"/>
        </w:category>
        <w:types>
          <w:type w:val="bbPlcHdr"/>
        </w:types>
        <w:behaviors>
          <w:behavior w:val="content"/>
        </w:behaviors>
        <w:description w:val=""/>
        <w:guid w:val="{c79843f5-d946-437d-856e-de9efef9ac68}"/>
      </w:docPartPr>
      <w:docPartBody>
        <w:p w14:paraId="205B627D">
          <w:r>
            <w:rPr>
              <w:color w:val="808080"/>
            </w:rPr>
            <w:t>单击此处输入文字。</w:t>
          </w:r>
        </w:p>
      </w:docPartBody>
    </w:docPart>
    <w:docPart>
      <w:docPartPr>
        <w:name w:val="{a08b81c6-85ce-4623-af00-d3d630d40dca}"/>
        <w:style w:val=""/>
        <w:category>
          <w:name w:val="常规"/>
          <w:gallery w:val="placeholder"/>
        </w:category>
        <w:types>
          <w:type w:val="bbPlcHdr"/>
        </w:types>
        <w:behaviors>
          <w:behavior w:val="content"/>
        </w:behaviors>
        <w:description w:val=""/>
        <w:guid w:val="{a08b81c6-85ce-4623-af00-d3d630d40dca}"/>
      </w:docPartPr>
      <w:docPartBody>
        <w:p w14:paraId="4B00003C">
          <w:r>
            <w:rPr>
              <w:color w:val="808080"/>
            </w:rPr>
            <w:t>单击此处输入文字。</w:t>
          </w:r>
        </w:p>
      </w:docPartBody>
    </w:docPart>
    <w:docPart>
      <w:docPartPr>
        <w:name w:val="{5cc933ed-49c0-4603-9a16-80c48d71e94a}"/>
        <w:style w:val=""/>
        <w:category>
          <w:name w:val="常规"/>
          <w:gallery w:val="placeholder"/>
        </w:category>
        <w:types>
          <w:type w:val="bbPlcHdr"/>
        </w:types>
        <w:behaviors>
          <w:behavior w:val="content"/>
        </w:behaviors>
        <w:description w:val=""/>
        <w:guid w:val="{5cc933ed-49c0-4603-9a16-80c48d71e94a}"/>
      </w:docPartPr>
      <w:docPartBody>
        <w:p w14:paraId="5B9FADB6">
          <w:r>
            <w:rPr>
              <w:color w:val="808080"/>
            </w:rPr>
            <w:t>单击此处输入文字。</w:t>
          </w:r>
        </w:p>
      </w:docPartBody>
    </w:docPart>
    <w:docPart>
      <w:docPartPr>
        <w:name w:val="{20a4e50b-3b87-437e-84b4-71ea2362673e}"/>
        <w:style w:val=""/>
        <w:category>
          <w:name w:val="常规"/>
          <w:gallery w:val="placeholder"/>
        </w:category>
        <w:types>
          <w:type w:val="bbPlcHdr"/>
        </w:types>
        <w:behaviors>
          <w:behavior w:val="content"/>
        </w:behaviors>
        <w:description w:val=""/>
        <w:guid w:val="{20a4e50b-3b87-437e-84b4-71ea2362673e}"/>
      </w:docPartPr>
      <w:docPartBody>
        <w:p w14:paraId="263FF1B7">
          <w:r>
            <w:rPr>
              <w:color w:val="808080"/>
            </w:rPr>
            <w:t>单击此处输入文字。</w:t>
          </w:r>
        </w:p>
      </w:docPartBody>
    </w:docPart>
    <w:docPart>
      <w:docPartPr>
        <w:name w:val="{408eea51-8c77-481c-b4f8-49f56cd18050}"/>
        <w:style w:val=""/>
        <w:category>
          <w:name w:val="常规"/>
          <w:gallery w:val="placeholder"/>
        </w:category>
        <w:types>
          <w:type w:val="bbPlcHdr"/>
        </w:types>
        <w:behaviors>
          <w:behavior w:val="content"/>
        </w:behaviors>
        <w:description w:val=""/>
        <w:guid w:val="{408eea51-8c77-481c-b4f8-49f56cd18050}"/>
      </w:docPartPr>
      <w:docPartBody>
        <w:p w14:paraId="7F150058">
          <w:r>
            <w:rPr>
              <w:color w:val="808080"/>
            </w:rPr>
            <w:t>单击此处输入文字。</w:t>
          </w:r>
        </w:p>
      </w:docPartBody>
    </w:docPart>
    <w:docPart>
      <w:docPartPr>
        <w:name w:val="{08a8730e-682f-46cb-b371-17b05cdc1943}"/>
        <w:style w:val=""/>
        <w:category>
          <w:name w:val="常规"/>
          <w:gallery w:val="placeholder"/>
        </w:category>
        <w:types>
          <w:type w:val="bbPlcHdr"/>
        </w:types>
        <w:behaviors>
          <w:behavior w:val="content"/>
        </w:behaviors>
        <w:description w:val=""/>
        <w:guid w:val="{08a8730e-682f-46cb-b371-17b05cdc1943}"/>
      </w:docPartPr>
      <w:docPartBody>
        <w:p w14:paraId="52FC1E7D">
          <w:r>
            <w:rPr>
              <w:color w:val="808080"/>
            </w:rPr>
            <w:t>单击此处输入文字。</w:t>
          </w:r>
        </w:p>
      </w:docPartBody>
    </w:docPart>
    <w:docPart>
      <w:docPartPr>
        <w:name w:val="{b77a4a5f-2bef-417c-b11e-5d44fc5f3b94}"/>
        <w:style w:val=""/>
        <w:category>
          <w:name w:val="常规"/>
          <w:gallery w:val="placeholder"/>
        </w:category>
        <w:types>
          <w:type w:val="bbPlcHdr"/>
        </w:types>
        <w:behaviors>
          <w:behavior w:val="content"/>
        </w:behaviors>
        <w:description w:val=""/>
        <w:guid w:val="{b77a4a5f-2bef-417c-b11e-5d44fc5f3b94}"/>
      </w:docPartPr>
      <w:docPartBody>
        <w:p w14:paraId="44132CF4">
          <w:r>
            <w:rPr>
              <w:color w:val="808080"/>
            </w:rPr>
            <w:t>单击此处输入文字。</w:t>
          </w:r>
        </w:p>
      </w:docPartBody>
    </w:docPart>
    <w:docPart>
      <w:docPartPr>
        <w:name w:val="{068776b0-4c7c-4ed1-9968-c782161ae751}"/>
        <w:style w:val=""/>
        <w:category>
          <w:name w:val="常规"/>
          <w:gallery w:val="placeholder"/>
        </w:category>
        <w:types>
          <w:type w:val="bbPlcHdr"/>
        </w:types>
        <w:behaviors>
          <w:behavior w:val="content"/>
        </w:behaviors>
        <w:description w:val=""/>
        <w:guid w:val="{068776b0-4c7c-4ed1-9968-c782161ae751}"/>
      </w:docPartPr>
      <w:docPartBody>
        <w:p w14:paraId="47F9F35B">
          <w:r>
            <w:rPr>
              <w:color w:val="808080"/>
            </w:rPr>
            <w:t>单击此处输入文字。</w:t>
          </w:r>
        </w:p>
      </w:docPartBody>
    </w:docPart>
    <w:docPart>
      <w:docPartPr>
        <w:name w:val="{5c84e615-b1dd-4410-ad9c-d80f179801bf}"/>
        <w:style w:val=""/>
        <w:category>
          <w:name w:val="常规"/>
          <w:gallery w:val="placeholder"/>
        </w:category>
        <w:types>
          <w:type w:val="bbPlcHdr"/>
        </w:types>
        <w:behaviors>
          <w:behavior w:val="content"/>
        </w:behaviors>
        <w:description w:val=""/>
        <w:guid w:val="{5c84e615-b1dd-4410-ad9c-d80f179801bf}"/>
      </w:docPartPr>
      <w:docPartBody>
        <w:p w14:paraId="0F6436C0">
          <w:r>
            <w:rPr>
              <w:color w:val="808080"/>
            </w:rPr>
            <w:t>单击此处输入文字。</w:t>
          </w:r>
        </w:p>
      </w:docPartBody>
    </w:docPart>
    <w:docPart>
      <w:docPartPr>
        <w:name w:val="{057b4690-fe26-4c84-95b2-52a4ee53491c}"/>
        <w:style w:val=""/>
        <w:category>
          <w:name w:val="常规"/>
          <w:gallery w:val="placeholder"/>
        </w:category>
        <w:types>
          <w:type w:val="bbPlcHdr"/>
        </w:types>
        <w:behaviors>
          <w:behavior w:val="content"/>
        </w:behaviors>
        <w:description w:val=""/>
        <w:guid w:val="{057b4690-fe26-4c84-95b2-52a4ee53491c}"/>
      </w:docPartPr>
      <w:docPartBody>
        <w:p w14:paraId="01E9F029">
          <w:r>
            <w:rPr>
              <w:color w:val="808080"/>
            </w:rPr>
            <w:t>选择一项。</w:t>
          </w:r>
        </w:p>
      </w:docPartBody>
    </w:docPart>
    <w:docPart>
      <w:docPartPr>
        <w:name w:val="{903a50b1-cd43-4454-803f-9a9083e3ab30}"/>
        <w:style w:val=""/>
        <w:category>
          <w:name w:val="常规"/>
          <w:gallery w:val="placeholder"/>
        </w:category>
        <w:types>
          <w:type w:val="bbPlcHdr"/>
        </w:types>
        <w:behaviors>
          <w:behavior w:val="content"/>
        </w:behaviors>
        <w:description w:val=""/>
        <w:guid w:val="{903a50b1-cd43-4454-803f-9a9083e3ab30}"/>
      </w:docPartPr>
      <w:docPartBody>
        <w:p w14:paraId="02F91562">
          <w:r>
            <w:rPr>
              <w:color w:val="808080"/>
            </w:rPr>
            <w:t>单击此处输入文字。</w:t>
          </w:r>
        </w:p>
      </w:docPartBody>
    </w:docPart>
    <w:docPart>
      <w:docPartPr>
        <w:name w:val="{8359ee92-d06a-4635-8ced-fc32f2bde013}"/>
        <w:style w:val=""/>
        <w:category>
          <w:name w:val="常规"/>
          <w:gallery w:val="placeholder"/>
        </w:category>
        <w:types>
          <w:type w:val="bbPlcHdr"/>
        </w:types>
        <w:behaviors>
          <w:behavior w:val="content"/>
        </w:behaviors>
        <w:description w:val=""/>
        <w:guid w:val="{8359ee92-d06a-4635-8ced-fc32f2bde013}"/>
      </w:docPartPr>
      <w:docPartBody>
        <w:p w14:paraId="18299C67">
          <w:r>
            <w:rPr>
              <w:color w:val="808080"/>
            </w:rPr>
            <w:t>选择一项。</w:t>
          </w:r>
        </w:p>
      </w:docPartBody>
    </w:docPart>
    <w:docPart>
      <w:docPartPr>
        <w:name w:val="{3ee564c4-6f52-47bb-b5c1-0bc872a719b0}"/>
        <w:style w:val=""/>
        <w:category>
          <w:name w:val="常规"/>
          <w:gallery w:val="placeholder"/>
        </w:category>
        <w:types>
          <w:type w:val="bbPlcHdr"/>
        </w:types>
        <w:behaviors>
          <w:behavior w:val="content"/>
        </w:behaviors>
        <w:description w:val=""/>
        <w:guid w:val="{3ee564c4-6f52-47bb-b5c1-0bc872a719b0}"/>
      </w:docPartPr>
      <w:docPartBody>
        <w:p w14:paraId="4518CCE2">
          <w:r>
            <w:rPr>
              <w:color w:val="808080"/>
            </w:rPr>
            <w:t>单击此处输入文字。</w:t>
          </w:r>
        </w:p>
      </w:docPartBody>
    </w:docPart>
    <w:docPart>
      <w:docPartPr>
        <w:name w:val="{f2a6c763-bd45-4a8c-9ff5-c933834def56}"/>
        <w:style w:val=""/>
        <w:category>
          <w:name w:val="常规"/>
          <w:gallery w:val="placeholder"/>
        </w:category>
        <w:types>
          <w:type w:val="bbPlcHdr"/>
        </w:types>
        <w:behaviors>
          <w:behavior w:val="content"/>
        </w:behaviors>
        <w:description w:val=""/>
        <w:guid w:val="{f2a6c763-bd45-4a8c-9ff5-c933834def56}"/>
      </w:docPartPr>
      <w:docPartBody>
        <w:p w14:paraId="33ECCDEB">
          <w:r>
            <w:rPr>
              <w:color w:val="808080"/>
            </w:rPr>
            <w:t>单击此处输入文字。</w:t>
          </w:r>
        </w:p>
      </w:docPartBody>
    </w:docPart>
    <w:docPart>
      <w:docPartPr>
        <w:name w:val="{4b893a7a-a400-4600-acb5-4ade3abf5412}"/>
        <w:style w:val=""/>
        <w:category>
          <w:name w:val="常规"/>
          <w:gallery w:val="placeholder"/>
        </w:category>
        <w:types>
          <w:type w:val="bbPlcHdr"/>
        </w:types>
        <w:behaviors>
          <w:behavior w:val="content"/>
        </w:behaviors>
        <w:description w:val=""/>
        <w:guid w:val="{4b893a7a-a400-4600-acb5-4ade3abf5412}"/>
      </w:docPartPr>
      <w:docPartBody>
        <w:p w14:paraId="0D605CDC">
          <w:r>
            <w:rPr>
              <w:color w:val="808080"/>
            </w:rPr>
            <w:t>单击此处输入文字。</w:t>
          </w:r>
        </w:p>
      </w:docPartBody>
    </w:docPart>
    <w:docPart>
      <w:docPartPr>
        <w:name w:val="{8341b7bd-3b4c-4bd0-a21a-d11c3937e872}"/>
        <w:style w:val=""/>
        <w:category>
          <w:name w:val="常规"/>
          <w:gallery w:val="placeholder"/>
        </w:category>
        <w:types>
          <w:type w:val="bbPlcHdr"/>
        </w:types>
        <w:behaviors>
          <w:behavior w:val="content"/>
        </w:behaviors>
        <w:description w:val=""/>
        <w:guid w:val="{8341b7bd-3b4c-4bd0-a21a-d11c3937e872}"/>
      </w:docPartPr>
      <w:docPartBody>
        <w:p w14:paraId="32BBD53D">
          <w:r>
            <w:rPr>
              <w:color w:val="808080"/>
            </w:rPr>
            <w:t>单击此处输入文字。</w:t>
          </w:r>
        </w:p>
      </w:docPartBody>
    </w:docPart>
    <w:docPart>
      <w:docPartPr>
        <w:name w:val="{a625ef8f-3276-451e-aec1-05800f7f2df8}"/>
        <w:style w:val=""/>
        <w:category>
          <w:name w:val="常规"/>
          <w:gallery w:val="placeholder"/>
        </w:category>
        <w:types>
          <w:type w:val="bbPlcHdr"/>
        </w:types>
        <w:behaviors>
          <w:behavior w:val="content"/>
        </w:behaviors>
        <w:description w:val=""/>
        <w:guid w:val="{a625ef8f-3276-451e-aec1-05800f7f2df8}"/>
      </w:docPartPr>
      <w:docPartBody>
        <w:p w14:paraId="0B71A8D7">
          <w:r>
            <w:rPr>
              <w:color w:val="808080"/>
            </w:rPr>
            <w:t>单击此处输入文字。</w:t>
          </w:r>
        </w:p>
      </w:docPartBody>
    </w:docPart>
    <w:docPart>
      <w:docPartPr>
        <w:name w:val="{e5e2c7eb-f263-4ff1-b6ae-c0af8b8be533}"/>
        <w:style w:val=""/>
        <w:category>
          <w:name w:val="常规"/>
          <w:gallery w:val="placeholder"/>
        </w:category>
        <w:types>
          <w:type w:val="bbPlcHdr"/>
        </w:types>
        <w:behaviors>
          <w:behavior w:val="content"/>
        </w:behaviors>
        <w:description w:val=""/>
        <w:guid w:val="{e5e2c7eb-f263-4ff1-b6ae-c0af8b8be533}"/>
      </w:docPartPr>
      <w:docPartBody>
        <w:p w14:paraId="4BBF9B2D">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174</Pages>
  <Words>1260</Words>
  <Characters>1291</Characters>
  <Lines>1444</Lines>
  <Paragraphs>406</Paragraphs>
  <TotalTime>14</TotalTime>
  <ScaleCrop>false</ScaleCrop>
  <LinksUpToDate>false</LinksUpToDate>
  <CharactersWithSpaces>2111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2019-09-13T18:27:00Z</dcterms:created>
  <cp:lastPrinted>2019-10-06T22:47:00Z</cp:lastPrinted>
  <dcterms:modified xsi:type="dcterms:W3CDTF">2025-11-03T02:59:04Z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2C64A86380B207787119EF68DA83820F_43</vt:lpwstr>
  </property>
  <property fmtid="{D5CDD505-2E9C-101B-9397-08002B2CF9AE}" pid="4" name="KSOTemplateDocerSaveRecord">
    <vt:lpwstr>eyJoZGlkIjoiNDUwOWYxZWQyMmQ4ZjM3MTM5ZTAzOGM5MTE1Y2E3YmMiLCJ1c2VySWQiOiIyNDE3NTgzMjcifQ==</vt:lpwstr>
  </property>
</Properties>
</file>