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110千伏桥兴扩建主变工程施工</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bookmarkStart w:id="4" w:name="_GoBack"/>
      <w:bookmarkEnd w:id="4"/>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广供电基〔2024〕160号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项目核准文号</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穗发改核准〔2024〕45号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广供电基〔2025〕142号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暂无，</w:t>
            </w:r>
            <w:r>
              <w:rPr>
                <w:rFonts w:hint="eastAsia" w:asciiTheme="minorEastAsia" w:hAnsiTheme="minorEastAsia" w:eastAsiaTheme="minorEastAsia" w:cstheme="minorEastAsia"/>
                <w:snapToGrid w:val="0"/>
                <w:color w:val="auto"/>
                <w:sz w:val="24"/>
                <w:szCs w:val="24"/>
                <w:highlight w:val="none"/>
              </w:rPr>
              <w:t>采用初步设计开展施工招标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广州市番禺区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广州汇隽电力工程设计有限公司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leftChars="0" w:right="0" w:rightChars="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color w:val="auto"/>
                <w:sz w:val="24"/>
                <w:szCs w:val="24"/>
                <w:highlight w:val="none"/>
                <w:lang w:val="en-US" w:eastAsia="zh-CN"/>
              </w:rPr>
              <w:t>广州电力工程监理有限公司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240" w:lineRule="auto"/>
              <w:ind w:left="0" w:leftChars="0" w:right="0" w:rightChars="0"/>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pStyle w:val="2"/>
        <w:keepNext w:val="0"/>
        <w:keepLines w:val="0"/>
        <w:pageBreakBefore w:val="0"/>
        <w:widowControl w:val="0"/>
        <w:kinsoku/>
        <w:wordWrap/>
        <w:overflowPunct/>
        <w:topLinePunct w:val="0"/>
        <w:bidi w:val="0"/>
        <w:adjustRightInd w:val="0"/>
        <w:snapToGrid w:val="0"/>
        <w:spacing w:line="400" w:lineRule="exact"/>
        <w:ind w:firstLine="482" w:firstLineChars="200"/>
        <w:textAlignment w:val="auto"/>
        <w:outlineLvl w:val="9"/>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 xml:space="preserve">※变电部分: </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1、110kV桥兴站扩建工程：</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本期扩建63兆伏安主变压器1台，110千伏出线1回，10千伏出线1×16回，2组6兆乏低压并联电容器。</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本期110千伏采用线路-变压器组单元接线。</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主变采用三相油浸自冷加风扇有载调压的双绕组变压器。110千伏采用户内GIS设备，10千伏采用具有“五防”功能的KYN型金属铠装移开式真空开关柜设备。</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本站前期已按最终规模一次征地。本期均在原有位置进行改造及扩建，无须新征用地。</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2、对侧110kV广场站工程：</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本期桥兴#3主变间隔新建电缆线路T接至110千伏番禺~广场#2线路，T接点设置在广场站#2主变间隔T接筒，广场站前期已配置电缆T接筒，本工程仅考虑电缆接入。</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 xml:space="preserve">   </w:t>
      </w:r>
      <w:r>
        <w:rPr>
          <w:rFonts w:hint="eastAsia" w:asciiTheme="minorEastAsia" w:hAnsiTheme="minorEastAsia" w:eastAsiaTheme="minorEastAsia" w:cstheme="minorEastAsia"/>
          <w:b/>
          <w:bCs w:val="0"/>
          <w:color w:val="auto"/>
          <w:sz w:val="24"/>
          <w:szCs w:val="24"/>
          <w:highlight w:val="none"/>
          <w:lang w:val="en-US" w:eastAsia="zh-CN"/>
        </w:rPr>
        <w:t xml:space="preserve"> ※电缆线路部分</w:t>
      </w:r>
    </w:p>
    <w:p>
      <w:pPr>
        <w:keepNext w:val="0"/>
        <w:keepLines w:val="0"/>
        <w:pageBreakBefore w:val="0"/>
        <w:widowControl w:val="0"/>
        <w:kinsoku/>
        <w:wordWrap/>
        <w:overflowPunct/>
        <w:topLinePunct w:val="0"/>
        <w:bidi w:val="0"/>
        <w:spacing w:line="40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桥兴T接110千伏番禺~广场线路。桥兴站新建1回线路T接规划的番禺-广场线路，形成110千伏番禺-广场-桥兴线路。新建电缆线路路径长约3.946千米。电缆型号：YJLW03-Z 64/110 1×1200。</w:t>
      </w:r>
    </w:p>
    <w:p>
      <w:pPr>
        <w:keepNext w:val="0"/>
        <w:keepLines w:val="0"/>
        <w:pageBreakBefore w:val="0"/>
        <w:widowControl w:val="0"/>
        <w:kinsoku/>
        <w:wordWrap/>
        <w:overflowPunct/>
        <w:topLinePunct w:val="0"/>
        <w:bidi w:val="0"/>
        <w:spacing w:line="400" w:lineRule="exact"/>
        <w:ind w:firstLine="482"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bCs w:val="0"/>
          <w:color w:val="auto"/>
          <w:sz w:val="24"/>
          <w:szCs w:val="24"/>
          <w:highlight w:val="none"/>
          <w:lang w:val="en-US" w:eastAsia="zh-CN"/>
        </w:rPr>
        <w:t>※通信部分</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1、光缆建设：</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随110千伏桥兴站~广场站线路，同路径敷设桥兴站至广场站1条48芯管道光缆，长度约5.1千米（含两端入站光缆）。</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2、设备配置：</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桥兴站、广场站各配置1块传输新A网STM-16光口板和1块传输新网BSTM-64光口板。</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u w:val="single"/>
        </w:rPr>
        <w:t>注：具体建设规模以施工图纸为准。</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※变电部分</w:t>
      </w:r>
      <w:r>
        <w:rPr>
          <w:rFonts w:hint="eastAsia" w:asciiTheme="minorEastAsia" w:hAnsiTheme="minorEastAsia" w:eastAsiaTheme="minorEastAsia" w:cstheme="minorEastAsia"/>
          <w:b/>
          <w:bCs/>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建筑</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（一）主要生产工程：</w:t>
      </w:r>
      <w:r>
        <w:rPr>
          <w:rFonts w:hint="eastAsia" w:asciiTheme="minorEastAsia" w:hAnsiTheme="minorEastAsia" w:eastAsiaTheme="minorEastAsia" w:cstheme="minorEastAsia"/>
          <w:color w:val="auto"/>
          <w:sz w:val="24"/>
          <w:szCs w:val="24"/>
          <w:highlight w:val="none"/>
        </w:rPr>
        <w:t>主要生产建筑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供水系统</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消防系统；</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（二）辅助生产工程：</w:t>
      </w:r>
      <w:r>
        <w:rPr>
          <w:rFonts w:hint="eastAsia" w:asciiTheme="minorEastAsia" w:hAnsiTheme="minorEastAsia" w:eastAsiaTheme="minorEastAsia" w:cstheme="minorEastAsia"/>
          <w:color w:val="auto"/>
          <w:sz w:val="24"/>
          <w:szCs w:val="24"/>
          <w:highlight w:val="none"/>
          <w:lang w:eastAsia="zh-CN"/>
        </w:rPr>
        <w:t>辅助生产建筑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站区性建筑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特殊构筑物</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全站沉降观测点，站区绿化；</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（三）与站址有关的单项工程</w:t>
      </w:r>
      <w:r>
        <w:rPr>
          <w:rFonts w:hint="eastAsia" w:asciiTheme="minorEastAsia" w:hAnsiTheme="minorEastAsia" w:eastAsiaTheme="minorEastAsia" w:cstheme="minorEastAsia"/>
          <w:b/>
          <w:bCs/>
          <w:color w:val="auto"/>
          <w:sz w:val="24"/>
          <w:szCs w:val="24"/>
          <w:highlight w:val="non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720" w:firstLineChars="3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地基处理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□站外道路（</w:t>
      </w: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rPr>
        <w:t>□桥涵），□站外水源，□站外排水，□</w:t>
      </w:r>
      <w:r>
        <w:rPr>
          <w:rFonts w:hint="eastAsia" w:asciiTheme="minorEastAsia" w:hAnsiTheme="minorEastAsia" w:eastAsiaTheme="minorEastAsia" w:cstheme="minorEastAsia"/>
          <w:color w:val="auto"/>
          <w:sz w:val="24"/>
          <w:szCs w:val="24"/>
          <w:highlight w:val="none"/>
          <w:lang w:eastAsia="zh-CN"/>
        </w:rPr>
        <w:t>站外蒸发池</w:t>
      </w:r>
      <w:r>
        <w:rPr>
          <w:rFonts w:hint="eastAsia" w:asciiTheme="minorEastAsia" w:hAnsiTheme="minorEastAsia" w:eastAsiaTheme="minorEastAsia" w:cstheme="minorEastAsia"/>
          <w:color w:val="auto"/>
          <w:sz w:val="24"/>
          <w:szCs w:val="24"/>
          <w:highlight w:val="none"/>
        </w:rPr>
        <w:t>，□施工降水，□临时施工电源，□临时施工水源，□临时施工道路，</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rPr>
        <w:t>临时</w:t>
      </w:r>
      <w:r>
        <w:rPr>
          <w:rFonts w:hint="eastAsia" w:asciiTheme="minorEastAsia" w:hAnsiTheme="minorEastAsia" w:eastAsiaTheme="minorEastAsia" w:cstheme="minorEastAsia"/>
          <w:bCs/>
          <w:color w:val="auto"/>
          <w:sz w:val="24"/>
          <w:szCs w:val="24"/>
          <w:highlight w:val="none"/>
          <w:lang w:eastAsia="zh-CN"/>
        </w:rPr>
        <w:t>施工</w:t>
      </w:r>
      <w:r>
        <w:rPr>
          <w:rFonts w:hint="eastAsia" w:asciiTheme="minorEastAsia" w:hAnsiTheme="minorEastAsia" w:eastAsiaTheme="minorEastAsia" w:cstheme="minorEastAsia"/>
          <w:bCs/>
          <w:color w:val="auto"/>
          <w:sz w:val="24"/>
          <w:szCs w:val="24"/>
          <w:highlight w:val="none"/>
        </w:rPr>
        <w:t>通信线路</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临时施工防护工程</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□站外配网工程。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pPr>
        <w:keepNext w:val="0"/>
        <w:keepLines w:val="0"/>
        <w:pageBreakBefore w:val="0"/>
        <w:numPr>
          <w:ilvl w:val="0"/>
          <w:numId w:val="3"/>
        </w:numPr>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主要生产工程：</w:t>
      </w:r>
      <w:r>
        <w:rPr>
          <w:rFonts w:hint="eastAsia" w:asciiTheme="minorEastAsia" w:hAnsiTheme="minorEastAsia" w:eastAsiaTheme="minorEastAsia" w:cstheme="minorEastAsia"/>
          <w:color w:val="auto"/>
          <w:sz w:val="24"/>
          <w:szCs w:val="24"/>
          <w:highlight w:val="none"/>
        </w:rPr>
        <w:t>主变压器系统，配电装置，无功补偿，控制及直流系统，站用电系统，电缆及接地，通信工程，远动系统（含总调、中调、地调调度端的扩容），计费系统，全站调试（其中特殊调试以合同附件特殊调试项目为准）</w:t>
      </w:r>
      <w:r>
        <w:rPr>
          <w:rFonts w:hint="eastAsia" w:asciiTheme="minorEastAsia" w:hAnsiTheme="minorEastAsia" w:eastAsiaTheme="minorEastAsia" w:cstheme="minorEastAsia"/>
          <w:color w:val="auto"/>
          <w:kern w:val="0"/>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eastAsia="zh-CN"/>
        </w:rPr>
        <w:t>）辅助生产工程：</w:t>
      </w:r>
      <w:r>
        <w:rPr>
          <w:rFonts w:hint="eastAsia" w:asciiTheme="minorEastAsia" w:hAnsiTheme="minorEastAsia" w:eastAsiaTheme="minorEastAsia" w:cstheme="minorEastAsia"/>
          <w:b w:val="0"/>
          <w:bCs w:val="0"/>
          <w:color w:val="auto"/>
          <w:sz w:val="24"/>
          <w:szCs w:val="24"/>
          <w:highlight w:val="none"/>
          <w:lang w:eastAsia="zh-CN"/>
        </w:rPr>
        <w:t>检修及修配设备；</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与站址有关的单项工程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□站外电源，□站外通信</w:t>
      </w:r>
      <w:r>
        <w:rPr>
          <w:rFonts w:hint="eastAsia" w:asciiTheme="minorEastAsia" w:hAnsiTheme="minorEastAsia" w:eastAsiaTheme="minorEastAsia" w:cstheme="minorEastAsia"/>
          <w:b/>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油及SF6处理设备，□光伏部分，☑相关表计校验SF₆密度继电器、气体继电器、关口电能表误差校验（如有），☑变压器油纸电容型套管频域介电谱（FDS）测试（如有），后台监控线路名称及数据库等修改（如有）、避雷器放电计数器（如有） 。☑边侧新业务接入及网关调试费，结算时工程量按经建设单位、监理单位及设计单位确认的工程量签证单，以合同价计价原则进行结算；☑对侧站电缆接入T接筒，更换相关配件及调试，结算时按实际发生费用，经建设单位和监理单位确认，以合同价计价原则进行结算</w:t>
      </w:r>
      <w:r>
        <w:rPr>
          <w:rFonts w:hint="eastAsia" w:asciiTheme="minorEastAsia" w:hAnsiTheme="minorEastAsia" w:eastAsiaTheme="minorEastAsia" w:cstheme="minorEastAsia"/>
          <w:color w:val="auto"/>
          <w:sz w:val="24"/>
          <w:szCs w:val="24"/>
          <w:highlight w:val="none"/>
          <w:u w:val="single"/>
          <w:lang w:val="en-US" w:eastAsia="zh-CN"/>
        </w:rPr>
        <w:t>。</w:t>
      </w:r>
    </w:p>
    <w:p>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建筑：</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（一）土石方：</w:t>
      </w:r>
      <w:r>
        <w:rPr>
          <w:rFonts w:hint="eastAsia" w:asciiTheme="minorEastAsia" w:hAnsiTheme="minorEastAsia" w:eastAsiaTheme="minorEastAsia" w:cstheme="minorEastAsia"/>
          <w:color w:val="auto"/>
          <w:sz w:val="24"/>
          <w:szCs w:val="24"/>
          <w:highlight w:val="none"/>
          <w:lang w:eastAsia="zh-CN"/>
        </w:rPr>
        <w:t>材料运输，</w:t>
      </w:r>
      <w:r>
        <w:rPr>
          <w:rFonts w:hint="eastAsia" w:asciiTheme="minorEastAsia" w:hAnsiTheme="minorEastAsia" w:eastAsiaTheme="minorEastAsia" w:cstheme="minorEastAsia"/>
          <w:color w:val="auto"/>
          <w:sz w:val="24"/>
          <w:szCs w:val="24"/>
          <w:highlight w:val="none"/>
        </w:rPr>
        <w:t>土石方</w:t>
      </w:r>
      <w:r>
        <w:rPr>
          <w:rFonts w:hint="eastAsia" w:asciiTheme="minorEastAsia" w:hAnsiTheme="minorEastAsia" w:eastAsiaTheme="minorEastAsia" w:cstheme="minorEastAsia"/>
          <w:color w:val="auto"/>
          <w:sz w:val="24"/>
          <w:szCs w:val="24"/>
          <w:highlight w:val="none"/>
          <w:lang w:eastAsia="zh-CN"/>
        </w:rPr>
        <w:t>挖填，开挖路面，修复路面，隧道挖填；</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（二）构筑物：</w:t>
      </w:r>
      <w:r>
        <w:rPr>
          <w:rFonts w:hint="eastAsia" w:asciiTheme="minorEastAsia" w:hAnsiTheme="minorEastAsia" w:eastAsiaTheme="minorEastAsia" w:cstheme="minorEastAsia"/>
          <w:b w:val="0"/>
          <w:bCs w:val="0"/>
          <w:color w:val="auto"/>
          <w:sz w:val="24"/>
          <w:szCs w:val="24"/>
          <w:highlight w:val="none"/>
          <w:lang w:eastAsia="zh-CN"/>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（三）辅助工程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材料运输，通风，照明，排水，消防，围护，地基处理；</w:t>
      </w:r>
    </w:p>
    <w:p>
      <w:pPr>
        <w:pStyle w:val="2"/>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□电缆走廊绿化赔偿</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□沿线建（构）筑物的拆除，</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与城市规划、市政、园林、交警、城监、公路等部门联系办理施工许可手续，</w:t>
      </w:r>
      <w:r>
        <w:rPr>
          <w:rFonts w:hint="eastAsia" w:asciiTheme="minorEastAsia" w:hAnsiTheme="minorEastAsia" w:eastAsiaTheme="minorEastAsia" w:cstheme="minorEastAsia"/>
          <w:color w:val="auto"/>
          <w:sz w:val="24"/>
          <w:szCs w:val="24"/>
          <w:highlight w:val="none"/>
          <w:u w:val="none"/>
        </w:rPr>
        <w:t>□施工临时占用地</w:t>
      </w:r>
      <w:r>
        <w:rPr>
          <w:rFonts w:hint="eastAsia" w:asciiTheme="minorEastAsia" w:hAnsiTheme="minorEastAsia" w:eastAsiaTheme="minorEastAsia" w:cstheme="minorEastAsia"/>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☑余土消纳，</w:t>
      </w:r>
      <w:r>
        <w:rPr>
          <w:rFonts w:hint="eastAsia" w:ascii="宋体" w:hAnsi="宋体" w:eastAsia="宋体" w:cs="宋体"/>
          <w:bCs/>
          <w:color w:val="auto"/>
          <w:sz w:val="24"/>
          <w:szCs w:val="24"/>
          <w:highlight w:val="none"/>
          <w:u w:val="single"/>
          <w:lang w:val="en-US" w:eastAsia="zh-CN"/>
        </w:rPr>
        <w:t>☑交通疏解；☑路面修复</w:t>
      </w:r>
      <w:r>
        <w:rPr>
          <w:rFonts w:hint="eastAsia" w:asciiTheme="minorEastAsia" w:hAnsiTheme="minorEastAsia" w:eastAsiaTheme="minorEastAsia" w:cstheme="minorEastAsia"/>
          <w:color w:val="auto"/>
          <w:sz w:val="24"/>
          <w:szCs w:val="24"/>
          <w:highlight w:val="none"/>
          <w:u w:val="singl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安装：</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（一）</w:t>
      </w:r>
      <w:r>
        <w:rPr>
          <w:rFonts w:hint="eastAsia" w:ascii="宋体" w:hAnsi="宋体" w:eastAsia="宋体" w:cs="宋体"/>
          <w:b/>
          <w:color w:val="auto"/>
          <w:sz w:val="24"/>
          <w:szCs w:val="24"/>
          <w:highlight w:val="none"/>
          <w:lang w:val="en-US" w:eastAsia="zh-CN"/>
        </w:rPr>
        <w:t>电缆桥、支架制作安装：</w:t>
      </w:r>
      <w:r>
        <w:rPr>
          <w:rFonts w:hint="eastAsia" w:ascii="宋体" w:hAnsi="宋体" w:eastAsia="宋体" w:cs="宋体"/>
          <w:b w:val="0"/>
          <w:bCs/>
          <w:color w:val="auto"/>
          <w:sz w:val="24"/>
          <w:szCs w:val="24"/>
          <w:highlight w:val="none"/>
          <w:lang w:val="en-US" w:eastAsia="zh-CN"/>
        </w:rPr>
        <w:t>材料运输，电缆桥架，电缆支架；</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color w:val="auto"/>
          <w:sz w:val="24"/>
          <w:szCs w:val="24"/>
          <w:highlight w:val="none"/>
          <w:lang w:val="en-US" w:eastAsia="zh-CN"/>
        </w:rPr>
        <w:t>（二）电缆敷设：</w:t>
      </w:r>
      <w:r>
        <w:rPr>
          <w:rFonts w:hint="eastAsia" w:ascii="宋体" w:hAnsi="宋体" w:eastAsia="宋体" w:cs="宋体"/>
          <w:color w:val="auto"/>
          <w:kern w:val="0"/>
          <w:sz w:val="24"/>
          <w:szCs w:val="24"/>
          <w:highlight w:val="none"/>
          <w:lang w:eastAsia="zh-CN"/>
        </w:rPr>
        <w:t>材料运输，直埋敷设，电缆沟、浅槽敷设，埋管内敷设，电缆隧道敷设，桥架敷设，栈桥敷设；</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b/>
          <w:color w:val="auto"/>
          <w:sz w:val="24"/>
          <w:szCs w:val="24"/>
          <w:highlight w:val="none"/>
          <w:lang w:val="en-US" w:eastAsia="zh-CN"/>
        </w:rPr>
        <w:t>（三）电缆附件：</w:t>
      </w:r>
      <w:r>
        <w:rPr>
          <w:rFonts w:hint="eastAsia" w:ascii="宋体" w:hAnsi="宋体" w:eastAsia="宋体" w:cs="宋体"/>
          <w:color w:val="auto"/>
          <w:kern w:val="0"/>
          <w:sz w:val="24"/>
          <w:szCs w:val="24"/>
          <w:highlight w:val="none"/>
          <w:lang w:eastAsia="zh-CN"/>
        </w:rPr>
        <w:t>材料运输，终端头制作安装，中间接头制作安装，接地安装，设备安装，电缆保护管；</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（四）电缆防火：</w:t>
      </w:r>
      <w:r>
        <w:rPr>
          <w:rFonts w:hint="eastAsia" w:ascii="宋体" w:hAnsi="宋体" w:eastAsia="宋体" w:cs="宋体"/>
          <w:b w:val="0"/>
          <w:bCs/>
          <w:color w:val="auto"/>
          <w:sz w:val="24"/>
          <w:szCs w:val="24"/>
          <w:highlight w:val="none"/>
          <w:lang w:val="en-US" w:eastAsia="zh-CN"/>
        </w:rPr>
        <w:t>材料运输，构筑物防火，电缆本体防火；</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（五）调试与试验：</w:t>
      </w:r>
      <w:r>
        <w:rPr>
          <w:rFonts w:hint="eastAsia" w:ascii="宋体" w:hAnsi="宋体" w:eastAsia="宋体" w:cs="宋体"/>
          <w:b w:val="0"/>
          <w:bCs/>
          <w:color w:val="auto"/>
          <w:sz w:val="24"/>
          <w:szCs w:val="24"/>
          <w:highlight w:val="none"/>
          <w:lang w:val="en-US" w:eastAsia="zh-CN"/>
        </w:rPr>
        <w:t>电缆试验（其中：☑电缆局部放电试验，☑电缆参数测定），设备试验；</w:t>
      </w:r>
    </w:p>
    <w:p>
      <w:pPr>
        <w:pStyle w:val="2"/>
        <w:rPr>
          <w:rFonts w:hint="eastAsia" w:ascii="宋体" w:hAnsi="宋体" w:eastAsia="宋体" w:cs="宋体"/>
          <w:b w:val="0"/>
          <w:bCs/>
          <w:color w:val="auto"/>
          <w:sz w:val="24"/>
          <w:szCs w:val="24"/>
          <w:highlight w:val="none"/>
          <w:lang w:val="en-US" w:eastAsia="zh-CN"/>
        </w:rPr>
      </w:pPr>
    </w:p>
    <w:p>
      <w:pPr>
        <w:pStyle w:val="2"/>
        <w:rPr>
          <w:rFonts w:hint="eastAsia" w:ascii="宋体" w:hAnsi="宋体" w:eastAsia="宋体" w:cs="宋体"/>
          <w:b w:val="0"/>
          <w:bCs/>
          <w:color w:val="auto"/>
          <w:sz w:val="24"/>
          <w:szCs w:val="24"/>
          <w:highlight w:val="none"/>
          <w:lang w:val="en-US" w:eastAsia="zh-CN"/>
        </w:rPr>
      </w:pP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（六）电缆监测（控）系统：</w:t>
      </w:r>
      <w:r>
        <w:rPr>
          <w:rFonts w:hint="eastAsia" w:ascii="宋体" w:hAnsi="宋体" w:eastAsia="宋体" w:cs="宋体"/>
          <w:b w:val="0"/>
          <w:bCs/>
          <w:color w:val="auto"/>
          <w:sz w:val="24"/>
          <w:szCs w:val="24"/>
          <w:highlight w:val="none"/>
          <w:lang w:val="en-US" w:eastAsia="zh-CN"/>
        </w:rPr>
        <w:t>材料运输，在线监测，安保监控；</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（七）其他费用工程：</w:t>
      </w:r>
      <w:r>
        <w:rPr>
          <w:rFonts w:hint="eastAsia" w:ascii="宋体" w:hAnsi="宋体" w:eastAsia="宋体" w:cs="宋体"/>
          <w:b w:val="0"/>
          <w:bCs/>
          <w:color w:val="auto"/>
          <w:sz w:val="24"/>
          <w:szCs w:val="24"/>
          <w:highlight w:val="none"/>
          <w:lang w:val="en-US" w:eastAsia="zh-CN"/>
        </w:rPr>
        <w:t>☑标志牌安装，□拆除工程，☑线路牌挂牌；</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宋体" w:hAnsi="宋体" w:eastAsia="宋体" w:cs="宋体"/>
          <w:b/>
          <w:color w:val="auto"/>
          <w:sz w:val="24"/>
          <w:szCs w:val="24"/>
          <w:highlight w:val="none"/>
          <w:lang w:val="en-US" w:eastAsia="zh-CN"/>
        </w:rPr>
        <w:t>（八）其他：</w:t>
      </w:r>
      <w:r>
        <w:rPr>
          <w:rFonts w:hint="eastAsia" w:ascii="宋体" w:hAnsi="宋体" w:eastAsia="宋体" w:cs="宋体"/>
          <w:bCs/>
          <w:color w:val="auto"/>
          <w:sz w:val="24"/>
          <w:szCs w:val="24"/>
          <w:highlight w:val="none"/>
          <w:u w:val="single"/>
          <w:lang w:val="en-US" w:eastAsia="zh-CN"/>
        </w:rPr>
        <w:t xml:space="preserve"> ☑输、送电线路试运； ☑租赁试验套管（GIS）（如有）</w:t>
      </w:r>
      <w:r>
        <w:rPr>
          <w:rFonts w:hint="eastAsia" w:asciiTheme="minorEastAsia" w:hAnsiTheme="minorEastAsia" w:eastAsiaTheme="minorEastAsia" w:cstheme="minorEastAsia"/>
          <w:color w:val="auto"/>
          <w:sz w:val="24"/>
          <w:szCs w:val="24"/>
          <w:highlight w:val="none"/>
          <w:u w:val="single"/>
          <w:lang w:val="en-US" w:eastAsia="zh-CN"/>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※通信部分：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变电站工程：</w:t>
      </w:r>
      <w:r>
        <w:rPr>
          <w:rFonts w:hint="eastAsia" w:ascii="宋体" w:hAnsi="宋体" w:cs="宋体"/>
          <w:bCs/>
          <w:color w:val="auto"/>
          <w:sz w:val="24"/>
          <w:szCs w:val="24"/>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r>
        <w:rPr>
          <w:rFonts w:hint="eastAsia" w:ascii="宋体" w:hAnsi="宋体" w:cs="宋体"/>
          <w:bCs/>
          <w:color w:val="auto"/>
          <w:sz w:val="24"/>
          <w:szCs w:val="24"/>
          <w:highlight w:val="none"/>
        </w:rPr>
        <w:t>施工图纸范围内的光缆单盘测试、中继测试、接续、光缆及联络光缆敷设、通信子管敷设、通道开通及业务接入、割接等；光缆及金具卸车清点、验收及保管，与施工相关的所有其他费用项目。</w:t>
      </w:r>
    </w:p>
    <w:p>
      <w:pPr>
        <w:pStyle w:val="2"/>
        <w:rPr>
          <w:rFonts w:hint="eastAsia"/>
          <w:color w:val="auto"/>
          <w:highlight w:val="none"/>
          <w:lang w:val="en-US" w:eastAsia="zh-CN"/>
        </w:rPr>
      </w:pPr>
    </w:p>
    <w:p>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pPr>
        <w:pStyle w:val="2"/>
        <w:keepNext w:val="0"/>
        <w:keepLines w:val="0"/>
        <w:pageBreakBefore w:val="0"/>
        <w:widowControl w:val="0"/>
        <w:kinsoku/>
        <w:wordWrap/>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rPr>
        <w:t xml:space="preserve">实际甲供物资以批复的施工图为准，同时建设单位根据最新的南方电网公司和广州供电局有限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 </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变电建筑工程：</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2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2、□装配式电缆沟、□消防电缆、□电梯（不含货物电梯）、□嵌入式空调（天井式）、□专用空调（生产场所、带自动启动功能）</w:t>
      </w:r>
      <w:r>
        <w:rPr>
          <w:rFonts w:hint="eastAsia" w:asciiTheme="minorEastAsia" w:hAnsiTheme="minorEastAsia" w:eastAsiaTheme="minorEastAsia" w:cstheme="minorEastAsia"/>
          <w:b w:val="0"/>
          <w:bCs/>
          <w:color w:val="auto"/>
          <w:sz w:val="24"/>
          <w:szCs w:val="24"/>
          <w:highlight w:val="none"/>
          <w:lang w:val="en-US" w:eastAsia="zh-CN"/>
        </w:rPr>
        <w:t>。</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变电安装工程：</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2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2、□吊车</w:t>
      </w:r>
      <w:r>
        <w:rPr>
          <w:rFonts w:hint="eastAsia" w:asciiTheme="minorEastAsia" w:hAnsiTheme="minorEastAsia" w:eastAsiaTheme="minorEastAsia" w:cstheme="minorEastAsia"/>
          <w:b w:val="0"/>
          <w:bCs/>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color w:val="auto"/>
          <w:sz w:val="24"/>
          <w:szCs w:val="24"/>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r>
        <w:rPr>
          <w:rFonts w:hint="eastAsia" w:asciiTheme="minorEastAsia" w:hAnsiTheme="minorEastAsia" w:eastAsiaTheme="minorEastAsia" w:cstheme="minorEastAsia"/>
          <w:b w:val="0"/>
          <w:bCs/>
          <w:color w:val="auto"/>
          <w:sz w:val="24"/>
          <w:szCs w:val="24"/>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b w:val="0"/>
          <w:bCs/>
          <w:color w:val="auto"/>
          <w:sz w:val="24"/>
          <w:szCs w:val="24"/>
          <w:highlight w:val="none"/>
          <w:lang w:eastAsia="zh-CN"/>
        </w:rPr>
        <w:t>□装配式</w:t>
      </w:r>
      <w:r>
        <w:rPr>
          <w:rFonts w:hint="eastAsia" w:asciiTheme="minorEastAsia" w:hAnsiTheme="minorEastAsia" w:eastAsiaTheme="minorEastAsia" w:cstheme="minorEastAsia"/>
          <w:b w:val="0"/>
          <w:bCs/>
          <w:color w:val="auto"/>
          <w:sz w:val="24"/>
          <w:szCs w:val="24"/>
          <w:highlight w:val="none"/>
          <w:lang w:val="en-US" w:eastAsia="zh-CN"/>
        </w:rPr>
        <w:t>电缆沟，</w:t>
      </w:r>
      <w:r>
        <w:rPr>
          <w:rFonts w:hint="eastAsia" w:asciiTheme="minorEastAsia" w:hAnsiTheme="minorEastAsia" w:eastAsiaTheme="minorEastAsia" w:cstheme="minorEastAsia"/>
          <w:b w:val="0"/>
          <w:bCs/>
          <w:color w:val="auto"/>
          <w:sz w:val="24"/>
          <w:szCs w:val="24"/>
          <w:highlight w:val="none"/>
          <w:lang w:eastAsia="zh-CN"/>
        </w:rPr>
        <w:t>□玻璃钢管。</w:t>
      </w:r>
    </w:p>
    <w:p>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通信</w:t>
      </w:r>
      <w:r>
        <w:rPr>
          <w:rFonts w:hint="eastAsia" w:asciiTheme="minorEastAsia" w:hAnsiTheme="minorEastAsia" w:eastAsiaTheme="minorEastAsia" w:cstheme="minorEastAsia"/>
          <w:b/>
          <w:bCs/>
          <w:color w:val="auto"/>
          <w:sz w:val="24"/>
          <w:szCs w:val="24"/>
          <w:highlight w:val="none"/>
        </w:rPr>
        <w:t>部分：建设单位提供部分设备及材料：</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宋体" w:hAnsi="宋体" w:eastAsia="宋体" w:cs="宋体"/>
          <w:b w:val="0"/>
          <w:bCs/>
          <w:color w:val="auto"/>
          <w:sz w:val="24"/>
          <w:szCs w:val="24"/>
          <w:highlight w:val="none"/>
          <w:lang w:eastAsia="zh-CN"/>
        </w:rPr>
        <w:t>通</w:t>
      </w:r>
      <w:r>
        <w:rPr>
          <w:rFonts w:hint="eastAsia" w:ascii="宋体" w:hAnsi="宋体" w:eastAsia="宋体" w:cs="宋体"/>
          <w:color w:val="auto"/>
          <w:sz w:val="24"/>
          <w:szCs w:val="24"/>
          <w:highlight w:val="none"/>
          <w:lang w:eastAsia="zh-CN"/>
        </w:rPr>
        <w:t>信相关</w:t>
      </w:r>
      <w:r>
        <w:rPr>
          <w:rFonts w:hint="eastAsia" w:ascii="宋体" w:hAnsi="宋体" w:eastAsia="宋体" w:cs="宋体"/>
          <w:color w:val="auto"/>
          <w:sz w:val="24"/>
          <w:szCs w:val="24"/>
          <w:highlight w:val="none"/>
        </w:rPr>
        <w:t>设备</w:t>
      </w:r>
      <w:r>
        <w:rPr>
          <w:rFonts w:hint="eastAsia"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val="en-US" w:eastAsia="zh-CN"/>
        </w:rPr>
        <w:t>光传输设备、无线设备、</w:t>
      </w:r>
      <w:r>
        <w:rPr>
          <w:rFonts w:hint="eastAsia" w:ascii="宋体" w:hAnsi="宋体" w:eastAsia="宋体" w:cs="宋体"/>
          <w:color w:val="auto"/>
          <w:sz w:val="24"/>
          <w:szCs w:val="24"/>
          <w:highlight w:val="none"/>
          <w:lang w:eastAsia="zh-CN"/>
        </w:rPr>
        <w:t>电话、电池、监控、视频会议系统等），数据网设备，机架，通信电源，</w:t>
      </w:r>
      <w:r>
        <w:rPr>
          <w:rFonts w:hint="eastAsia" w:ascii="宋体" w:hAnsi="宋体" w:eastAsia="宋体" w:cs="宋体"/>
          <w:color w:val="auto"/>
          <w:sz w:val="24"/>
          <w:szCs w:val="24"/>
          <w:highlight w:val="none"/>
          <w:lang w:val="en-US" w:eastAsia="zh-CN"/>
        </w:rPr>
        <w:t>通信光缆及其金具</w:t>
      </w:r>
      <w:r>
        <w:rPr>
          <w:rFonts w:hint="eastAsia" w:ascii="宋体" w:hAnsi="宋体" w:eastAsia="宋体" w:cs="宋体"/>
          <w:color w:val="auto"/>
          <w:sz w:val="24"/>
          <w:szCs w:val="24"/>
          <w:highlight w:val="none"/>
          <w:lang w:eastAsia="zh-CN"/>
        </w:rPr>
        <w:t>，综合配线设备及材料</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eastAsia="zh-CN"/>
        </w:rPr>
        <w:t>电缆保护管材（</w:t>
      </w:r>
      <w:r>
        <w:rPr>
          <w:rFonts w:hint="eastAsia" w:ascii="宋体" w:hAnsi="宋体" w:eastAsia="宋体" w:cs="宋体"/>
          <w:b w:val="0"/>
          <w:bCs/>
          <w:color w:val="auto"/>
          <w:sz w:val="24"/>
          <w:szCs w:val="24"/>
          <w:highlight w:val="none"/>
          <w:lang w:val="en-US" w:eastAsia="zh-CN"/>
        </w:rPr>
        <w:t>HDPE管、涂塑钢管、PVC管、MPP管</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其他</w:t>
      </w: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   </w:t>
      </w:r>
      <w:r>
        <w:rPr>
          <w:rFonts w:hint="eastAsia" w:asciiTheme="minorEastAsia" w:hAnsiTheme="minorEastAsia" w:eastAsiaTheme="minorEastAsia" w:cstheme="minorEastAsia"/>
          <w:b w:val="0"/>
          <w:bCs w:val="0"/>
          <w:color w:val="auto"/>
          <w:sz w:val="24"/>
          <w:szCs w:val="24"/>
          <w:highlight w:val="none"/>
          <w:u w:val="single"/>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线路部分：</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甲供物资：</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光缆及光缆附件</w:t>
      </w:r>
      <w:r>
        <w:rPr>
          <w:rFonts w:hint="eastAsia" w:asciiTheme="minorEastAsia" w:hAnsiTheme="minorEastAsia" w:eastAsiaTheme="minorEastAsia" w:cstheme="minorEastAsia"/>
          <w:b w:val="0"/>
          <w:bCs w:val="0"/>
          <w:color w:val="auto"/>
          <w:sz w:val="24"/>
          <w:szCs w:val="24"/>
          <w:highlight w:val="none"/>
          <w:lang w:eastAsia="zh-CN"/>
        </w:rPr>
        <w:t>，电缆保护管材（</w:t>
      </w:r>
      <w:r>
        <w:rPr>
          <w:rFonts w:hint="eastAsia" w:asciiTheme="minorEastAsia" w:hAnsiTheme="minorEastAsia" w:eastAsiaTheme="minorEastAsia" w:cstheme="minorEastAsia"/>
          <w:b w:val="0"/>
          <w:bCs w:val="0"/>
          <w:color w:val="auto"/>
          <w:sz w:val="24"/>
          <w:szCs w:val="24"/>
          <w:highlight w:val="none"/>
          <w:lang w:val="en-US" w:eastAsia="zh-CN"/>
        </w:rPr>
        <w:t>HDPE管、涂塑钢管、PVC管、MPP管）</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装配式</w:t>
      </w:r>
      <w:r>
        <w:rPr>
          <w:rFonts w:hint="eastAsia" w:asciiTheme="minorEastAsia" w:hAnsiTheme="minorEastAsia" w:eastAsiaTheme="minorEastAsia" w:cstheme="minorEastAsia"/>
          <w:b w:val="0"/>
          <w:bCs w:val="0"/>
          <w:color w:val="auto"/>
          <w:sz w:val="24"/>
          <w:szCs w:val="24"/>
          <w:highlight w:val="none"/>
          <w:lang w:val="en-US" w:eastAsia="zh-CN"/>
        </w:rPr>
        <w:t>电缆沟，</w:t>
      </w:r>
      <w:r>
        <w:rPr>
          <w:rFonts w:hint="eastAsia" w:asciiTheme="minorEastAsia" w:hAnsiTheme="minorEastAsia" w:eastAsiaTheme="minorEastAsia" w:cstheme="minorEastAsia"/>
          <w:b w:val="0"/>
          <w:bCs w:val="0"/>
          <w:color w:val="auto"/>
          <w:sz w:val="24"/>
          <w:szCs w:val="24"/>
          <w:highlight w:val="none"/>
        </w:rPr>
        <w:t>□玻璃钢管。</w:t>
      </w:r>
    </w:p>
    <w:p>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（二）</w:t>
      </w:r>
      <w:r>
        <w:rPr>
          <w:rFonts w:hint="eastAsia" w:asciiTheme="minorEastAsia" w:hAnsiTheme="minorEastAsia" w:eastAsiaTheme="minorEastAsia" w:cstheme="minorEastAsia"/>
          <w:b/>
          <w:bCs/>
          <w:color w:val="auto"/>
          <w:sz w:val="24"/>
          <w:szCs w:val="24"/>
          <w:highlight w:val="none"/>
        </w:rPr>
        <w:t>其他</w:t>
      </w: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   </w:t>
      </w:r>
      <w:r>
        <w:rPr>
          <w:rFonts w:hint="eastAsia" w:asciiTheme="minorEastAsia" w:hAnsiTheme="minorEastAsia" w:eastAsiaTheme="minorEastAsia" w:cstheme="minorEastAsia"/>
          <w:b w:val="0"/>
          <w:bCs w:val="0"/>
          <w:color w:val="auto"/>
          <w:sz w:val="24"/>
          <w:szCs w:val="24"/>
          <w:highlight w:val="none"/>
          <w:u w:val="single"/>
        </w:rPr>
        <w:t>。</w:t>
      </w: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w:t>
      </w:r>
    </w:p>
    <w:tbl>
      <w:tblPr>
        <w:tblStyle w:val="15"/>
        <w:tblW w:w="90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83"/>
        <w:gridCol w:w="1840"/>
        <w:gridCol w:w="1125"/>
        <w:gridCol w:w="1620"/>
        <w:gridCol w:w="24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highlight w:val="none"/>
                <w:u w:val="none"/>
              </w:rPr>
            </w:pPr>
          </w:p>
        </w:tc>
        <w:tc>
          <w:tcPr>
            <w:tcW w:w="1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highlight w:val="none"/>
                <w:u w:val="none"/>
              </w:rPr>
            </w:pPr>
            <w:r>
              <w:rPr>
                <w:rFonts w:hint="eastAsia" w:asciiTheme="minorEastAsia" w:hAnsiTheme="minorEastAsia" w:eastAsiaTheme="minorEastAsia" w:cstheme="minorEastAsia"/>
                <w:b w:val="0"/>
                <w:i w:val="0"/>
                <w:iCs w:val="0"/>
                <w:color w:val="auto"/>
                <w:kern w:val="0"/>
                <w:sz w:val="24"/>
                <w:szCs w:val="24"/>
                <w:highlight w:val="none"/>
                <w:u w:val="single"/>
                <w:lang w:val="en-US" w:eastAsia="zh-CN" w:bidi="ar"/>
              </w:rPr>
              <w:t>本标段暂不提供，以最终施工图为准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highlight w:val="none"/>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highlight w:val="none"/>
                <w:u w:val="none"/>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4"/>
                <w:szCs w:val="24"/>
                <w:highlight w:val="none"/>
                <w:u w:val="none"/>
              </w:rPr>
            </w:pPr>
          </w:p>
        </w:tc>
      </w:tr>
    </w:tbl>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widowControl w:val="0"/>
        <w:numPr>
          <w:ilvl w:val="0"/>
          <w:numId w:val="2"/>
        </w:numPr>
        <w:kinsoku/>
        <w:wordWrap/>
        <w:overflowPunct/>
        <w:topLinePunct w:val="0"/>
        <w:autoSpaceDE w:val="0"/>
        <w:autoSpaceDN w:val="0"/>
        <w:bidi w:val="0"/>
        <w:adjustRightInd w:val="0"/>
        <w:snapToGrid/>
        <w:spacing w:line="400" w:lineRule="exact"/>
        <w:ind w:left="0" w:leftChars="0" w:firstLine="0" w:firstLine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w:t>
      </w:r>
    </w:p>
    <w:p>
      <w:pPr>
        <w:numPr>
          <w:ilvl w:val="0"/>
          <w:numId w:val="0"/>
        </w:numPr>
        <w:ind w:leftChars="0"/>
        <w:rPr>
          <w:rFonts w:hint="eastAsia"/>
          <w:color w:val="auto"/>
          <w:highlight w:val="none"/>
          <w:lang w:val="en-US" w:eastAsia="zh-CN"/>
        </w:rPr>
      </w:pPr>
    </w:p>
    <w:p>
      <w:pPr>
        <w:numPr>
          <w:ilvl w:val="0"/>
          <w:numId w:val="0"/>
        </w:numPr>
        <w:jc w:val="center"/>
        <w:rPr>
          <w:rFonts w:hint="eastAsia"/>
          <w:color w:val="auto"/>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5"/>
        <w:tblpPr w:leftFromText="180" w:rightFromText="180" w:vertAnchor="text" w:horzAnchor="page" w:tblpX="1352" w:tblpY="66"/>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0"/>
        <w:gridCol w:w="1125"/>
        <w:gridCol w:w="1305"/>
        <w:gridCol w:w="1170"/>
        <w:gridCol w:w="1035"/>
        <w:gridCol w:w="765"/>
        <w:gridCol w:w="915"/>
        <w:gridCol w:w="450"/>
        <w:gridCol w:w="870"/>
        <w:gridCol w:w="765"/>
        <w:gridCol w:w="660"/>
        <w:gridCol w:w="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250"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序号</w:t>
            </w:r>
          </w:p>
        </w:tc>
        <w:tc>
          <w:tcPr>
            <w:tcW w:w="564"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工程或费用名称</w:t>
            </w:r>
          </w:p>
        </w:tc>
        <w:tc>
          <w:tcPr>
            <w:tcW w:w="654"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限价金额（元）</w:t>
            </w:r>
          </w:p>
        </w:tc>
        <w:tc>
          <w:tcPr>
            <w:tcW w:w="14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其中</w:t>
            </w:r>
          </w:p>
        </w:tc>
        <w:tc>
          <w:tcPr>
            <w:tcW w:w="459"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投标下浮率</w:t>
            </w:r>
          </w:p>
        </w:tc>
        <w:tc>
          <w:tcPr>
            <w:tcW w:w="225" w:type="pct"/>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投标报价（元）</w:t>
            </w:r>
          </w:p>
        </w:tc>
        <w:tc>
          <w:tcPr>
            <w:tcW w:w="11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其中</w:t>
            </w:r>
          </w:p>
        </w:tc>
        <w:tc>
          <w:tcPr>
            <w:tcW w:w="201" w:type="pct"/>
            <w:vMerge w:val="restart"/>
            <w:tcBorders>
              <w:top w:val="single" w:color="000000" w:sz="4" w:space="0"/>
              <w:left w:val="single" w:color="auto"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250"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color w:val="auto"/>
                <w:sz w:val="24"/>
                <w:szCs w:val="24"/>
                <w:highlight w:val="none"/>
              </w:rPr>
            </w:pPr>
          </w:p>
        </w:tc>
        <w:tc>
          <w:tcPr>
            <w:tcW w:w="564"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color w:val="auto"/>
                <w:sz w:val="24"/>
                <w:szCs w:val="24"/>
                <w:highlight w:val="none"/>
              </w:rPr>
            </w:pPr>
          </w:p>
        </w:tc>
        <w:tc>
          <w:tcPr>
            <w:tcW w:w="654"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color w:val="auto"/>
                <w:sz w:val="24"/>
                <w:szCs w:val="24"/>
                <w:highlight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其中安全文明施工费（元）</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其中施工专项补助费（元）</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暂估价（元）</w:t>
            </w:r>
          </w:p>
        </w:tc>
        <w:tc>
          <w:tcPr>
            <w:tcW w:w="459"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225" w:type="pct"/>
            <w:vMerge w:val="continue"/>
            <w:tcBorders>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其中安全文明施工费（元）</w:t>
            </w:r>
          </w:p>
        </w:tc>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其中施工专项补助费（元）</w:t>
            </w:r>
          </w:p>
        </w:tc>
        <w:tc>
          <w:tcPr>
            <w:tcW w:w="331"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暂估价（元）</w:t>
            </w:r>
          </w:p>
        </w:tc>
        <w:tc>
          <w:tcPr>
            <w:tcW w:w="201" w:type="pct"/>
            <w:vMerge w:val="continue"/>
            <w:tcBorders>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变电工程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2871628.00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88836.00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sz w:val="18"/>
                <w:szCs w:val="18"/>
                <w:highlight w:val="none"/>
                <w:u w:val="none"/>
                <w:lang w:val="en-US" w:eastAsia="zh-CN"/>
              </w:rPr>
              <w:t>102500.26</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firstLine="240" w:firstLineChars="100"/>
              <w:jc w:val="both"/>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110kV桥兴站扩建工程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2788976.00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85562.00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92500.26</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对侧110kV广场站工程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82652.00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3274.00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10000.00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线路工程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36333708.00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564187.00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110kV电缆线路工程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36333708.00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564187.00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通信工程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208893.00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6217.00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10000.00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配套通信设备工程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66553.00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1810.00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10000.00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w:t>
            </w:r>
          </w:p>
        </w:tc>
        <w:tc>
          <w:tcPr>
            <w:tcW w:w="5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配套通信光缆工程</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142340.00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4407.00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0.00</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合计（小写）：</w:t>
            </w:r>
          </w:p>
        </w:tc>
        <w:tc>
          <w:tcPr>
            <w:tcW w:w="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39414229.00</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659240.00</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宋体" w:hAnsi="宋体" w:eastAsia="宋体" w:cs="宋体"/>
                <w:b/>
                <w:bCs/>
                <w:i w:val="0"/>
                <w:iCs w:val="0"/>
                <w:color w:val="auto"/>
                <w:sz w:val="18"/>
                <w:szCs w:val="18"/>
                <w:highlight w:val="none"/>
                <w:u w:val="none"/>
                <w:lang w:val="en-US" w:eastAsia="zh-CN"/>
              </w:rPr>
              <w:t>112500.26</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w:t>
            </w:r>
          </w:p>
        </w:tc>
        <w:tc>
          <w:tcPr>
            <w:tcW w:w="459"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u w:val="none"/>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u w:val="none"/>
              </w:rPr>
            </w:pPr>
          </w:p>
        </w:tc>
      </w:tr>
    </w:tbl>
    <w:p>
      <w:pPr>
        <w:pStyle w:val="7"/>
        <w:spacing w:line="360" w:lineRule="auto"/>
        <w:ind w:firstLine="240"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p>
    <w:p>
      <w:pPr>
        <w:pStyle w:val="7"/>
        <w:spacing w:line="360" w:lineRule="auto"/>
        <w:ind w:firstLine="240"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pPr>
        <w:pStyle w:val="8"/>
        <w:keepNext w:val="0"/>
        <w:keepLines w:val="0"/>
        <w:pageBreakBefore w:val="0"/>
        <w:widowControl/>
        <w:numPr>
          <w:ilvl w:val="0"/>
          <w:numId w:val="4"/>
        </w:numPr>
        <w:shd w:val="clear" w:color="auto" w:fill="auto"/>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报投标下浮率，同时对应投标下浮率填写投标报价。投标报价=（最高投标限价-安全文明施工费-暂估价）×（1-投标下浮率）+安全文明施工费+暂估价（保留两位小数，如：8.88）。当投标报价金额与投标下浮率计算结果不一致时，以投标下浮率为准，按公式修正投标报价金额。</w:t>
      </w:r>
    </w:p>
    <w:p>
      <w:pPr>
        <w:pStyle w:val="8"/>
        <w:keepNext w:val="0"/>
        <w:keepLines w:val="0"/>
        <w:pageBreakBefore w:val="0"/>
        <w:widowControl/>
        <w:numPr>
          <w:ilvl w:val="0"/>
          <w:numId w:val="0"/>
        </w:numPr>
        <w:shd w:val="clear" w:color="auto" w:fill="auto"/>
        <w:kinsoku/>
        <w:wordWrap/>
        <w:overflowPunct/>
        <w:topLinePunct w:val="0"/>
        <w:autoSpaceDE/>
        <w:autoSpaceDN/>
        <w:bidi w:val="0"/>
        <w:adjustRightInd/>
        <w:snapToGrid/>
        <w:spacing w:before="0" w:after="0" w:line="360" w:lineRule="auto"/>
        <w:ind w:firstLine="480" w:firstLineChars="200"/>
        <w:jc w:val="left"/>
        <w:textAlignment w:val="auto"/>
        <w:rPr>
          <w:rFonts w:hint="default"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其中：本项目含35kV及以上变电改扩建，限价已包含35kV及以上变电改扩建项目施工专项补助费，相关工作要求、考评及结算要求按南方电网公司《关于明确35kV及以上变电改扩建项目施工专项补助费列支有关工作的通知》（办输配电〔2023〕28号文）及广东电网公司《关于落实35kV及以上变电改扩建项目施工专项补助费列支有关工作的通知》执行。上级单位如有最新文件的，按最新文件要求执行。</w:t>
      </w:r>
    </w:p>
    <w:p>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w:t>
      </w:r>
      <w:r>
        <w:rPr>
          <w:rFonts w:hint="eastAsia" w:asciiTheme="minorEastAsia" w:hAnsiTheme="minorEastAsia" w:eastAsiaTheme="minorEastAsia" w:cstheme="minorEastAsia"/>
          <w:b w:val="0"/>
          <w:bCs w:val="0"/>
          <w:color w:val="auto"/>
          <w:kern w:val="2"/>
          <w:sz w:val="24"/>
          <w:szCs w:val="24"/>
          <w:highlight w:val="none"/>
          <w:u w:val="single"/>
        </w:rPr>
        <w:t>施工专项补助费（如有），投标人报价时按文件要求将施工专项补助费作为“竞争性费用”列入投标报价中，报价不得高于招标文件公布的施工专项补助费，否则按否决投标处理</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w:t>
      </w:r>
    </w:p>
    <w:p>
      <w:pPr>
        <w:ind w:firstLine="420" w:firstLineChars="200"/>
        <w:rPr>
          <w:rFonts w:hint="eastAsia"/>
          <w:color w:val="auto"/>
          <w:highlight w:val="none"/>
          <w:lang w:val="en-US" w:eastAsia="zh-CN"/>
        </w:rPr>
      </w:pP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pPr>
        <w:numPr>
          <w:ilvl w:val="0"/>
          <w:numId w:val="0"/>
        </w:numPr>
        <w:spacing w:line="360" w:lineRule="auto"/>
        <w:ind w:firstLine="480" w:firstLineChars="200"/>
        <w:rPr>
          <w:rFonts w:hint="eastAsia" w:asciiTheme="minorEastAsia" w:hAnsiTheme="minorEastAsia" w:eastAsiaTheme="minorEastAsia" w:cstheme="minorEastAsia"/>
          <w:b w:val="0"/>
          <w:bCs w:val="0"/>
          <w:strike w:val="0"/>
          <w:dstrike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strike w:val="0"/>
          <w:dstrike w:val="0"/>
          <w:color w:val="auto"/>
          <w:kern w:val="2"/>
          <w:sz w:val="24"/>
          <w:szCs w:val="24"/>
          <w:highlight w:val="none"/>
          <w:u w:val="single"/>
          <w:lang w:val="en-US" w:eastAsia="zh-CN" w:bidi="ar-SA"/>
        </w:rPr>
        <w:t>1.本合同为约定中标下浮率的暂定价合同，待项目施工图和预算审定后，由发包人委托的第三方造价咨询单位根据审定的施工图纸编制正式合同价，经合同双方确认后另行签订补充协议约定正式合同价；</w:t>
      </w:r>
    </w:p>
    <w:p>
      <w:pPr>
        <w:numPr>
          <w:ilvl w:val="0"/>
          <w:numId w:val="0"/>
        </w:numPr>
        <w:spacing w:line="360" w:lineRule="auto"/>
        <w:ind w:firstLine="480" w:firstLineChars="200"/>
        <w:rPr>
          <w:rFonts w:hint="eastAsia" w:asciiTheme="minorEastAsia" w:hAnsiTheme="minorEastAsia" w:eastAsiaTheme="minorEastAsia" w:cstheme="minorEastAsia"/>
          <w:b w:val="0"/>
          <w:bCs w:val="0"/>
          <w:strike w:val="0"/>
          <w:dstrike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strike w:val="0"/>
          <w:dstrike w:val="0"/>
          <w:color w:val="auto"/>
          <w:kern w:val="2"/>
          <w:sz w:val="24"/>
          <w:szCs w:val="24"/>
          <w:highlight w:val="none"/>
          <w:u w:val="single"/>
          <w:lang w:val="en-US" w:eastAsia="zh-CN" w:bidi="ar-SA"/>
        </w:rPr>
        <w:t>2.正式合同价=（审定施工图计算合同价-安全文明施工费-暂估价）×（1-中标下浮率）+安全文明施工费+暂估价，正式合同价的计算依据为审定施工图中本合同承包范围内工作、审定施工图预算的编制原则(具体根据双方协商结果、以补充协议进行约定)、合同中标下浮率等；</w:t>
      </w:r>
    </w:p>
    <w:p>
      <w:pPr>
        <w:numPr>
          <w:ilvl w:val="0"/>
          <w:numId w:val="0"/>
        </w:num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strike w:val="0"/>
          <w:dstrike w:val="0"/>
          <w:color w:val="auto"/>
          <w:kern w:val="2"/>
          <w:sz w:val="24"/>
          <w:szCs w:val="24"/>
          <w:highlight w:val="none"/>
          <w:u w:val="single"/>
          <w:lang w:val="en-US" w:eastAsia="zh-CN" w:bidi="ar-SA"/>
        </w:rPr>
        <w:t>3.正式合同价为包干合同总价，总价包干部分，除施工图设计变更和合同约定可调整的情况外，结算不予调整，中标合同价款中的漏项、错项结算时视为已包括在其他工程子项的报价中，不予调整。</w:t>
      </w:r>
    </w:p>
    <w:p>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pPr>
        <w:rPr>
          <w:rFonts w:hint="eastAsia" w:asciiTheme="minorEastAsia" w:hAnsiTheme="minorEastAsia" w:eastAsiaTheme="minorEastAsia" w:cstheme="minorEastAsia"/>
          <w:color w:val="auto"/>
          <w:kern w:val="2"/>
          <w:sz w:val="24"/>
          <w:szCs w:val="24"/>
          <w:highlight w:val="none"/>
          <w:u w:val="single"/>
          <w:lang w:val="en-US" w:eastAsia="zh-CN" w:bidi="ar-SA"/>
        </w:rPr>
      </w:pPr>
    </w:p>
    <w:p>
      <w:pPr>
        <w:pStyle w:val="3"/>
        <w:rPr>
          <w:rFonts w:hint="eastAsia" w:asciiTheme="minorEastAsia" w:hAnsiTheme="minorEastAsia" w:eastAsiaTheme="minorEastAsia" w:cstheme="minorEastAsia"/>
          <w:color w:val="auto"/>
          <w:sz w:val="24"/>
          <w:szCs w:val="24"/>
          <w:highlight w:val="none"/>
          <w:lang w:val="en-US" w:eastAsia="zh-CN"/>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pPr>
        <w:pStyle w:val="2"/>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pPr>
        <w:pStyle w:val="2"/>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pPr>
        <w:pStyle w:val="2"/>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pPr>
        <w:pStyle w:val="2"/>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pPr>
        <w:pStyle w:val="2"/>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6"/>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vAlign w:val="top"/>
          </w:tcPr>
          <w:p>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b/>
                <w:bCs/>
                <w:color w:val="auto"/>
                <w:sz w:val="24"/>
                <w:szCs w:val="24"/>
                <w:highlight w:val="none"/>
                <w:vertAlign w:val="baseline"/>
                <w:lang w:val="en-US" w:eastAsia="zh-CN"/>
              </w:rPr>
            </w:pPr>
          </w:p>
        </w:tc>
        <w:tc>
          <w:tcPr>
            <w:tcW w:w="8138" w:type="dxa"/>
            <w:tcBorders>
              <w:top w:val="nil"/>
              <w:left w:val="nil"/>
              <w:bottom w:val="single" w:color="000000" w:sz="4" w:space="0"/>
              <w:right w:val="nil"/>
            </w:tcBorders>
            <w:vAlign w:val="top"/>
          </w:tcPr>
          <w:p>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rightChars="0" w:firstLine="1446" w:firstLineChars="600"/>
              <w:jc w:val="both"/>
              <w:rPr>
                <w:rFonts w:hint="eastAsia" w:asciiTheme="minorEastAsia" w:hAnsiTheme="minorEastAsia" w:eastAsiaTheme="minorEastAsia" w:cstheme="minorEastAsia"/>
                <w:b/>
                <w:bCs/>
                <w:color w:val="auto"/>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color w:val="auto"/>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top"/>
          </w:tcPr>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auto"/>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color w:val="auto"/>
                <w:sz w:val="24"/>
                <w:szCs w:val="24"/>
                <w:highlight w:val="none"/>
                <w:vertAlign w:val="baseline"/>
              </w:rPr>
            </w:pPr>
          </w:p>
        </w:tc>
        <w:tc>
          <w:tcPr>
            <w:tcW w:w="8138" w:type="dxa"/>
            <w:tcBorders>
              <w:bottom w:val="single" w:color="000000" w:sz="4" w:space="0"/>
              <w:right w:val="single" w:color="000000" w:sz="4" w:space="0"/>
            </w:tcBorders>
            <w:vAlign w:val="center"/>
          </w:tcPr>
          <w:p>
            <w:pPr>
              <w:keepNext w:val="0"/>
              <w:keepLines w:val="0"/>
              <w:suppressLineNumbers w:val="0"/>
              <w:shd w:val="clear" w:color="auto" w:fill="auto"/>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本标段不涉及</w:t>
            </w:r>
          </w:p>
        </w:tc>
      </w:tr>
    </w:tbl>
    <w:p>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5"/>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序号</w:t>
            </w:r>
          </w:p>
        </w:tc>
        <w:tc>
          <w:tcPr>
            <w:tcW w:w="2940" w:type="dxa"/>
            <w:noWrap w:val="0"/>
            <w:vAlign w:val="center"/>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卷    册</w:t>
            </w:r>
          </w:p>
        </w:tc>
        <w:tc>
          <w:tcPr>
            <w:tcW w:w="2835" w:type="dxa"/>
            <w:noWrap w:val="0"/>
            <w:vAlign w:val="center"/>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工程项目及图纸名称</w:t>
            </w:r>
          </w:p>
        </w:tc>
        <w:tc>
          <w:tcPr>
            <w:tcW w:w="2655" w:type="dxa"/>
            <w:noWrap w:val="0"/>
            <w:vAlign w:val="center"/>
          </w:tcPr>
          <w:p>
            <w:pPr>
              <w:pStyle w:val="2"/>
              <w:keepNext w:val="0"/>
              <w:keepLines w:val="0"/>
              <w:suppressLineNumbers w:val="0"/>
              <w:spacing w:before="0" w:beforeAutospacing="0" w:after="0" w:afterAutospacing="0"/>
              <w:ind w:left="0" w:leftChars="-1" w:right="0" w:rightChars="0" w:hanging="2" w:hangingChars="1"/>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一</w:t>
            </w: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lang w:val="en-US" w:eastAsia="zh-CN"/>
              </w:rPr>
              <w:t>110千伏桥兴扩建主变工程</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lang w:val="en-US" w:eastAsia="zh-CN"/>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B210007S-A01</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施工图设计说明书</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电气一次</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S-D0101</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总的部分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S-D0102</w:t>
            </w:r>
          </w:p>
        </w:tc>
        <w:tc>
          <w:tcPr>
            <w:tcW w:w="2835" w:type="dxa"/>
            <w:noWrap w:val="0"/>
            <w:vAlign w:val="center"/>
          </w:tcPr>
          <w:p>
            <w:pPr>
              <w:keepNext w:val="0"/>
              <w:keepLines w:val="0"/>
              <w:suppressLineNumbers w:val="0"/>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lang w:val="en-US" w:eastAsia="zh-CN"/>
              </w:rPr>
              <w:t>110kV配电装置部分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S-D0103</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10kV配电装置及无功补偿部分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S-D0104</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主变压器及10kV母线桥安装部分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S-D0105</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全站防雷及接地部分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S-D0106</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电缆敷设与防火封堵部分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B210007S-D010</w:t>
            </w:r>
            <w:r>
              <w:rPr>
                <w:rFonts w:hint="eastAsia" w:asciiTheme="minorEastAsia" w:hAnsiTheme="minorEastAsia" w:eastAsiaTheme="minorEastAsia" w:cstheme="minorEastAsia"/>
                <w:i w:val="0"/>
                <w:iCs w:val="0"/>
                <w:color w:val="auto"/>
                <w:sz w:val="24"/>
                <w:szCs w:val="24"/>
                <w:highlight w:val="none"/>
                <w:lang w:val="en-US" w:eastAsia="zh-CN"/>
              </w:rPr>
              <w:t>7</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站用电及扩建部分照明部分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S-D0601</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对侧广场站电气一次部分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电气二次</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S-R0201</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公用</w:t>
            </w:r>
            <w:r>
              <w:rPr>
                <w:rFonts w:hint="eastAsia" w:asciiTheme="minorEastAsia" w:hAnsiTheme="minorEastAsia" w:eastAsiaTheme="minorEastAsia" w:cstheme="minorEastAsia"/>
                <w:i w:val="0"/>
                <w:iCs w:val="0"/>
                <w:color w:val="auto"/>
                <w:sz w:val="24"/>
                <w:szCs w:val="24"/>
                <w:highlight w:val="none"/>
              </w:rPr>
              <w:t>部分</w:t>
            </w:r>
            <w:r>
              <w:rPr>
                <w:rFonts w:hint="eastAsia" w:asciiTheme="minorEastAsia" w:hAnsiTheme="minorEastAsia" w:eastAsiaTheme="minorEastAsia" w:cstheme="minorEastAsia"/>
                <w:i w:val="0"/>
                <w:iCs w:val="0"/>
                <w:color w:val="auto"/>
                <w:sz w:val="24"/>
                <w:szCs w:val="24"/>
                <w:highlight w:val="none"/>
                <w:lang w:val="en-US" w:eastAsia="zh-CN"/>
              </w:rPr>
              <w:t>二次线</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S-R0208</w:t>
            </w:r>
          </w:p>
        </w:tc>
        <w:tc>
          <w:tcPr>
            <w:tcW w:w="2835" w:type="dxa"/>
            <w:noWrap w:val="0"/>
            <w:vAlign w:val="center"/>
          </w:tcPr>
          <w:p>
            <w:pPr>
              <w:keepNext w:val="0"/>
              <w:keepLines w:val="0"/>
              <w:suppressLineNumbers w:val="0"/>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智能辅助综合监控系统二次线</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土建部分</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S-T0</w:t>
            </w:r>
            <w:r>
              <w:rPr>
                <w:rFonts w:hint="eastAsia" w:asciiTheme="minorEastAsia" w:hAnsiTheme="minorEastAsia" w:eastAsiaTheme="minorEastAsia" w:cstheme="minorEastAsia"/>
                <w:i w:val="0"/>
                <w:iCs w:val="0"/>
                <w:color w:val="auto"/>
                <w:sz w:val="24"/>
                <w:szCs w:val="24"/>
                <w:highlight w:val="none"/>
                <w:lang w:val="en-US" w:eastAsia="zh-CN"/>
              </w:rPr>
              <w:t>1</w:t>
            </w:r>
            <w:r>
              <w:rPr>
                <w:rFonts w:hint="eastAsia" w:asciiTheme="minorEastAsia" w:hAnsiTheme="minorEastAsia" w:eastAsiaTheme="minorEastAsia" w:cstheme="minorEastAsia"/>
                <w:i w:val="0"/>
                <w:iCs w:val="0"/>
                <w:color w:val="auto"/>
                <w:sz w:val="24"/>
                <w:szCs w:val="24"/>
                <w:highlight w:val="none"/>
              </w:rPr>
              <w:t>0</w:t>
            </w:r>
            <w:r>
              <w:rPr>
                <w:rFonts w:hint="eastAsia" w:asciiTheme="minorEastAsia" w:hAnsiTheme="minorEastAsia" w:eastAsiaTheme="minorEastAsia" w:cstheme="minorEastAsia"/>
                <w:i w:val="0"/>
                <w:iCs w:val="0"/>
                <w:color w:val="auto"/>
                <w:sz w:val="24"/>
                <w:szCs w:val="24"/>
                <w:highlight w:val="none"/>
                <w:lang w:val="en-US" w:eastAsia="zh-CN"/>
              </w:rPr>
              <w:t>1</w:t>
            </w:r>
          </w:p>
        </w:tc>
        <w:tc>
          <w:tcPr>
            <w:tcW w:w="2835" w:type="dxa"/>
            <w:noWrap w:val="0"/>
            <w:vAlign w:val="center"/>
          </w:tcPr>
          <w:p>
            <w:pPr>
              <w:keepNext w:val="0"/>
              <w:keepLines w:val="0"/>
              <w:suppressLineNumbers w:val="0"/>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eastAsia="zh-CN"/>
              </w:rPr>
            </w:pPr>
            <w:r>
              <w:rPr>
                <w:rFonts w:hint="eastAsia"/>
                <w:color w:val="auto"/>
                <w:sz w:val="24"/>
                <w:szCs w:val="24"/>
                <w:highlight w:val="none"/>
              </w:rPr>
              <w:t>变电站土建建筑部分改造图</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B</w:t>
            </w:r>
            <w:r>
              <w:rPr>
                <w:rFonts w:hint="eastAsia" w:asciiTheme="minorEastAsia" w:hAnsiTheme="minorEastAsia" w:eastAsiaTheme="minorEastAsia" w:cstheme="minorEastAsia"/>
                <w:i w:val="0"/>
                <w:iCs w:val="0"/>
                <w:color w:val="auto"/>
                <w:sz w:val="24"/>
                <w:szCs w:val="24"/>
                <w:highlight w:val="none"/>
                <w:lang w:eastAsia="zh-CN"/>
              </w:rPr>
              <w:t>210007</w:t>
            </w:r>
            <w:r>
              <w:rPr>
                <w:rFonts w:hint="eastAsia" w:asciiTheme="minorEastAsia" w:hAnsiTheme="minorEastAsia" w:eastAsiaTheme="minorEastAsia" w:cstheme="minorEastAsia"/>
                <w:i w:val="0"/>
                <w:iCs w:val="0"/>
                <w:color w:val="auto"/>
                <w:sz w:val="24"/>
                <w:szCs w:val="24"/>
                <w:highlight w:val="none"/>
              </w:rPr>
              <w:t>S-T0</w:t>
            </w:r>
            <w:r>
              <w:rPr>
                <w:rFonts w:hint="eastAsia" w:asciiTheme="minorEastAsia" w:hAnsiTheme="minorEastAsia" w:eastAsiaTheme="minorEastAsia" w:cstheme="minorEastAsia"/>
                <w:i w:val="0"/>
                <w:iCs w:val="0"/>
                <w:color w:val="auto"/>
                <w:sz w:val="24"/>
                <w:szCs w:val="24"/>
                <w:highlight w:val="none"/>
                <w:lang w:val="en-US" w:eastAsia="zh-CN"/>
              </w:rPr>
              <w:t>1</w:t>
            </w:r>
            <w:r>
              <w:rPr>
                <w:rFonts w:hint="eastAsia" w:asciiTheme="minorEastAsia" w:hAnsiTheme="minorEastAsia" w:eastAsiaTheme="minorEastAsia" w:cstheme="minorEastAsia"/>
                <w:i w:val="0"/>
                <w:iCs w:val="0"/>
                <w:color w:val="auto"/>
                <w:sz w:val="24"/>
                <w:szCs w:val="24"/>
                <w:highlight w:val="none"/>
              </w:rPr>
              <w:t>0</w:t>
            </w:r>
            <w:r>
              <w:rPr>
                <w:rFonts w:hint="eastAsia" w:asciiTheme="minorEastAsia" w:hAnsiTheme="minorEastAsia" w:eastAsiaTheme="minorEastAsia" w:cstheme="minorEastAsia"/>
                <w:i w:val="0"/>
                <w:iCs w:val="0"/>
                <w:color w:val="auto"/>
                <w:sz w:val="24"/>
                <w:szCs w:val="24"/>
                <w:highlight w:val="none"/>
                <w:lang w:val="en-US" w:eastAsia="zh-CN"/>
              </w:rPr>
              <w:t>2</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color w:val="auto"/>
                <w:sz w:val="24"/>
                <w:szCs w:val="24"/>
                <w:highlight w:val="none"/>
              </w:rPr>
              <w:t>变电站土建结构部分改造图</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B210007S-</w:t>
            </w:r>
            <w:r>
              <w:rPr>
                <w:rFonts w:hint="eastAsia" w:asciiTheme="minorEastAsia" w:hAnsiTheme="minorEastAsia" w:eastAsiaTheme="minorEastAsia" w:cstheme="minorEastAsia"/>
                <w:i w:val="0"/>
                <w:iCs w:val="0"/>
                <w:color w:val="auto"/>
                <w:sz w:val="24"/>
                <w:szCs w:val="24"/>
                <w:highlight w:val="none"/>
              </w:rPr>
              <w:t>T0</w:t>
            </w:r>
            <w:r>
              <w:rPr>
                <w:rFonts w:hint="eastAsia" w:asciiTheme="minorEastAsia" w:hAnsiTheme="minorEastAsia" w:eastAsiaTheme="minorEastAsia" w:cstheme="minorEastAsia"/>
                <w:i w:val="0"/>
                <w:iCs w:val="0"/>
                <w:color w:val="auto"/>
                <w:sz w:val="24"/>
                <w:szCs w:val="24"/>
                <w:highlight w:val="none"/>
                <w:lang w:val="en-US" w:eastAsia="zh-CN"/>
              </w:rPr>
              <w:t>309</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给排水部分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消防部分</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B210007S-S0501</w:t>
            </w:r>
          </w:p>
        </w:tc>
        <w:tc>
          <w:tcPr>
            <w:tcW w:w="2835" w:type="dxa"/>
            <w:noWrap w:val="0"/>
            <w:vAlign w:val="center"/>
          </w:tcPr>
          <w:p>
            <w:pPr>
              <w:keepNext w:val="0"/>
              <w:keepLines w:val="0"/>
              <w:suppressLineNumbers w:val="0"/>
              <w:shd w:val="clear" w:color="auto" w:fill="auto"/>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火灾自动报警系统</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shd w:val="clear" w:color="auto" w:fill="auto"/>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sz w:val="24"/>
                <w:szCs w:val="24"/>
                <w:highlight w:val="none"/>
                <w:lang w:val="en-US" w:eastAsia="zh-CN"/>
              </w:rPr>
              <w:t>B210007S-S0502</w:t>
            </w:r>
          </w:p>
        </w:tc>
        <w:tc>
          <w:tcPr>
            <w:tcW w:w="2835" w:type="dxa"/>
            <w:shd w:val="clear" w:color="auto" w:fill="auto"/>
            <w:noWrap w:val="0"/>
            <w:vAlign w:val="center"/>
          </w:tcPr>
          <w:p>
            <w:pPr>
              <w:keepNext w:val="0"/>
              <w:keepLines w:val="0"/>
              <w:suppressLineNumbers w:val="0"/>
              <w:shd w:val="clear" w:color="auto" w:fill="auto"/>
              <w:spacing w:before="0" w:beforeAutospacing="0" w:after="0" w:afterAutospacing="0"/>
              <w:ind w:left="0" w:leftChars="0" w:right="0" w:rightChars="0"/>
              <w:rPr>
                <w:rFonts w:hint="eastAsia" w:asciiTheme="minorEastAsia" w:hAnsiTheme="minorEastAsia" w:eastAsiaTheme="minorEastAsia" w:cstheme="minorEastAsia"/>
                <w:i w:val="0"/>
                <w:i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sz w:val="24"/>
                <w:szCs w:val="24"/>
                <w:highlight w:val="none"/>
                <w:lang w:val="en-US" w:eastAsia="zh-CN"/>
              </w:rPr>
              <w:t>消防泵房给水系统</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lang w:val="en-US" w:eastAsia="zh-CN"/>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b/>
                <w:bCs/>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二</w:t>
            </w: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lang w:val="en-US" w:eastAsia="zh-CN"/>
              </w:rPr>
              <w:t>110kV电缆线路工程</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S</w:t>
            </w:r>
            <w:r>
              <w:rPr>
                <w:rFonts w:hint="eastAsia" w:asciiTheme="minorEastAsia" w:hAnsiTheme="minorEastAsia" w:eastAsiaTheme="minorEastAsia" w:cstheme="minorEastAsia"/>
                <w:i w:val="0"/>
                <w:iCs w:val="0"/>
                <w:color w:val="auto"/>
                <w:sz w:val="24"/>
                <w:szCs w:val="24"/>
                <w:highlight w:val="none"/>
                <w:lang w:val="en-US" w:eastAsia="zh-CN"/>
              </w:rPr>
              <w:t>210007</w:t>
            </w:r>
            <w:r>
              <w:rPr>
                <w:rFonts w:hint="eastAsia" w:asciiTheme="minorEastAsia" w:hAnsiTheme="minorEastAsia" w:eastAsiaTheme="minorEastAsia" w:cstheme="minorEastAsia"/>
                <w:i w:val="0"/>
                <w:iCs w:val="0"/>
                <w:color w:val="auto"/>
                <w:sz w:val="24"/>
                <w:szCs w:val="24"/>
                <w:highlight w:val="none"/>
              </w:rPr>
              <w:t xml:space="preserve">S-D01 </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线路电气部分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S</w:t>
            </w:r>
            <w:r>
              <w:rPr>
                <w:rFonts w:hint="eastAsia" w:asciiTheme="minorEastAsia" w:hAnsiTheme="minorEastAsia" w:eastAsiaTheme="minorEastAsia" w:cstheme="minorEastAsia"/>
                <w:i w:val="0"/>
                <w:iCs w:val="0"/>
                <w:color w:val="auto"/>
                <w:sz w:val="24"/>
                <w:szCs w:val="24"/>
                <w:highlight w:val="none"/>
                <w:lang w:val="en-US" w:eastAsia="zh-CN"/>
              </w:rPr>
              <w:t>210007</w:t>
            </w:r>
            <w:r>
              <w:rPr>
                <w:rFonts w:hint="eastAsia" w:asciiTheme="minorEastAsia" w:hAnsiTheme="minorEastAsia" w:eastAsiaTheme="minorEastAsia" w:cstheme="minorEastAsia"/>
                <w:i w:val="0"/>
                <w:iCs w:val="0"/>
                <w:color w:val="auto"/>
                <w:sz w:val="24"/>
                <w:szCs w:val="24"/>
                <w:highlight w:val="none"/>
              </w:rPr>
              <w:t xml:space="preserve">S-T01 </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线路土建部分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道路修复图纸</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交通疏解图纸</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三</w:t>
            </w: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配套通信工程</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c>
          <w:tcPr>
            <w:tcW w:w="2940"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B210007</w:t>
            </w:r>
            <w:r>
              <w:rPr>
                <w:rFonts w:hint="eastAsia" w:asciiTheme="minorEastAsia" w:hAnsiTheme="minorEastAsia" w:eastAsiaTheme="minorEastAsia" w:cstheme="minorEastAsia"/>
                <w:i w:val="0"/>
                <w:iCs w:val="0"/>
                <w:color w:val="auto"/>
                <w:sz w:val="24"/>
                <w:szCs w:val="24"/>
                <w:highlight w:val="none"/>
              </w:rPr>
              <w:t xml:space="preserve">S-U04 </w:t>
            </w:r>
          </w:p>
        </w:tc>
        <w:tc>
          <w:tcPr>
            <w:tcW w:w="2835" w:type="dxa"/>
            <w:noWrap w:val="0"/>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通信部分</w:t>
            </w:r>
          </w:p>
        </w:tc>
        <w:tc>
          <w:tcPr>
            <w:tcW w:w="2655" w:type="dxa"/>
            <w:vAlign w:val="top"/>
          </w:tcPr>
          <w:p>
            <w:pPr>
              <w:pStyle w:val="2"/>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i w:val="0"/>
                <w:iCs w:val="0"/>
                <w:color w:val="auto"/>
                <w:sz w:val="24"/>
                <w:szCs w:val="24"/>
                <w:highlight w:val="none"/>
              </w:rPr>
            </w:pPr>
          </w:p>
        </w:tc>
      </w:tr>
    </w:tbl>
    <w:p>
      <w:pPr>
        <w:rPr>
          <w:rFonts w:hint="eastAsia" w:asciiTheme="minorEastAsia" w:hAnsiTheme="minorEastAsia" w:eastAsiaTheme="minorEastAsia" w:cstheme="minorEastAsia"/>
          <w:color w:val="auto"/>
          <w:sz w:val="24"/>
          <w:szCs w:val="24"/>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pPr>
        <w:pStyle w:val="7"/>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22"/>
          <w:rFonts w:hint="eastAsia" w:asciiTheme="minorEastAsia" w:hAnsiTheme="minorEastAsia" w:eastAsiaTheme="minorEastAsia" w:cstheme="minorEastAsia"/>
          <w:color w:val="auto"/>
          <w:sz w:val="24"/>
          <w:szCs w:val="24"/>
          <w:highlight w:val="none"/>
          <w:u w:val="single"/>
          <w:lang w:val="en-US" w:eastAsia="zh-CN"/>
        </w:rPr>
      </w:pPr>
      <w:r>
        <w:rPr>
          <w:rStyle w:val="22"/>
          <w:rFonts w:hint="eastAsia" w:asciiTheme="minorEastAsia" w:hAnsiTheme="minorEastAsia" w:eastAsiaTheme="minorEastAsia" w:cstheme="minorEastAsia"/>
          <w:color w:val="auto"/>
          <w:sz w:val="24"/>
          <w:szCs w:val="24"/>
          <w:highlight w:val="none"/>
          <w:u w:val="single"/>
          <w:lang w:val="en-US" w:eastAsia="zh-CN"/>
        </w:rPr>
        <w:t>本标段无工程量清单。</w:t>
      </w:r>
    </w:p>
    <w:p>
      <w:pPr>
        <w:pStyle w:val="8"/>
        <w:keepNext w:val="0"/>
        <w:keepLines w:val="0"/>
        <w:pageBreakBefore w:val="0"/>
        <w:widowControl/>
        <w:kinsoku/>
        <w:wordWrap/>
        <w:overflowPunct/>
        <w:topLinePunct w:val="0"/>
        <w:autoSpaceDE/>
        <w:autoSpaceDN/>
        <w:bidi w:val="0"/>
        <w:adjustRightInd/>
        <w:snapToGrid/>
        <w:spacing w:before="0" w:after="0"/>
        <w:textAlignment w:val="auto"/>
        <w:rPr>
          <w:rFonts w:hint="eastAsia"/>
          <w:color w:val="auto"/>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由建设单位提供的设备及材料价格（含运到承包人材料站）</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序号</w:t>
            </w:r>
          </w:p>
        </w:tc>
        <w:tc>
          <w:tcPr>
            <w:tcW w:w="4574"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设备、材料名称及规格</w:t>
            </w:r>
          </w:p>
        </w:tc>
        <w:tc>
          <w:tcPr>
            <w:tcW w:w="1272"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单位</w:t>
            </w:r>
          </w:p>
        </w:tc>
        <w:tc>
          <w:tcPr>
            <w:tcW w:w="1429"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单价（元）</w:t>
            </w:r>
          </w:p>
        </w:tc>
        <w:tc>
          <w:tcPr>
            <w:tcW w:w="1110"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一</w:t>
            </w:r>
          </w:p>
        </w:tc>
        <w:tc>
          <w:tcPr>
            <w:tcW w:w="4574" w:type="dxa"/>
            <w:noWrap w:val="0"/>
            <w:vAlign w:val="center"/>
          </w:tcPr>
          <w:p>
            <w:pPr>
              <w:pStyle w:val="2"/>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u w:val="single"/>
              </w:rPr>
              <w:t>110千伏桥兴扩建主变工程</w:t>
            </w:r>
            <w:r>
              <w:rPr>
                <w:rFonts w:hint="eastAsia" w:asciiTheme="minorEastAsia" w:hAnsiTheme="minorEastAsia" w:eastAsiaTheme="minorEastAsia" w:cstheme="minorEastAsia"/>
                <w:bCs/>
                <w:i w:val="0"/>
                <w:iCs w:val="0"/>
                <w:color w:val="auto"/>
                <w:spacing w:val="4"/>
                <w:sz w:val="24"/>
                <w:szCs w:val="24"/>
                <w:highlight w:val="none"/>
              </w:rPr>
              <w:t>由施工单位负责卸车及保管的电气一、二次设备总价</w:t>
            </w:r>
          </w:p>
        </w:tc>
        <w:tc>
          <w:tcPr>
            <w:tcW w:w="1272"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429" w:type="dxa"/>
            <w:noWrap w:val="0"/>
            <w:vAlign w:val="center"/>
          </w:tcPr>
          <w:p>
            <w:pPr>
              <w:pStyle w:val="2"/>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c>
          <w:tcPr>
            <w:tcW w:w="1110" w:type="dxa"/>
            <w:noWrap w:val="0"/>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p>
        </w:tc>
        <w:tc>
          <w:tcPr>
            <w:tcW w:w="4574" w:type="dxa"/>
            <w:noWrap w:val="0"/>
            <w:vAlign w:val="center"/>
          </w:tcPr>
          <w:p>
            <w:pPr>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i w:val="0"/>
                <w:iCs w:val="0"/>
                <w:color w:val="auto"/>
                <w:sz w:val="24"/>
                <w:szCs w:val="24"/>
                <w:highlight w:val="none"/>
              </w:rPr>
            </w:pPr>
            <w:r>
              <w:rPr>
                <w:rStyle w:val="22"/>
                <w:rFonts w:hint="eastAsia" w:asciiTheme="minorEastAsia" w:hAnsiTheme="minorEastAsia" w:eastAsiaTheme="minorEastAsia" w:cstheme="minorEastAsia"/>
                <w:b w:val="0"/>
                <w:bCs w:val="0"/>
                <w:color w:val="auto"/>
                <w:sz w:val="24"/>
                <w:szCs w:val="24"/>
                <w:highlight w:val="none"/>
                <w:u w:val="single"/>
                <w:lang w:val="en-US" w:eastAsia="zh-CN" w:bidi="ar-SA"/>
              </w:rPr>
              <w:t>本标段暂不提供，以最终施工图为准。</w:t>
            </w:r>
          </w:p>
        </w:tc>
        <w:tc>
          <w:tcPr>
            <w:tcW w:w="1272"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p>
        </w:tc>
        <w:tc>
          <w:tcPr>
            <w:tcW w:w="1429" w:type="dxa"/>
            <w:noWrap w:val="0"/>
            <w:vAlign w:val="center"/>
          </w:tcPr>
          <w:p>
            <w:pPr>
              <w:pStyle w:val="2"/>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c>
          <w:tcPr>
            <w:tcW w:w="1110" w:type="dxa"/>
            <w:noWrap w:val="0"/>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p>
        </w:tc>
        <w:tc>
          <w:tcPr>
            <w:tcW w:w="4574" w:type="dxa"/>
            <w:noWrap w:val="0"/>
            <w:vAlign w:val="center"/>
          </w:tcPr>
          <w:p>
            <w:pPr>
              <w:pStyle w:val="2"/>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rPr>
            </w:pPr>
          </w:p>
        </w:tc>
        <w:tc>
          <w:tcPr>
            <w:tcW w:w="1272" w:type="dxa"/>
            <w:noWrap w:val="0"/>
            <w:vAlign w:val="center"/>
          </w:tcPr>
          <w:p>
            <w:pPr>
              <w:pStyle w:val="2"/>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p>
        </w:tc>
        <w:tc>
          <w:tcPr>
            <w:tcW w:w="1429" w:type="dxa"/>
            <w:noWrap w:val="0"/>
            <w:vAlign w:val="center"/>
          </w:tcPr>
          <w:p>
            <w:pPr>
              <w:pStyle w:val="2"/>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c>
          <w:tcPr>
            <w:tcW w:w="1110" w:type="dxa"/>
            <w:noWrap w:val="0"/>
            <w:vAlign w:val="center"/>
          </w:tcPr>
          <w:p>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pPr>
              <w:pStyle w:val="2"/>
              <w:keepNext w:val="0"/>
              <w:keepLines w:val="0"/>
              <w:suppressLineNumbers w:val="0"/>
              <w:spacing w:before="0" w:beforeAutospacing="0" w:after="0" w:afterAutospacing="0"/>
              <w:ind w:left="0" w:right="0" w:firstLine="480" w:firstLineChars="200"/>
              <w:rPr>
                <w:rFonts w:hint="eastAsia" w:asciiTheme="minorEastAsia" w:hAnsiTheme="minorEastAsia" w:eastAsiaTheme="minorEastAsia" w:cstheme="minorEastAsia"/>
                <w:bCs/>
                <w:i w:val="0"/>
                <w:iCs w:val="0"/>
                <w:color w:val="auto"/>
                <w:sz w:val="24"/>
                <w:szCs w:val="24"/>
                <w:highlight w:val="none"/>
              </w:rPr>
            </w:pPr>
            <w:r>
              <w:rPr>
                <w:rFonts w:hint="eastAsia" w:asciiTheme="minorEastAsia" w:hAnsiTheme="minorEastAsia" w:eastAsiaTheme="minorEastAsia" w:cstheme="minorEastAsia"/>
                <w:bCs/>
                <w:color w:val="auto"/>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color w:val="auto"/>
                <w:sz w:val="24"/>
                <w:szCs w:val="24"/>
                <w:highlight w:val="none"/>
                <w:lang w:val="en-US" w:eastAsia="zh-CN"/>
              </w:rPr>
              <w:t>8</w:t>
            </w:r>
            <w:r>
              <w:rPr>
                <w:rFonts w:hint="eastAsia" w:asciiTheme="minorEastAsia" w:hAnsiTheme="minorEastAsia" w:eastAsiaTheme="minorEastAsia" w:cstheme="minorEastAsia"/>
                <w:bCs/>
                <w:color w:val="auto"/>
                <w:sz w:val="24"/>
                <w:szCs w:val="24"/>
                <w:highlight w:val="none"/>
              </w:rPr>
              <w:t xml:space="preserve"> 年版）》执行，不足部分可参考使用《电力建设工程装置性材料综合预算价格（201</w:t>
            </w:r>
            <w:r>
              <w:rPr>
                <w:rFonts w:hint="eastAsia" w:asciiTheme="minorEastAsia" w:hAnsiTheme="minorEastAsia" w:eastAsiaTheme="minorEastAsia" w:cstheme="minorEastAsia"/>
                <w:bCs/>
                <w:color w:val="auto"/>
                <w:sz w:val="24"/>
                <w:szCs w:val="24"/>
                <w:highlight w:val="none"/>
                <w:lang w:val="en-US" w:eastAsia="zh-CN"/>
              </w:rPr>
              <w:t>8</w:t>
            </w:r>
            <w:r>
              <w:rPr>
                <w:rFonts w:hint="eastAsia" w:asciiTheme="minorEastAsia" w:hAnsiTheme="minorEastAsia" w:eastAsiaTheme="minorEastAsia" w:cstheme="minorEastAsia"/>
                <w:bCs/>
                <w:color w:val="auto"/>
                <w:sz w:val="24"/>
                <w:szCs w:val="24"/>
                <w:highlight w:val="none"/>
              </w:rPr>
              <w:t xml:space="preserve"> 年版）》</w:t>
            </w:r>
            <w:r>
              <w:rPr>
                <w:rFonts w:hint="eastAsia" w:asciiTheme="minorEastAsia" w:hAnsiTheme="minorEastAsia" w:eastAsiaTheme="minorEastAsia" w:cstheme="minorEastAsia"/>
                <w:bCs/>
                <w:i w:val="0"/>
                <w:iCs w:val="0"/>
                <w:color w:val="auto"/>
                <w:sz w:val="24"/>
                <w:szCs w:val="24"/>
                <w:highlight w:val="none"/>
              </w:rPr>
              <w:t>。</w:t>
            </w:r>
          </w:p>
        </w:tc>
      </w:tr>
    </w:tbl>
    <w:p>
      <w:pPr>
        <w:pStyle w:val="2"/>
        <w:ind w:firstLine="480" w:firstLineChars="200"/>
        <w:jc w:val="left"/>
        <w:rPr>
          <w:rFonts w:hint="default" w:asciiTheme="minorEastAsia" w:hAnsiTheme="minorEastAsia" w:eastAsiaTheme="minorEastAsia" w:cstheme="minorEastAsia"/>
          <w:b w:val="0"/>
          <w:bCs w:val="0"/>
          <w:i w:val="0"/>
          <w:iCs w:val="0"/>
          <w:color w:val="auto"/>
          <w:sz w:val="24"/>
          <w:szCs w:val="24"/>
          <w:highlight w:val="none"/>
          <w:lang w:val="en-US" w:eastAsia="zh-CN"/>
        </w:rPr>
      </w:pPr>
    </w:p>
    <w:p>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pPr>
        <w:autoSpaceDE w:val="0"/>
        <w:autoSpaceDN w:val="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特殊调试项目明细表</w:t>
      </w:r>
    </w:p>
    <w:tbl>
      <w:tblPr>
        <w:tblStyle w:val="15"/>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6170"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特殊调试项目</w:t>
            </w:r>
          </w:p>
        </w:tc>
        <w:tc>
          <w:tcPr>
            <w:tcW w:w="2420"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2"/>
                <w:szCs w:val="22"/>
                <w:highlight w:val="none"/>
              </w:rPr>
            </w:pPr>
          </w:p>
        </w:tc>
        <w:tc>
          <w:tcPr>
            <w:tcW w:w="61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22"/>
                <w:szCs w:val="22"/>
                <w:highlight w:val="none"/>
              </w:rPr>
            </w:pPr>
            <w:r>
              <w:rPr>
                <w:rStyle w:val="22"/>
                <w:rFonts w:hint="eastAsia" w:asciiTheme="minorEastAsia" w:hAnsiTheme="minorEastAsia" w:eastAsiaTheme="minorEastAsia" w:cstheme="minorEastAsia"/>
                <w:b w:val="0"/>
                <w:bCs w:val="0"/>
                <w:color w:val="auto"/>
                <w:sz w:val="24"/>
                <w:szCs w:val="24"/>
                <w:highlight w:val="none"/>
                <w:u w:val="single"/>
                <w:lang w:val="en-US" w:eastAsia="zh-CN" w:bidi="ar-SA"/>
              </w:rPr>
              <w:t>本标段暂不提供，以最终施工图为准。</w:t>
            </w:r>
          </w:p>
        </w:tc>
        <w:tc>
          <w:tcPr>
            <w:tcW w:w="2420"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auto"/>
                <w:sz w:val="22"/>
                <w:szCs w:val="22"/>
                <w:highlight w:val="none"/>
              </w:rPr>
            </w:pPr>
          </w:p>
        </w:tc>
        <w:tc>
          <w:tcPr>
            <w:tcW w:w="6170" w:type="dxa"/>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sz w:val="22"/>
                <w:szCs w:val="22"/>
                <w:highlight w:val="none"/>
              </w:rPr>
            </w:pPr>
          </w:p>
        </w:tc>
        <w:tc>
          <w:tcPr>
            <w:tcW w:w="2420"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eastAsia="宋体" w:cs="宋体"/>
                <w:color w:val="auto"/>
                <w:sz w:val="22"/>
                <w:szCs w:val="22"/>
                <w:highlight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color w:val="auto"/>
          <w:sz w:val="24"/>
          <w:szCs w:val="24"/>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七、全面开展标准建设清单</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rPr>
        <w:tc>
          <w:tcPr>
            <w:tcW w:w="713"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序号</w:t>
            </w:r>
          </w:p>
        </w:tc>
        <w:tc>
          <w:tcPr>
            <w:tcW w:w="3223"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标准点</w:t>
            </w:r>
          </w:p>
        </w:tc>
        <w:tc>
          <w:tcPr>
            <w:tcW w:w="2268"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部位</w:t>
            </w: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作法</w:t>
            </w: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宋体" w:hAnsi="宋体" w:eastAsia="宋体"/>
                <w:color w:val="auto"/>
                <w:szCs w:val="21"/>
                <w:highlight w:val="none"/>
                <w:lang w:val="en-US" w:eastAsia="zh-CN"/>
              </w:rPr>
            </w:pPr>
          </w:p>
        </w:tc>
        <w:tc>
          <w:tcPr>
            <w:tcW w:w="3223" w:type="dxa"/>
            <w:noWrap w:val="0"/>
            <w:vAlign w:val="center"/>
          </w:tcPr>
          <w:p>
            <w:pPr>
              <w:keepNext w:val="0"/>
              <w:keepLines w:val="0"/>
              <w:suppressLineNumbers w:val="0"/>
              <w:autoSpaceDE w:val="0"/>
              <w:autoSpaceDN w:val="0"/>
              <w:spacing w:before="0" w:beforeAutospacing="0" w:after="0" w:afterAutospacing="0"/>
              <w:ind w:left="0" w:leftChars="0" w:right="0" w:rightChars="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本标段不涉及</w:t>
            </w:r>
          </w:p>
        </w:tc>
        <w:tc>
          <w:tcPr>
            <w:tcW w:w="2268" w:type="dxa"/>
            <w:noWrap w:val="0"/>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p>
      <w:pPr>
        <w:pStyle w:val="4"/>
        <w:keepNext w:val="0"/>
        <w:keepLines w:val="0"/>
        <w:pageBreakBefore w:val="0"/>
        <w:numPr>
          <w:ilvl w:val="0"/>
          <w:numId w:val="0"/>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八、施工力量及机具配置要求</w:t>
      </w:r>
    </w:p>
    <w:tbl>
      <w:tblPr>
        <w:tblStyle w:val="15"/>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5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491"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auto"/>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（一）施工力量配置要求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（1）项目管理人员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兼项与否</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hint="default"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名副经理，专门负责土建工程或线路工程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hint="default"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名副总工或技术员，专门负责土建工程或线路工程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同一地区可适度兼项、可项目内兼项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（2）班组及技术工人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本项目自有人员数量要求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工种配置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（1）变电站工程（按项目配置，且不含试验）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①电气安装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w:t>
            </w:r>
            <w:r>
              <w:rPr>
                <w:rFonts w:hint="eastAsia" w:ascii="宋体" w:hAnsi="宋体" w:eastAsia="宋体" w:cs="宋体"/>
                <w:i w:val="0"/>
                <w:color w:val="auto"/>
                <w:kern w:val="0"/>
                <w:sz w:val="24"/>
                <w:szCs w:val="24"/>
                <w:highlight w:val="none"/>
                <w:u w:val="none"/>
                <w:vertAlign w:val="subscript"/>
                <w:lang w:val="en-US" w:eastAsia="zh-CN" w:bidi="ar"/>
              </w:rPr>
              <w:t>6</w:t>
            </w:r>
            <w:r>
              <w:rPr>
                <w:rFonts w:hint="eastAsia" w:ascii="宋体" w:hAnsi="宋体" w:eastAsia="宋体" w:cs="宋体"/>
                <w:i w:val="0"/>
                <w:color w:val="auto"/>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②土建（不含桩基、隧道）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kern w:val="2"/>
                <w:sz w:val="24"/>
                <w:szCs w:val="24"/>
                <w:highlight w:val="none"/>
                <w:u w:val="none"/>
                <w:lang w:val="en-US" w:eastAsia="zh-CN" w:bidi="ar-SA"/>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（2）线路工程（按班组配置）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①电缆敷设及附件安装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bl>
    <w:p>
      <w:pPr>
        <w:pStyle w:val="7"/>
        <w:rPr>
          <w:rFonts w:hint="eastAsia" w:asciiTheme="minorEastAsia" w:hAnsiTheme="minorEastAsia" w:eastAsiaTheme="minorEastAsia" w:cstheme="minorEastAsia"/>
          <w:color w:val="auto"/>
          <w:sz w:val="24"/>
          <w:szCs w:val="24"/>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Theme="minorEastAsia" w:hAnsiTheme="minorEastAsia" w:eastAsiaTheme="minorEastAsia" w:cstheme="minorEastAsia"/>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CD7849"/>
    <w:multiLevelType w:val="singleLevel"/>
    <w:tmpl w:val="D6CD7849"/>
    <w:lvl w:ilvl="0" w:tentative="0">
      <w:start w:val="1"/>
      <w:numFmt w:val="decimal"/>
      <w:suff w:val="nothing"/>
      <w:lvlText w:val="（%1）"/>
      <w:lvlJc w:val="left"/>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0D93AEAC"/>
    <w:multiLevelType w:val="singleLevel"/>
    <w:tmpl w:val="0D93AEAC"/>
    <w:lvl w:ilvl="0" w:tentative="0">
      <w:start w:val="2"/>
      <w:numFmt w:val="chineseCounting"/>
      <w:suff w:val="nothing"/>
      <w:lvlText w:val="%1、"/>
      <w:lvlJc w:val="left"/>
      <w:rPr>
        <w:rFonts w:hint="eastAsia"/>
      </w:rPr>
    </w:lvl>
  </w:abstractNum>
  <w:abstractNum w:abstractNumId="4">
    <w:nsid w:val="1F2B6E8A"/>
    <w:multiLevelType w:val="singleLevel"/>
    <w:tmpl w:val="1F2B6E8A"/>
    <w:lvl w:ilvl="0" w:tentative="0">
      <w:start w:val="1"/>
      <w:numFmt w:val="decimal"/>
      <w:lvlText w:val="%1."/>
      <w:lvlJc w:val="left"/>
      <w:pPr>
        <w:tabs>
          <w:tab w:val="left" w:pos="312"/>
        </w:tabs>
      </w:p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U3ZWVkZmZiYTllNDhhYmE5NGExMzJjNzQ2NzQifQ=="/>
  </w:docVars>
  <w:rsids>
    <w:rsidRoot w:val="00172A27"/>
    <w:rsid w:val="00256960"/>
    <w:rsid w:val="005F037B"/>
    <w:rsid w:val="006C4898"/>
    <w:rsid w:val="007402CA"/>
    <w:rsid w:val="009E5347"/>
    <w:rsid w:val="00A840A3"/>
    <w:rsid w:val="00AA3CEC"/>
    <w:rsid w:val="00DC5E6F"/>
    <w:rsid w:val="016320EC"/>
    <w:rsid w:val="0179546C"/>
    <w:rsid w:val="01B16366"/>
    <w:rsid w:val="01BF5575"/>
    <w:rsid w:val="01D76D14"/>
    <w:rsid w:val="01EA0118"/>
    <w:rsid w:val="02184C85"/>
    <w:rsid w:val="02630AF6"/>
    <w:rsid w:val="028E46F9"/>
    <w:rsid w:val="02C13975"/>
    <w:rsid w:val="031F252E"/>
    <w:rsid w:val="036916A9"/>
    <w:rsid w:val="03870314"/>
    <w:rsid w:val="04071455"/>
    <w:rsid w:val="0410030A"/>
    <w:rsid w:val="042F62B6"/>
    <w:rsid w:val="043553B6"/>
    <w:rsid w:val="045B0C31"/>
    <w:rsid w:val="045D4134"/>
    <w:rsid w:val="04A24F71"/>
    <w:rsid w:val="04E70084"/>
    <w:rsid w:val="05060DE7"/>
    <w:rsid w:val="05412745"/>
    <w:rsid w:val="055830D2"/>
    <w:rsid w:val="057912E3"/>
    <w:rsid w:val="059B4A47"/>
    <w:rsid w:val="05D62BF0"/>
    <w:rsid w:val="05DB04A3"/>
    <w:rsid w:val="05FF12E2"/>
    <w:rsid w:val="06184256"/>
    <w:rsid w:val="061A6A13"/>
    <w:rsid w:val="064E336B"/>
    <w:rsid w:val="065D35AE"/>
    <w:rsid w:val="06673BC1"/>
    <w:rsid w:val="06704E8E"/>
    <w:rsid w:val="06900B3E"/>
    <w:rsid w:val="06930D7E"/>
    <w:rsid w:val="06C53C48"/>
    <w:rsid w:val="06CC603E"/>
    <w:rsid w:val="06CD0147"/>
    <w:rsid w:val="06D373CC"/>
    <w:rsid w:val="06D76DC6"/>
    <w:rsid w:val="071311AA"/>
    <w:rsid w:val="073E0396"/>
    <w:rsid w:val="075E313A"/>
    <w:rsid w:val="076F3B3B"/>
    <w:rsid w:val="078864D5"/>
    <w:rsid w:val="07BE7E05"/>
    <w:rsid w:val="07F40498"/>
    <w:rsid w:val="083A658E"/>
    <w:rsid w:val="087D1CE6"/>
    <w:rsid w:val="088A4403"/>
    <w:rsid w:val="091361A6"/>
    <w:rsid w:val="09381253"/>
    <w:rsid w:val="096917A5"/>
    <w:rsid w:val="097053A7"/>
    <w:rsid w:val="0A575703"/>
    <w:rsid w:val="0A791B72"/>
    <w:rsid w:val="0AB34339"/>
    <w:rsid w:val="0AFF4C18"/>
    <w:rsid w:val="0B04109F"/>
    <w:rsid w:val="0B100715"/>
    <w:rsid w:val="0B310B66"/>
    <w:rsid w:val="0B5F56D3"/>
    <w:rsid w:val="0B674BE6"/>
    <w:rsid w:val="0BC07002"/>
    <w:rsid w:val="0BE77DB6"/>
    <w:rsid w:val="0BFA64C4"/>
    <w:rsid w:val="0BFE6C9A"/>
    <w:rsid w:val="0C094CFD"/>
    <w:rsid w:val="0C3D20A1"/>
    <w:rsid w:val="0C7927C4"/>
    <w:rsid w:val="0C8F09F2"/>
    <w:rsid w:val="0CA23AC9"/>
    <w:rsid w:val="0CB63A18"/>
    <w:rsid w:val="0CB832EC"/>
    <w:rsid w:val="0D433970"/>
    <w:rsid w:val="0D5F672A"/>
    <w:rsid w:val="0D6B4803"/>
    <w:rsid w:val="0D6E5C96"/>
    <w:rsid w:val="0DA92822"/>
    <w:rsid w:val="0E2F4C02"/>
    <w:rsid w:val="0E762BA4"/>
    <w:rsid w:val="0E9C2E85"/>
    <w:rsid w:val="0F81532F"/>
    <w:rsid w:val="0FE60171"/>
    <w:rsid w:val="0FFB7608"/>
    <w:rsid w:val="10393BAA"/>
    <w:rsid w:val="105B0B5E"/>
    <w:rsid w:val="107144D2"/>
    <w:rsid w:val="10C049A5"/>
    <w:rsid w:val="10CA5CE4"/>
    <w:rsid w:val="10EC17B7"/>
    <w:rsid w:val="11584CD9"/>
    <w:rsid w:val="116419AD"/>
    <w:rsid w:val="116D7820"/>
    <w:rsid w:val="11A256FB"/>
    <w:rsid w:val="11A622AD"/>
    <w:rsid w:val="11BF6ECB"/>
    <w:rsid w:val="11DF6CFE"/>
    <w:rsid w:val="11EC0FF2"/>
    <w:rsid w:val="12055B2C"/>
    <w:rsid w:val="12A771A7"/>
    <w:rsid w:val="12BF484F"/>
    <w:rsid w:val="12DE266C"/>
    <w:rsid w:val="12F31522"/>
    <w:rsid w:val="13030915"/>
    <w:rsid w:val="13345697"/>
    <w:rsid w:val="13383335"/>
    <w:rsid w:val="133914C5"/>
    <w:rsid w:val="135401EE"/>
    <w:rsid w:val="14440D4B"/>
    <w:rsid w:val="147B03A7"/>
    <w:rsid w:val="14BD2115"/>
    <w:rsid w:val="15056A61"/>
    <w:rsid w:val="151627A4"/>
    <w:rsid w:val="157306F8"/>
    <w:rsid w:val="15E9057E"/>
    <w:rsid w:val="15EA5FFF"/>
    <w:rsid w:val="164F7F55"/>
    <w:rsid w:val="1670755D"/>
    <w:rsid w:val="16907A92"/>
    <w:rsid w:val="16A448E1"/>
    <w:rsid w:val="16C90EF1"/>
    <w:rsid w:val="16D659BE"/>
    <w:rsid w:val="17817777"/>
    <w:rsid w:val="17C84600"/>
    <w:rsid w:val="18146D5B"/>
    <w:rsid w:val="181F6E63"/>
    <w:rsid w:val="182B7833"/>
    <w:rsid w:val="18633210"/>
    <w:rsid w:val="18640C92"/>
    <w:rsid w:val="18761375"/>
    <w:rsid w:val="18806F83"/>
    <w:rsid w:val="18945B0A"/>
    <w:rsid w:val="18E57496"/>
    <w:rsid w:val="1905081B"/>
    <w:rsid w:val="192A28A3"/>
    <w:rsid w:val="19355BE3"/>
    <w:rsid w:val="197A1200"/>
    <w:rsid w:val="19EC2827"/>
    <w:rsid w:val="1A0738C1"/>
    <w:rsid w:val="1A314705"/>
    <w:rsid w:val="1A386933"/>
    <w:rsid w:val="1A5453EA"/>
    <w:rsid w:val="1A6831E6"/>
    <w:rsid w:val="1A8769F4"/>
    <w:rsid w:val="1A9B3C7D"/>
    <w:rsid w:val="1AE2232B"/>
    <w:rsid w:val="1B4A3D40"/>
    <w:rsid w:val="1B663F82"/>
    <w:rsid w:val="1BAB2022"/>
    <w:rsid w:val="1BAD2CF8"/>
    <w:rsid w:val="1C2C33AF"/>
    <w:rsid w:val="1C2D4629"/>
    <w:rsid w:val="1C43636C"/>
    <w:rsid w:val="1C892017"/>
    <w:rsid w:val="1CA4563B"/>
    <w:rsid w:val="1D300C7D"/>
    <w:rsid w:val="1D556936"/>
    <w:rsid w:val="1DA21EAE"/>
    <w:rsid w:val="1DBA25A5"/>
    <w:rsid w:val="1DBD26D8"/>
    <w:rsid w:val="1E193E07"/>
    <w:rsid w:val="1E2D2E8D"/>
    <w:rsid w:val="1E491709"/>
    <w:rsid w:val="1E506913"/>
    <w:rsid w:val="1F0C41FD"/>
    <w:rsid w:val="1F3233D2"/>
    <w:rsid w:val="1F645556"/>
    <w:rsid w:val="1F653C49"/>
    <w:rsid w:val="1F7F413E"/>
    <w:rsid w:val="1F8345C2"/>
    <w:rsid w:val="1F87021B"/>
    <w:rsid w:val="1F9951FF"/>
    <w:rsid w:val="20251BCD"/>
    <w:rsid w:val="20735046"/>
    <w:rsid w:val="207B2B57"/>
    <w:rsid w:val="20EF1296"/>
    <w:rsid w:val="20EF46A0"/>
    <w:rsid w:val="212826F4"/>
    <w:rsid w:val="214B1110"/>
    <w:rsid w:val="216F4D5B"/>
    <w:rsid w:val="21AA77CB"/>
    <w:rsid w:val="22600256"/>
    <w:rsid w:val="22BB36DF"/>
    <w:rsid w:val="230046A5"/>
    <w:rsid w:val="23A63D8D"/>
    <w:rsid w:val="23B738BA"/>
    <w:rsid w:val="23C245F9"/>
    <w:rsid w:val="23E7405F"/>
    <w:rsid w:val="240B5CB0"/>
    <w:rsid w:val="24593831"/>
    <w:rsid w:val="24F159DD"/>
    <w:rsid w:val="24F737D8"/>
    <w:rsid w:val="253D03DB"/>
    <w:rsid w:val="25AE752B"/>
    <w:rsid w:val="25B75A62"/>
    <w:rsid w:val="25EA2DD8"/>
    <w:rsid w:val="26061115"/>
    <w:rsid w:val="260A4EB7"/>
    <w:rsid w:val="26192BF6"/>
    <w:rsid w:val="26321F0A"/>
    <w:rsid w:val="268550BF"/>
    <w:rsid w:val="26DA7C07"/>
    <w:rsid w:val="26DB4AA6"/>
    <w:rsid w:val="26E87362"/>
    <w:rsid w:val="271E248E"/>
    <w:rsid w:val="27771881"/>
    <w:rsid w:val="277C4D83"/>
    <w:rsid w:val="27BF5A1F"/>
    <w:rsid w:val="27E92A9C"/>
    <w:rsid w:val="28326750"/>
    <w:rsid w:val="283C68B6"/>
    <w:rsid w:val="2844793D"/>
    <w:rsid w:val="2879797C"/>
    <w:rsid w:val="28921DC9"/>
    <w:rsid w:val="28A15125"/>
    <w:rsid w:val="28C334D0"/>
    <w:rsid w:val="29017971"/>
    <w:rsid w:val="296B4D80"/>
    <w:rsid w:val="29934A6D"/>
    <w:rsid w:val="29A924E3"/>
    <w:rsid w:val="29AC5B2F"/>
    <w:rsid w:val="29B92A03"/>
    <w:rsid w:val="2A3B6454"/>
    <w:rsid w:val="2A4346E5"/>
    <w:rsid w:val="2A44220C"/>
    <w:rsid w:val="2A6B1546"/>
    <w:rsid w:val="2AE952F3"/>
    <w:rsid w:val="2B42499D"/>
    <w:rsid w:val="2BB824C9"/>
    <w:rsid w:val="2BBB474F"/>
    <w:rsid w:val="2BD478A0"/>
    <w:rsid w:val="2C0350BA"/>
    <w:rsid w:val="2CA17C08"/>
    <w:rsid w:val="2CAA2A2D"/>
    <w:rsid w:val="2D645A08"/>
    <w:rsid w:val="2D71156A"/>
    <w:rsid w:val="2D9B00E0"/>
    <w:rsid w:val="2DE27D71"/>
    <w:rsid w:val="2E0F151E"/>
    <w:rsid w:val="2E1E4E36"/>
    <w:rsid w:val="2E6115DE"/>
    <w:rsid w:val="2E814EDA"/>
    <w:rsid w:val="2E842E5B"/>
    <w:rsid w:val="2E8B21B7"/>
    <w:rsid w:val="2EE95130"/>
    <w:rsid w:val="2F0F2DE8"/>
    <w:rsid w:val="2FF65FF8"/>
    <w:rsid w:val="300D195C"/>
    <w:rsid w:val="30173C65"/>
    <w:rsid w:val="305B2F34"/>
    <w:rsid w:val="30BF37B5"/>
    <w:rsid w:val="31197F4E"/>
    <w:rsid w:val="313C2673"/>
    <w:rsid w:val="317258B0"/>
    <w:rsid w:val="31745184"/>
    <w:rsid w:val="32005D96"/>
    <w:rsid w:val="321759BB"/>
    <w:rsid w:val="323E11F7"/>
    <w:rsid w:val="32931F82"/>
    <w:rsid w:val="32AA7B11"/>
    <w:rsid w:val="32C91500"/>
    <w:rsid w:val="331C24E3"/>
    <w:rsid w:val="339A10EE"/>
    <w:rsid w:val="33A17D62"/>
    <w:rsid w:val="33B200AF"/>
    <w:rsid w:val="33E61BE2"/>
    <w:rsid w:val="33FF10DF"/>
    <w:rsid w:val="3402116D"/>
    <w:rsid w:val="34337579"/>
    <w:rsid w:val="34BC41C0"/>
    <w:rsid w:val="34F73E5B"/>
    <w:rsid w:val="352D6C76"/>
    <w:rsid w:val="355A28E3"/>
    <w:rsid w:val="35977EFB"/>
    <w:rsid w:val="35A14B2F"/>
    <w:rsid w:val="35DB7EC8"/>
    <w:rsid w:val="361736AD"/>
    <w:rsid w:val="36657792"/>
    <w:rsid w:val="36835E6A"/>
    <w:rsid w:val="36990DDF"/>
    <w:rsid w:val="36A71B58"/>
    <w:rsid w:val="36B260C9"/>
    <w:rsid w:val="36D200CF"/>
    <w:rsid w:val="36D52B69"/>
    <w:rsid w:val="36E66AE3"/>
    <w:rsid w:val="36E96615"/>
    <w:rsid w:val="37117919"/>
    <w:rsid w:val="379951F8"/>
    <w:rsid w:val="37A038AA"/>
    <w:rsid w:val="37FE39FA"/>
    <w:rsid w:val="383374BF"/>
    <w:rsid w:val="38382DC3"/>
    <w:rsid w:val="38793D95"/>
    <w:rsid w:val="38BE0545"/>
    <w:rsid w:val="38DE045C"/>
    <w:rsid w:val="38DE2EDC"/>
    <w:rsid w:val="38EC6F08"/>
    <w:rsid w:val="392269F9"/>
    <w:rsid w:val="397D4DF2"/>
    <w:rsid w:val="39895872"/>
    <w:rsid w:val="398F3BBD"/>
    <w:rsid w:val="39F75EA6"/>
    <w:rsid w:val="3A06027D"/>
    <w:rsid w:val="3A6B5E65"/>
    <w:rsid w:val="3A914FF9"/>
    <w:rsid w:val="3ACC7DDF"/>
    <w:rsid w:val="3B9823B7"/>
    <w:rsid w:val="3BE97038"/>
    <w:rsid w:val="3BF24D81"/>
    <w:rsid w:val="3BFE7BEA"/>
    <w:rsid w:val="3C4A35F1"/>
    <w:rsid w:val="3CA23939"/>
    <w:rsid w:val="3CB7686D"/>
    <w:rsid w:val="3CEB6517"/>
    <w:rsid w:val="3D232155"/>
    <w:rsid w:val="3D345D51"/>
    <w:rsid w:val="3D424389"/>
    <w:rsid w:val="3DE339CC"/>
    <w:rsid w:val="3E807C72"/>
    <w:rsid w:val="3E8804C1"/>
    <w:rsid w:val="3EB709F3"/>
    <w:rsid w:val="3EC5358C"/>
    <w:rsid w:val="3EC84E8D"/>
    <w:rsid w:val="3F0D3980"/>
    <w:rsid w:val="3F3C4BA5"/>
    <w:rsid w:val="3F542A99"/>
    <w:rsid w:val="3F620D12"/>
    <w:rsid w:val="3F815EBD"/>
    <w:rsid w:val="3FA45CC9"/>
    <w:rsid w:val="3FAB4D2B"/>
    <w:rsid w:val="405C270D"/>
    <w:rsid w:val="40D53766"/>
    <w:rsid w:val="413C33B5"/>
    <w:rsid w:val="41960106"/>
    <w:rsid w:val="41E225DE"/>
    <w:rsid w:val="41F83BB0"/>
    <w:rsid w:val="41F92171"/>
    <w:rsid w:val="420E6F2F"/>
    <w:rsid w:val="421012C3"/>
    <w:rsid w:val="42134546"/>
    <w:rsid w:val="429C7054"/>
    <w:rsid w:val="42E63A08"/>
    <w:rsid w:val="43104E14"/>
    <w:rsid w:val="43CD51C7"/>
    <w:rsid w:val="43E154A7"/>
    <w:rsid w:val="43E63B73"/>
    <w:rsid w:val="43E94AF8"/>
    <w:rsid w:val="44122917"/>
    <w:rsid w:val="441B1DD7"/>
    <w:rsid w:val="44596337"/>
    <w:rsid w:val="445A645C"/>
    <w:rsid w:val="44724F6A"/>
    <w:rsid w:val="448004EE"/>
    <w:rsid w:val="449230CD"/>
    <w:rsid w:val="44982260"/>
    <w:rsid w:val="449C671A"/>
    <w:rsid w:val="44BA339E"/>
    <w:rsid w:val="44C1472D"/>
    <w:rsid w:val="44D414C9"/>
    <w:rsid w:val="44EC0EA2"/>
    <w:rsid w:val="45244CBC"/>
    <w:rsid w:val="45682DFA"/>
    <w:rsid w:val="458F71DE"/>
    <w:rsid w:val="45E66B3C"/>
    <w:rsid w:val="46472D5E"/>
    <w:rsid w:val="46585B76"/>
    <w:rsid w:val="469204CD"/>
    <w:rsid w:val="46965745"/>
    <w:rsid w:val="4797618A"/>
    <w:rsid w:val="479821CF"/>
    <w:rsid w:val="482E527D"/>
    <w:rsid w:val="487813F3"/>
    <w:rsid w:val="487E46E3"/>
    <w:rsid w:val="488B752C"/>
    <w:rsid w:val="489B4576"/>
    <w:rsid w:val="48D662CD"/>
    <w:rsid w:val="49132FA8"/>
    <w:rsid w:val="492E65BA"/>
    <w:rsid w:val="4950573F"/>
    <w:rsid w:val="496A657E"/>
    <w:rsid w:val="49843C09"/>
    <w:rsid w:val="49C84218"/>
    <w:rsid w:val="49F509D5"/>
    <w:rsid w:val="49FE4938"/>
    <w:rsid w:val="4A1B4023"/>
    <w:rsid w:val="4A4D27E4"/>
    <w:rsid w:val="4A6C05AA"/>
    <w:rsid w:val="4A9621B8"/>
    <w:rsid w:val="4ACB2C9C"/>
    <w:rsid w:val="4B1E6FDA"/>
    <w:rsid w:val="4B3A1BDA"/>
    <w:rsid w:val="4BB153BE"/>
    <w:rsid w:val="4BDF36EB"/>
    <w:rsid w:val="4BF61160"/>
    <w:rsid w:val="4BF83760"/>
    <w:rsid w:val="4C667968"/>
    <w:rsid w:val="4C8349B8"/>
    <w:rsid w:val="4C9A533B"/>
    <w:rsid w:val="4CD961B5"/>
    <w:rsid w:val="4D4E28D6"/>
    <w:rsid w:val="4D85403F"/>
    <w:rsid w:val="4DAE504E"/>
    <w:rsid w:val="4E514A0D"/>
    <w:rsid w:val="4E916E8C"/>
    <w:rsid w:val="4EB26E94"/>
    <w:rsid w:val="4EC201C3"/>
    <w:rsid w:val="4EC6790A"/>
    <w:rsid w:val="4F3B50DC"/>
    <w:rsid w:val="4F786330"/>
    <w:rsid w:val="4F897F8C"/>
    <w:rsid w:val="5003038D"/>
    <w:rsid w:val="503A045B"/>
    <w:rsid w:val="50F61D5F"/>
    <w:rsid w:val="514529DB"/>
    <w:rsid w:val="51956D25"/>
    <w:rsid w:val="51B737ED"/>
    <w:rsid w:val="51C130AF"/>
    <w:rsid w:val="521D2144"/>
    <w:rsid w:val="523876B1"/>
    <w:rsid w:val="523A0133"/>
    <w:rsid w:val="525C7843"/>
    <w:rsid w:val="52C51658"/>
    <w:rsid w:val="53033D46"/>
    <w:rsid w:val="5350681E"/>
    <w:rsid w:val="535B75CD"/>
    <w:rsid w:val="537961D3"/>
    <w:rsid w:val="53BE27F4"/>
    <w:rsid w:val="53D77306"/>
    <w:rsid w:val="53E967AE"/>
    <w:rsid w:val="541A4729"/>
    <w:rsid w:val="54240834"/>
    <w:rsid w:val="54575F26"/>
    <w:rsid w:val="55560EC1"/>
    <w:rsid w:val="55627866"/>
    <w:rsid w:val="55760C1C"/>
    <w:rsid w:val="557D4F00"/>
    <w:rsid w:val="558F1CDD"/>
    <w:rsid w:val="55AF05D2"/>
    <w:rsid w:val="55BF00BC"/>
    <w:rsid w:val="55C3156A"/>
    <w:rsid w:val="55D944E9"/>
    <w:rsid w:val="56021E2A"/>
    <w:rsid w:val="56186177"/>
    <w:rsid w:val="56245862"/>
    <w:rsid w:val="56AE57C6"/>
    <w:rsid w:val="56C43C09"/>
    <w:rsid w:val="56CE01F7"/>
    <w:rsid w:val="57021A30"/>
    <w:rsid w:val="570D1A54"/>
    <w:rsid w:val="575C2093"/>
    <w:rsid w:val="579E08FE"/>
    <w:rsid w:val="57AF7567"/>
    <w:rsid w:val="57B31DB2"/>
    <w:rsid w:val="57B32992"/>
    <w:rsid w:val="58264CCA"/>
    <w:rsid w:val="588E0972"/>
    <w:rsid w:val="589046EA"/>
    <w:rsid w:val="58913EC5"/>
    <w:rsid w:val="58C2612B"/>
    <w:rsid w:val="58EF7EF3"/>
    <w:rsid w:val="58FE78A6"/>
    <w:rsid w:val="59070E1D"/>
    <w:rsid w:val="593432C8"/>
    <w:rsid w:val="59861649"/>
    <w:rsid w:val="598A13F7"/>
    <w:rsid w:val="59CE2DE5"/>
    <w:rsid w:val="59CF1242"/>
    <w:rsid w:val="59FD1DCA"/>
    <w:rsid w:val="5A386DE8"/>
    <w:rsid w:val="5A3E471D"/>
    <w:rsid w:val="5A8A51F3"/>
    <w:rsid w:val="5AC323F8"/>
    <w:rsid w:val="5AE41136"/>
    <w:rsid w:val="5B0320E2"/>
    <w:rsid w:val="5B486DCE"/>
    <w:rsid w:val="5B5E4557"/>
    <w:rsid w:val="5B7E082A"/>
    <w:rsid w:val="5B9D7B5D"/>
    <w:rsid w:val="5B9E2EC4"/>
    <w:rsid w:val="5BB53BEF"/>
    <w:rsid w:val="5BC70423"/>
    <w:rsid w:val="5CAB1AF3"/>
    <w:rsid w:val="5CBC7FB4"/>
    <w:rsid w:val="5CC3793F"/>
    <w:rsid w:val="5CEC5C67"/>
    <w:rsid w:val="5CFA65D6"/>
    <w:rsid w:val="5D082632"/>
    <w:rsid w:val="5D443390"/>
    <w:rsid w:val="5D494E68"/>
    <w:rsid w:val="5E176D14"/>
    <w:rsid w:val="5E4E4103"/>
    <w:rsid w:val="5E6A778C"/>
    <w:rsid w:val="5EBA426F"/>
    <w:rsid w:val="5F3E47D0"/>
    <w:rsid w:val="5F48187B"/>
    <w:rsid w:val="600F12A5"/>
    <w:rsid w:val="608606DE"/>
    <w:rsid w:val="60D22668"/>
    <w:rsid w:val="610E324A"/>
    <w:rsid w:val="612D61FA"/>
    <w:rsid w:val="61330309"/>
    <w:rsid w:val="617A5F38"/>
    <w:rsid w:val="617C17FC"/>
    <w:rsid w:val="61F31EFD"/>
    <w:rsid w:val="620B3E3F"/>
    <w:rsid w:val="62600C89"/>
    <w:rsid w:val="6282472C"/>
    <w:rsid w:val="62F23F48"/>
    <w:rsid w:val="63066BC7"/>
    <w:rsid w:val="63275C4B"/>
    <w:rsid w:val="632B5CBF"/>
    <w:rsid w:val="633E3777"/>
    <w:rsid w:val="63916CE9"/>
    <w:rsid w:val="63AD43A2"/>
    <w:rsid w:val="63C416EC"/>
    <w:rsid w:val="63DE27AE"/>
    <w:rsid w:val="64015E95"/>
    <w:rsid w:val="64283A29"/>
    <w:rsid w:val="645A47F2"/>
    <w:rsid w:val="645A5BAC"/>
    <w:rsid w:val="64672037"/>
    <w:rsid w:val="646E2E54"/>
    <w:rsid w:val="64746F5B"/>
    <w:rsid w:val="64DD1846"/>
    <w:rsid w:val="65945D8D"/>
    <w:rsid w:val="65B95009"/>
    <w:rsid w:val="65E348ED"/>
    <w:rsid w:val="65E419E0"/>
    <w:rsid w:val="65FC53FA"/>
    <w:rsid w:val="661B38EB"/>
    <w:rsid w:val="664A1875"/>
    <w:rsid w:val="66C35559"/>
    <w:rsid w:val="66E2506A"/>
    <w:rsid w:val="673316F7"/>
    <w:rsid w:val="675A65EF"/>
    <w:rsid w:val="67BD6B7E"/>
    <w:rsid w:val="67D6379C"/>
    <w:rsid w:val="67D90381"/>
    <w:rsid w:val="67F11B6D"/>
    <w:rsid w:val="68103152"/>
    <w:rsid w:val="6828049B"/>
    <w:rsid w:val="68570F93"/>
    <w:rsid w:val="68665F57"/>
    <w:rsid w:val="686B65DA"/>
    <w:rsid w:val="688D3FF7"/>
    <w:rsid w:val="68F62348"/>
    <w:rsid w:val="68FE7D55"/>
    <w:rsid w:val="69006D22"/>
    <w:rsid w:val="690507DD"/>
    <w:rsid w:val="69256789"/>
    <w:rsid w:val="692C4082"/>
    <w:rsid w:val="697D3521"/>
    <w:rsid w:val="69DC688B"/>
    <w:rsid w:val="69E91028"/>
    <w:rsid w:val="6A287B5E"/>
    <w:rsid w:val="6A90449C"/>
    <w:rsid w:val="6A961A6F"/>
    <w:rsid w:val="6AEB57B0"/>
    <w:rsid w:val="6AF723A7"/>
    <w:rsid w:val="6B054AC4"/>
    <w:rsid w:val="6B303A1A"/>
    <w:rsid w:val="6B3158B9"/>
    <w:rsid w:val="6B5524FB"/>
    <w:rsid w:val="6BE72A71"/>
    <w:rsid w:val="6BF54B38"/>
    <w:rsid w:val="6C1F098C"/>
    <w:rsid w:val="6C3953B5"/>
    <w:rsid w:val="6CB51A69"/>
    <w:rsid w:val="6D1F7993"/>
    <w:rsid w:val="6D3909BE"/>
    <w:rsid w:val="6D611D5A"/>
    <w:rsid w:val="6D875C64"/>
    <w:rsid w:val="6DAA2FDF"/>
    <w:rsid w:val="6DE92D60"/>
    <w:rsid w:val="6E121228"/>
    <w:rsid w:val="6E1C29F8"/>
    <w:rsid w:val="6E3B6A4F"/>
    <w:rsid w:val="6E5D4C17"/>
    <w:rsid w:val="6F567BC5"/>
    <w:rsid w:val="6F963F3C"/>
    <w:rsid w:val="6FE3114C"/>
    <w:rsid w:val="70B52AE8"/>
    <w:rsid w:val="70D1495F"/>
    <w:rsid w:val="70ED510D"/>
    <w:rsid w:val="712F289B"/>
    <w:rsid w:val="7185070D"/>
    <w:rsid w:val="71B46619"/>
    <w:rsid w:val="72253C9E"/>
    <w:rsid w:val="72367C59"/>
    <w:rsid w:val="72587BCF"/>
    <w:rsid w:val="72697041"/>
    <w:rsid w:val="727069CC"/>
    <w:rsid w:val="729A5612"/>
    <w:rsid w:val="72B666A4"/>
    <w:rsid w:val="72E367CD"/>
    <w:rsid w:val="73075151"/>
    <w:rsid w:val="73777ED7"/>
    <w:rsid w:val="73A86934"/>
    <w:rsid w:val="7427609D"/>
    <w:rsid w:val="74401B1F"/>
    <w:rsid w:val="74655B82"/>
    <w:rsid w:val="747F7695"/>
    <w:rsid w:val="74822F34"/>
    <w:rsid w:val="74842EFD"/>
    <w:rsid w:val="74A62F76"/>
    <w:rsid w:val="74D93943"/>
    <w:rsid w:val="74E67714"/>
    <w:rsid w:val="74F03568"/>
    <w:rsid w:val="750758DC"/>
    <w:rsid w:val="751D6EAE"/>
    <w:rsid w:val="754C6F3B"/>
    <w:rsid w:val="755C3F1C"/>
    <w:rsid w:val="75831592"/>
    <w:rsid w:val="75A40A8D"/>
    <w:rsid w:val="75B11AFF"/>
    <w:rsid w:val="75BD7438"/>
    <w:rsid w:val="75C976D3"/>
    <w:rsid w:val="75D32619"/>
    <w:rsid w:val="75DE796D"/>
    <w:rsid w:val="7630766D"/>
    <w:rsid w:val="767201E1"/>
    <w:rsid w:val="76766876"/>
    <w:rsid w:val="7684397E"/>
    <w:rsid w:val="76954F1D"/>
    <w:rsid w:val="76D161A2"/>
    <w:rsid w:val="76E04877"/>
    <w:rsid w:val="76EE465E"/>
    <w:rsid w:val="774849C1"/>
    <w:rsid w:val="77583DB7"/>
    <w:rsid w:val="77A15B74"/>
    <w:rsid w:val="77A50229"/>
    <w:rsid w:val="780B6A75"/>
    <w:rsid w:val="78173D95"/>
    <w:rsid w:val="783F74D7"/>
    <w:rsid w:val="78461060"/>
    <w:rsid w:val="78484564"/>
    <w:rsid w:val="78514F74"/>
    <w:rsid w:val="786170B2"/>
    <w:rsid w:val="786B1CDE"/>
    <w:rsid w:val="78D479CB"/>
    <w:rsid w:val="78F114F9"/>
    <w:rsid w:val="7908577F"/>
    <w:rsid w:val="7942286F"/>
    <w:rsid w:val="797F5A41"/>
    <w:rsid w:val="79804924"/>
    <w:rsid w:val="79922AD0"/>
    <w:rsid w:val="79D264B9"/>
    <w:rsid w:val="7A236D15"/>
    <w:rsid w:val="7B4C6AB6"/>
    <w:rsid w:val="7B9C2193"/>
    <w:rsid w:val="7C62561D"/>
    <w:rsid w:val="7C7E0232"/>
    <w:rsid w:val="7C99467F"/>
    <w:rsid w:val="7CC52305"/>
    <w:rsid w:val="7D0F76D8"/>
    <w:rsid w:val="7D4F1DA3"/>
    <w:rsid w:val="7D5207A9"/>
    <w:rsid w:val="7D5D6B3A"/>
    <w:rsid w:val="7D676F18"/>
    <w:rsid w:val="7DD1659C"/>
    <w:rsid w:val="7E2A080C"/>
    <w:rsid w:val="7E3420E0"/>
    <w:rsid w:val="7EA719BF"/>
    <w:rsid w:val="7EEB6B4E"/>
    <w:rsid w:val="7F2C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link w:val="22"/>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2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link w:val="20"/>
    <w:qFormat/>
    <w:uiPriority w:val="0"/>
    <w:pPr>
      <w:spacing w:after="120"/>
      <w:ind w:left="420" w:leftChars="200"/>
    </w:pPr>
  </w:style>
  <w:style w:type="paragraph" w:styleId="10">
    <w:name w:val="envelope return"/>
    <w:basedOn w:val="1"/>
    <w:unhideWhenUsed/>
    <w:qFormat/>
    <w:uiPriority w:val="99"/>
    <w:pPr>
      <w:snapToGrid w:val="0"/>
    </w:pPr>
    <w:rPr>
      <w:rFonts w:ascii="Arial" w:hAnsi="Arial" w:eastAsia="宋体" w:cs="Times New Roman"/>
      <w:sz w:val="30"/>
      <w:szCs w:val="24"/>
      <w:lang w:bidi="ar-SA"/>
    </w:rPr>
  </w:style>
  <w:style w:type="paragraph" w:styleId="11">
    <w:name w:val="footer"/>
    <w:basedOn w:val="1"/>
    <w:qFormat/>
    <w:uiPriority w:val="99"/>
    <w:pPr>
      <w:widowControl w:val="0"/>
      <w:pBdr>
        <w:top w:val="none" w:color="auto" w:sz="0" w:space="0"/>
        <w:left w:val="none" w:color="auto" w:sz="0" w:space="0"/>
        <w:bottom w:val="none" w:color="auto" w:sz="0" w:space="0"/>
        <w:right w:val="none" w:color="auto" w:sz="0" w:space="0"/>
        <w:between w:val="none" w:color="auto" w:sz="0" w:space="0"/>
      </w:pBdr>
      <w:shd w:val="clear" w:color="auto" w:fill="auto"/>
      <w:tabs>
        <w:tab w:val="center" w:pos="4153"/>
        <w:tab w:val="right" w:pos="8306"/>
      </w:tabs>
      <w:snapToGrid w:val="0"/>
      <w:jc w:val="left"/>
    </w:pPr>
    <w:rPr>
      <w:rFonts w:ascii="Times New Roman" w:hAnsi="Calibri" w:eastAsia="宋体" w:cs="Times New Roman"/>
      <w:kern w:val="2"/>
      <w:sz w:val="18"/>
      <w:szCs w:val="22"/>
      <w:lang w:val="en-US" w:eastAsia="zh-CN" w:bidi="ar-SA"/>
    </w:rPr>
  </w:style>
  <w:style w:type="paragraph" w:styleId="12">
    <w:name w:val="Normal (Web)"/>
    <w:basedOn w:val="1"/>
    <w:qFormat/>
    <w:uiPriority w:val="0"/>
    <w:rPr>
      <w:sz w:val="24"/>
    </w:rPr>
  </w:style>
  <w:style w:type="paragraph" w:styleId="13">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正文首行缩进1"/>
    <w:basedOn w:val="1"/>
    <w:qFormat/>
    <w:uiPriority w:val="0"/>
    <w:pPr>
      <w:spacing w:line="360" w:lineRule="auto"/>
      <w:ind w:firstLine="200" w:firstLineChars="200"/>
    </w:pPr>
    <w:rPr>
      <w:kern w:val="2"/>
      <w:sz w:val="24"/>
      <w:szCs w:val="24"/>
    </w:rPr>
  </w:style>
  <w:style w:type="character" w:customStyle="1" w:styleId="20">
    <w:name w:val="正文文本缩进 Char"/>
    <w:link w:val="9"/>
    <w:qFormat/>
    <w:uiPriority w:val="0"/>
  </w:style>
  <w:style w:type="character" w:customStyle="1" w:styleId="21">
    <w:name w:val="正文缩进 Char"/>
    <w:link w:val="5"/>
    <w:qFormat/>
    <w:uiPriority w:val="0"/>
    <w:rPr>
      <w:rFonts w:ascii="Times New Roman" w:hAnsi="Times New Roman" w:cs="Times New Roman"/>
      <w:kern w:val="0"/>
      <w:sz w:val="20"/>
      <w:szCs w:val="20"/>
    </w:rPr>
  </w:style>
  <w:style w:type="character" w:customStyle="1" w:styleId="22">
    <w:name w:val="纯文本 Char"/>
    <w:link w:val="2"/>
    <w:qFormat/>
    <w:uiPriority w:val="0"/>
    <w:rPr>
      <w:rFonts w:ascii="宋体" w:hAnsi="Courier New"/>
      <w:kern w:val="0"/>
      <w:sz w:val="20"/>
      <w:szCs w:val="20"/>
      <w:lang w:val="en-US" w:eastAsia="zh-CN"/>
    </w:rPr>
  </w:style>
  <w:style w:type="paragraph" w:customStyle="1" w:styleId="23">
    <w:name w:val="施工图正文内容"/>
    <w:basedOn w:val="1"/>
    <w:qFormat/>
    <w:uiPriority w:val="0"/>
    <w:rPr>
      <w:rFonts w:hint="eastAsia" w:ascii="Times New Roman" w:hAnsi="Times New Roman" w:eastAsia="仿宋_GB2312"/>
      <w:bCs/>
      <w:snapToGrid w:val="0"/>
      <w:kern w:val="0"/>
      <w:sz w:val="32"/>
      <w:szCs w:val="32"/>
    </w:rPr>
  </w:style>
  <w:style w:type="character" w:customStyle="1" w:styleId="24">
    <w:name w:val="font11"/>
    <w:basedOn w:val="17"/>
    <w:qFormat/>
    <w:uiPriority w:val="0"/>
    <w:rPr>
      <w:rFonts w:hint="eastAsia" w:ascii="宋体" w:hAnsi="宋体" w:eastAsia="宋体" w:cs="宋体"/>
      <w:color w:val="000000"/>
      <w:sz w:val="20"/>
      <w:szCs w:val="20"/>
      <w:u w:val="none"/>
    </w:rPr>
  </w:style>
  <w:style w:type="character" w:customStyle="1" w:styleId="25">
    <w:name w:val="font41"/>
    <w:basedOn w:val="17"/>
    <w:qFormat/>
    <w:uiPriority w:val="0"/>
    <w:rPr>
      <w:rFonts w:hint="default" w:ascii="Times New Roman" w:hAnsi="Times New Roman" w:cs="Times New Roman"/>
      <w:color w:val="000000"/>
      <w:sz w:val="20"/>
      <w:szCs w:val="20"/>
      <w:u w:val="none"/>
    </w:rPr>
  </w:style>
  <w:style w:type="character" w:customStyle="1" w:styleId="26">
    <w:name w:val="font51"/>
    <w:basedOn w:val="17"/>
    <w:qFormat/>
    <w:uiPriority w:val="0"/>
    <w:rPr>
      <w:rFonts w:hint="default" w:ascii="Times New Roman" w:hAnsi="Times New Roman" w:cs="Times New Roman"/>
      <w:color w:val="000000"/>
      <w:sz w:val="20"/>
      <w:szCs w:val="20"/>
      <w:u w:val="none"/>
    </w:rPr>
  </w:style>
  <w:style w:type="character" w:customStyle="1" w:styleId="27">
    <w:name w:val="font31"/>
    <w:basedOn w:val="17"/>
    <w:qFormat/>
    <w:uiPriority w:val="0"/>
    <w:rPr>
      <w:rFonts w:hint="default" w:ascii="Times New Roman" w:hAnsi="Times New Roman" w:cs="Times New Roman"/>
      <w:color w:val="000000"/>
      <w:sz w:val="20"/>
      <w:szCs w:val="20"/>
      <w:u w:val="none"/>
    </w:rPr>
  </w:style>
  <w:style w:type="character" w:customStyle="1" w:styleId="28">
    <w:name w:val="font61"/>
    <w:basedOn w:val="17"/>
    <w:qFormat/>
    <w:uiPriority w:val="0"/>
    <w:rPr>
      <w:rFonts w:hint="default" w:ascii="Times New Roman" w:hAnsi="Times New Roman" w:cs="Times New Roman"/>
      <w:color w:val="000000"/>
      <w:sz w:val="22"/>
      <w:szCs w:val="22"/>
      <w:u w:val="none"/>
    </w:rPr>
  </w:style>
  <w:style w:type="character" w:customStyle="1" w:styleId="29">
    <w:name w:val="font21"/>
    <w:basedOn w:val="17"/>
    <w:qFormat/>
    <w:uiPriority w:val="0"/>
    <w:rPr>
      <w:rFonts w:hint="eastAsia" w:ascii="宋体" w:hAnsi="宋体" w:eastAsia="宋体" w:cs="宋体"/>
      <w:color w:val="000000"/>
      <w:sz w:val="20"/>
      <w:szCs w:val="20"/>
      <w:u w:val="none"/>
    </w:rPr>
  </w:style>
  <w:style w:type="character" w:customStyle="1" w:styleId="30">
    <w:name w:val="font71"/>
    <w:basedOn w:val="1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8046</Words>
  <Characters>9170</Characters>
  <Lines>1</Lines>
  <Paragraphs>1</Paragraphs>
  <TotalTime>3</TotalTime>
  <ScaleCrop>false</ScaleCrop>
  <LinksUpToDate>false</LinksUpToDate>
  <CharactersWithSpaces>9311</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cp:lastPrinted>2025-10-10T01:02:00Z</cp:lastPrinted>
  <dcterms:modified xsi:type="dcterms:W3CDTF">2026-04-27T07:56:29Z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48A4EC76C8A9443880A5262404F21EFF_13</vt:lpwstr>
  </property>
  <property fmtid="{D5CDD505-2E9C-101B-9397-08002B2CF9AE}" pid="4" name="KSOTemplateDocerSaveRecord">
    <vt:lpwstr>eyJoZGlkIjoiNTg3ZDZiOGJmNDk0NWIzZWYxZGQyZTcwYmYwZmFiMDciLCJ1c2VySWQiOiI3NzgxMDAxODUifQ==</vt:lpwstr>
  </property>
</Properties>
</file>