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方正小标宋_GBK" w:hAnsi="方正小标宋_GBK" w:eastAsia="方正小标宋_GBK"/>
          <w:sz w:val="44"/>
          <w:szCs w:val="52"/>
          <w:lang w:val="en-US"/>
        </w:rPr>
      </w:pPr>
      <w:r>
        <w:rPr>
          <w:rFonts w:hint="eastAsia" w:ascii="方正小标宋_GBK" w:hAnsi="方正小标宋_GBK" w:eastAsia="方正小标宋_GBK"/>
          <w:sz w:val="44"/>
          <w:szCs w:val="52"/>
          <w:lang w:val="en-US" w:eastAsia="zh-CN"/>
        </w:rPr>
        <w:t>技术规范书</w:t>
      </w:r>
    </w:p>
    <w:p>
      <w:pPr>
        <w:ind w:firstLine="640" w:firstLineChars="200"/>
        <w:rPr>
          <w:rFonts w:ascii="黑体" w:hAnsi="黑体" w:eastAsia="黑体"/>
          <w:sz w:val="32"/>
          <w:szCs w:val="40"/>
        </w:rPr>
      </w:pPr>
      <w:bookmarkStart w:id="0" w:name="_GoBack"/>
      <w:bookmarkEnd w:id="0"/>
      <w:r>
        <w:rPr>
          <w:rFonts w:hint="eastAsia" w:ascii="黑体" w:hAnsi="黑体" w:eastAsia="黑体"/>
          <w:sz w:val="32"/>
          <w:szCs w:val="40"/>
        </w:rPr>
        <w:t>一、</w:t>
      </w:r>
      <w:r>
        <w:rPr>
          <w:rFonts w:hint="eastAsia" w:ascii="黑体" w:hAnsi="黑体" w:eastAsia="黑体"/>
          <w:sz w:val="32"/>
          <w:szCs w:val="40"/>
          <w:lang w:val="en-US" w:eastAsia="zh-CN"/>
        </w:rPr>
        <w:t>具体咨询工作</w:t>
      </w:r>
      <w:r>
        <w:rPr>
          <w:rFonts w:hint="eastAsia" w:ascii="黑体" w:hAnsi="黑体" w:eastAsia="黑体"/>
          <w:sz w:val="32"/>
          <w:szCs w:val="40"/>
        </w:rPr>
        <w:t>分析</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为严格落实公司投资风险管控及重大项目社会稳定风险评估相关管理规定，规范2</w:t>
      </w:r>
      <w:r>
        <w:rPr>
          <w:rFonts w:hint="eastAsia" w:ascii="仿宋_GB2312" w:hAnsi="仿宋_GB2312" w:eastAsia="仿宋_GB2312"/>
          <w:sz w:val="32"/>
          <w:szCs w:val="40"/>
          <w:lang w:val="en-US" w:eastAsia="zh-CN"/>
        </w:rPr>
        <w:t>3</w:t>
      </w:r>
      <w:r>
        <w:rPr>
          <w:rFonts w:hint="eastAsia" w:ascii="仿宋_GB2312" w:hAnsi="仿宋_GB2312" w:eastAsia="仿宋_GB2312"/>
          <w:sz w:val="32"/>
          <w:szCs w:val="40"/>
        </w:rPr>
        <w:t>0kV电力联网线路工程项目建设全过程维稳管理，保障项目合法合规、平稳有序推进，本次专项开展项目社会稳定风险评估咨询工作。</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本次咨询工作严格遵循科学性、公正性、准确性、可追溯性原则，紧扣输变电工程建设特点，全面梳理项目建设、征地协调、施工实施、沿线群众影响等全链条社会稳定要素。系统排查项目实施潜在维稳隐患，重点分析项目沿线村社群众诉求、民俗民风、生产生活影响、属地舆情及邻里矛盾等风险源，全面识别征地拆迁、施工扰民、生态影响、舆情舆论、邻里纠纷等各类社会稳定风险。</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通过规范化、标准化稳评咨询流程，客观判定项目社会稳定风险等级，精准研判风险发生概率、影响范围及可控程度，形成完整的稳评分析依据，为项目投资决策、属地维稳协同、风险闭环管控提供专业咨询支撑，切实防范化解项目建设引发的各类社会稳定问题，保障项目落地实施及区域社会大局稳定。</w:t>
      </w:r>
    </w:p>
    <w:p>
      <w:pPr>
        <w:ind w:firstLine="640" w:firstLineChars="200"/>
        <w:rPr>
          <w:rFonts w:hint="eastAsia" w:ascii="黑体" w:hAnsi="黑体" w:eastAsia="黑体"/>
          <w:sz w:val="32"/>
          <w:szCs w:val="40"/>
          <w:lang w:val="en-US" w:eastAsia="zh-CN"/>
        </w:rPr>
      </w:pPr>
      <w:r>
        <w:rPr>
          <w:rFonts w:hint="eastAsia" w:ascii="黑体" w:hAnsi="黑体" w:eastAsia="黑体"/>
          <w:sz w:val="32"/>
          <w:szCs w:val="40"/>
          <w:lang w:val="en-US" w:eastAsia="zh-CN"/>
        </w:rPr>
        <w:t>二</w:t>
      </w:r>
      <w:r>
        <w:rPr>
          <w:rFonts w:hint="eastAsia" w:ascii="黑体" w:hAnsi="黑体" w:eastAsia="黑体"/>
          <w:sz w:val="32"/>
          <w:szCs w:val="40"/>
        </w:rPr>
        <w:t>、</w:t>
      </w:r>
      <w:r>
        <w:rPr>
          <w:rFonts w:hint="eastAsia" w:ascii="黑体" w:hAnsi="黑体" w:eastAsia="黑体"/>
          <w:sz w:val="32"/>
          <w:szCs w:val="40"/>
          <w:lang w:val="en-US" w:eastAsia="zh-CN"/>
        </w:rPr>
        <w:t>具体</w:t>
      </w:r>
      <w:r>
        <w:rPr>
          <w:rFonts w:ascii="黑体" w:hAnsi="黑体" w:eastAsia="黑体"/>
          <w:sz w:val="32"/>
          <w:szCs w:val="40"/>
        </w:rPr>
        <w:t>实施</w:t>
      </w:r>
      <w:r>
        <w:rPr>
          <w:rFonts w:hint="eastAsia" w:ascii="黑体" w:hAnsi="黑体" w:eastAsia="黑体"/>
          <w:sz w:val="32"/>
          <w:szCs w:val="40"/>
          <w:lang w:val="en-US" w:eastAsia="zh-CN"/>
        </w:rPr>
        <w:t>举措</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结合本项目属地民俗民风、基层治理模式及输变电工程建设特性，制定可落地、可操作、可管控的专项实施举措，统筹推进稳评咨询及维稳协同工作：</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（一）明确核心工作目标</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全面摸清项目沿线社会基础、群众诉求及民俗特点，精准识别、分级研判项目各类社会稳定风险；因地制宜制定适配属地民情、贴合工程实际的风险防控化解措施；建立政企联动维稳机制，提前化解潜在矛盾隐患，确保项目建设期间零群体性事件、零负面舆情、零维稳纠纷，保障项目全过程平稳推进、合规落地。</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（二）分步推进实施措施</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1. 前期摸底排查。全面踏勘项目线路沿线村镇，调研属地民俗民风、生产生活习惯、村规民约，走访地方政府、村委社区、群众代表，全面收集群众诉求、意见建议及历史维稳问题，建立项目社会稳定风险清单。</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2. 公众参与调研。通过问卷调查、现场座谈、入户走访、公示告知等方式，常态化开展公众意见征集，充分保障群众知情权、参与权，精准掌握群众对项目建设的认知度、接受度及核心诉求。</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3. 风险分级研判。参照电网投资项目风险管控标准，结合属地维稳要求，定性+定量开展风险分析，明确各类风险发生概率、影响程度、风险等级，梳理细化子风险事项，形成完整风险评估台账。</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4. 定制化防控施策。充分尊重当地民俗民风与群众生活习惯，优化施工时序、作业方式，规避民俗节庆、农忙时段施工扰民；针对征地补偿、施工噪音、占地影响等核心风险，制定差异化、接地气的化解措施。</w:t>
      </w:r>
    </w:p>
    <w:p>
      <w:pPr>
        <w:ind w:firstLine="640" w:firstLineChars="200"/>
        <w:rPr>
          <w:rFonts w:hint="eastAsia" w:ascii="仿宋_GB2312" w:hAnsi="仿宋_GB2312" w:eastAsia="仿宋_GB2312"/>
          <w:sz w:val="32"/>
          <w:szCs w:val="40"/>
          <w:highlight w:val="none"/>
        </w:rPr>
      </w:pPr>
      <w:r>
        <w:rPr>
          <w:rFonts w:hint="eastAsia" w:ascii="仿宋_GB2312" w:hAnsi="仿宋_GB2312" w:eastAsia="仿宋_GB2312"/>
          <w:sz w:val="32"/>
          <w:szCs w:val="40"/>
          <w:highlight w:val="none"/>
        </w:rPr>
        <w:t>5. 政企协同联动。建立与属地发改、维稳、乡镇政府、村社两委常态化沟通对接机制，同步共享风险排查结果、维稳工作进度，依托地方基层治理力量协同处置群众诉求、化解基层矛盾。</w:t>
      </w:r>
    </w:p>
    <w:p>
      <w:pPr>
        <w:ind w:firstLine="640" w:firstLineChars="200"/>
        <w:rPr>
          <w:rFonts w:hint="eastAsia" w:ascii="仿宋_GB2312" w:hAnsi="仿宋_GB2312" w:eastAsia="仿宋_GB2312"/>
          <w:sz w:val="32"/>
          <w:szCs w:val="40"/>
          <w:highlight w:val="none"/>
          <w:lang w:val="en-US" w:eastAsia="zh-CN"/>
        </w:rPr>
      </w:pPr>
      <w:r>
        <w:rPr>
          <w:rFonts w:hint="eastAsia" w:ascii="仿宋_GB2312" w:hAnsi="仿宋_GB2312" w:eastAsia="仿宋_GB2312"/>
          <w:sz w:val="32"/>
          <w:szCs w:val="40"/>
          <w:highlight w:val="none"/>
        </w:rPr>
        <w:t>6. 全过程动态管控。建立风险动态更新机制，实时跟踪项目推进中的新增维稳隐患，动态优化防控措施；编制专项维稳应急预案，落实风险预警、隐患排查、应急处置闭环管理。</w:t>
      </w:r>
      <w:r>
        <w:rPr>
          <w:rFonts w:hint="eastAsia" w:ascii="仿宋_GB2312" w:hAnsi="仿宋_GB2312" w:eastAsia="仿宋_GB2312"/>
          <w:sz w:val="32"/>
          <w:szCs w:val="40"/>
          <w:highlight w:val="none"/>
          <w:lang w:val="en-US" w:eastAsia="zh-CN"/>
        </w:rPr>
        <w:t xml:space="preserve">   </w:t>
      </w:r>
    </w:p>
    <w:p>
      <w:pPr>
        <w:ind w:firstLine="640" w:firstLineChars="200"/>
        <w:rPr>
          <w:rFonts w:hint="eastAsia" w:ascii="黑体" w:hAnsi="黑体" w:eastAsia="黑体"/>
          <w:sz w:val="32"/>
          <w:szCs w:val="40"/>
          <w:lang w:val="en-US" w:eastAsia="zh-CN"/>
        </w:rPr>
      </w:pPr>
      <w:r>
        <w:rPr>
          <w:rFonts w:hint="eastAsia" w:ascii="仿宋_GB2312" w:hAnsi="仿宋_GB2312" w:eastAsia="仿宋_GB2312"/>
          <w:sz w:val="32"/>
          <w:szCs w:val="40"/>
          <w:highlight w:val="none"/>
          <w:lang w:val="en-US" w:eastAsia="zh-CN"/>
        </w:rPr>
        <w:t>（</w:t>
      </w:r>
      <w:r>
        <w:rPr>
          <w:rFonts w:hint="eastAsia" w:ascii="仿宋_GB2312" w:hAnsi="仿宋_GB2312" w:eastAsia="仿宋_GB2312"/>
          <w:sz w:val="32"/>
          <w:szCs w:val="40"/>
          <w:highlight w:val="none"/>
          <w:lang w:val="en-US" w:eastAsia="zh-CN"/>
        </w:rPr>
        <w:t>三）工作推进时间表</w:t>
      </w:r>
    </w:p>
    <w:p>
      <w:pPr>
        <w:ind w:firstLine="640" w:firstLineChars="200"/>
        <w:rPr>
          <w:rFonts w:hint="eastAsia" w:ascii="仿宋_GB2312" w:hAnsi="仿宋_GB2312" w:eastAsia="仿宋_GB2312"/>
          <w:sz w:val="32"/>
          <w:szCs w:val="40"/>
          <w:highlight w:val="none"/>
          <w:lang w:val="en-US" w:eastAsia="zh-CN"/>
        </w:rPr>
      </w:pPr>
      <w:r>
        <w:rPr>
          <w:rFonts w:hint="eastAsia" w:ascii="仿宋_GB2312" w:hAnsi="仿宋_GB2312" w:eastAsia="仿宋_GB2312"/>
          <w:sz w:val="32"/>
          <w:szCs w:val="40"/>
          <w:highlight w:val="none"/>
          <w:lang w:val="en-US" w:eastAsia="zh-CN"/>
        </w:rPr>
        <w:t>1. 启动阶段：接甲方通知进场后3个工作日内，完成沿线踏勘、政企对接、基础资料收集。</w:t>
      </w:r>
    </w:p>
    <w:p>
      <w:pPr>
        <w:ind w:firstLine="640" w:firstLineChars="200"/>
        <w:rPr>
          <w:rFonts w:hint="eastAsia" w:ascii="仿宋_GB2312" w:hAnsi="仿宋_GB2312" w:eastAsia="仿宋_GB2312"/>
          <w:sz w:val="32"/>
          <w:szCs w:val="40"/>
          <w:highlight w:val="none"/>
          <w:lang w:val="en-US" w:eastAsia="zh-CN"/>
        </w:rPr>
      </w:pPr>
      <w:r>
        <w:rPr>
          <w:rFonts w:hint="eastAsia" w:ascii="仿宋_GB2312" w:hAnsi="仿宋_GB2312" w:eastAsia="仿宋_GB2312"/>
          <w:sz w:val="32"/>
          <w:szCs w:val="40"/>
          <w:highlight w:val="none"/>
          <w:lang w:val="en-US" w:eastAsia="zh-CN"/>
        </w:rPr>
        <w:t>2. 调研阶段：5个工作日内完成公众调研、民情摸排、风险全面识别，形成初步风险清单。</w:t>
      </w:r>
    </w:p>
    <w:p>
      <w:pPr>
        <w:ind w:firstLine="640" w:firstLineChars="200"/>
        <w:rPr>
          <w:rFonts w:hint="eastAsia" w:ascii="仿宋_GB2312" w:hAnsi="仿宋_GB2312" w:eastAsia="仿宋_GB2312"/>
          <w:sz w:val="32"/>
          <w:szCs w:val="40"/>
          <w:highlight w:val="none"/>
          <w:lang w:val="en-US" w:eastAsia="zh-CN"/>
        </w:rPr>
      </w:pPr>
      <w:r>
        <w:rPr>
          <w:rFonts w:hint="eastAsia" w:ascii="仿宋_GB2312" w:hAnsi="仿宋_GB2312" w:eastAsia="仿宋_GB2312"/>
          <w:sz w:val="32"/>
          <w:szCs w:val="40"/>
          <w:highlight w:val="none"/>
          <w:lang w:val="en-US" w:eastAsia="zh-CN"/>
        </w:rPr>
        <w:t>3. 研判编制阶段：7个工作日内完成风险分级研判、措施编制，形成稳评报告初稿。</w:t>
      </w:r>
    </w:p>
    <w:p>
      <w:pPr>
        <w:ind w:firstLine="640" w:firstLineChars="200"/>
        <w:rPr>
          <w:rFonts w:hint="eastAsia" w:ascii="仿宋_GB2312" w:hAnsi="仿宋_GB2312" w:eastAsia="仿宋_GB2312"/>
          <w:sz w:val="32"/>
          <w:szCs w:val="40"/>
          <w:highlight w:val="none"/>
          <w:lang w:val="en-US" w:eastAsia="zh-CN"/>
        </w:rPr>
      </w:pPr>
      <w:r>
        <w:rPr>
          <w:rFonts w:hint="eastAsia" w:ascii="仿宋_GB2312" w:hAnsi="仿宋_GB2312" w:eastAsia="仿宋_GB2312"/>
          <w:sz w:val="32"/>
          <w:szCs w:val="40"/>
          <w:highlight w:val="none"/>
          <w:lang w:val="en-US" w:eastAsia="zh-CN"/>
        </w:rPr>
        <w:t>4. 完善报审阶段：根据甲方及属地主管部门意见，及时修改完善，在项目投资决策节点前提交终稿成果。</w:t>
      </w:r>
    </w:p>
    <w:p>
      <w:pPr>
        <w:ind w:firstLine="640" w:firstLineChars="200"/>
        <w:rPr>
          <w:rFonts w:ascii="黑体" w:hAnsi="黑体" w:eastAsia="黑体"/>
          <w:sz w:val="32"/>
          <w:szCs w:val="40"/>
        </w:rPr>
      </w:pPr>
      <w:r>
        <w:rPr>
          <w:rFonts w:hint="eastAsia" w:ascii="黑体" w:hAnsi="黑体" w:eastAsia="黑体"/>
          <w:sz w:val="32"/>
          <w:szCs w:val="40"/>
          <w:lang w:val="en-US" w:eastAsia="zh-CN"/>
        </w:rPr>
        <w:t>三</w:t>
      </w:r>
      <w:r>
        <w:rPr>
          <w:rFonts w:hint="eastAsia" w:ascii="黑体" w:hAnsi="黑体" w:eastAsia="黑体"/>
          <w:sz w:val="32"/>
          <w:szCs w:val="40"/>
        </w:rPr>
        <w:t>、结论和建议</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总结提炼有关结论</w:t>
      </w:r>
      <w:r>
        <w:rPr>
          <w:rFonts w:hint="eastAsia" w:ascii="仿宋_GB2312" w:hAnsi="仿宋_GB2312" w:eastAsia="仿宋_GB2312"/>
          <w:sz w:val="32"/>
          <w:szCs w:val="40"/>
          <w:lang w:val="en-US" w:eastAsia="zh-CN"/>
        </w:rPr>
        <w:t>和</w:t>
      </w:r>
      <w:r>
        <w:rPr>
          <w:rFonts w:hint="eastAsia" w:ascii="仿宋_GB2312" w:hAnsi="仿宋_GB2312" w:eastAsia="仿宋_GB2312"/>
          <w:sz w:val="32"/>
          <w:szCs w:val="40"/>
        </w:rPr>
        <w:t>建议。</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（一）工作结论</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通过落实政企联动、民情适配、动态管控、精准化解等维稳举措，可有效规避和处置项目建设全过程各类维稳隐患，能够保障项目平稳建设、顺利落地，不会对属地社会大局稳定造成不良影响，满足南方电网及澜湄国际公司项目投资风险管控、社会稳定风险防控的各项管理要求。</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（二）工作建议</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1. 坚持属地协同维稳。持续深化与地方政府、村社的常态化沟通，充分依托基层治理力量，常态化收集群众诉求，提前预判、前置化解各类微小矛盾，筑牢基层维稳防线。</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2. 贴合民情优化施工。严格尊重项目属地民俗民风、农忙时序，合理排布施工计划，落实文明施工、降噪减扰措施，最大限度降低工程建设对群众生产生活的影响。</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3. 落实风险动态管控。建立项目全周期稳评动态跟踪机制，定期更新风险清单、优化防控措施，实现风险识别、研判、处置、复盘全闭环管理。</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4. 强化舆情与应急管理。常态化开展舆情监测，做好项目正面宣传解读；完善维稳应急预案，提前做好应急处置准备，确保突发问题快速响应、妥善处置。</w:t>
      </w:r>
    </w:p>
    <w:p>
      <w:pPr>
        <w:ind w:firstLine="640" w:firstLineChars="200"/>
        <w:rPr>
          <w:rFonts w:hint="eastAsia" w:ascii="仿宋_GB2312" w:hAnsi="仿宋_GB2312" w:eastAsia="仿宋_GB2312"/>
          <w:sz w:val="32"/>
          <w:szCs w:val="40"/>
        </w:rPr>
      </w:pPr>
      <w:r>
        <w:rPr>
          <w:rFonts w:hint="eastAsia" w:ascii="仿宋_GB2312" w:hAnsi="仿宋_GB2312" w:eastAsia="仿宋_GB2312"/>
          <w:sz w:val="32"/>
          <w:szCs w:val="40"/>
        </w:rPr>
        <w:t>5. 严格成果合规管理。持续规范稳评咨询流程、完善调研底稿及佐证资料，确保评估工作科学公正、数据可追溯、结论可落地，全面满足公司投资决策及项目合规建设要求。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416"/>
    <w:rsid w:val="001B18DF"/>
    <w:rsid w:val="00303C69"/>
    <w:rsid w:val="00396200"/>
    <w:rsid w:val="00E55416"/>
    <w:rsid w:val="00FE3269"/>
    <w:rsid w:val="0FB653B0"/>
    <w:rsid w:val="152B6C19"/>
    <w:rsid w:val="270B27CE"/>
    <w:rsid w:val="4FC62523"/>
    <w:rsid w:val="548A3634"/>
    <w:rsid w:val="6F024D49"/>
    <w:rsid w:val="76F17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100</Words>
  <Characters>576</Characters>
  <Lines>4</Lines>
  <Paragraphs>1</Paragraphs>
  <TotalTime>2</TotalTime>
  <ScaleCrop>false</ScaleCrop>
  <LinksUpToDate>false</LinksUpToDate>
  <CharactersWithSpaces>675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2023-04-23T06:46:00Z</dcterms:created>
  <dc:creator>钦原 范</dc:creator>
  <cp:lastModifiedBy>1A82AF815820612DE05337050A0A5922</cp:lastModifiedBy>
  <dcterms:modified xsi:type="dcterms:W3CDTF">2026-06-22T07:54:34Z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D31AF4EB57BF4582A8662656E8A23DCA</vt:lpwstr>
  </property>
  <property fmtid="{D5CDD505-2E9C-101B-9397-08002B2CF9AE}" pid="4" name="CWMcbb67f5b1df54e09b258ce1971a950ee">
    <vt:lpwstr>CWMHYa+iop0wE2GSsHYGGDAC3IWwqoCUF/KqiC/x9FcfC0RhbkodGyrYaZJF7u1ZxAa3ixG73S64HMRwTxEHmTICQ==</vt:lpwstr>
  </property>
</Properties>
</file>