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bidi w:val="0"/>
        <w:jc w:val="center"/>
        <w:rPr>
          <w:rFonts w:hint="eastAsia"/>
          <w:lang w:eastAsia="zh-CN"/>
        </w:rPr>
      </w:pPr>
      <w:r>
        <w:rPr>
          <w:rFonts w:hint="eastAsia"/>
          <w:lang w:eastAsia="zh-CN"/>
        </w:rPr>
        <w:t>南方电网供应链（广西）有限公司202</w:t>
      </w:r>
      <w:r>
        <w:rPr>
          <w:rFonts w:hint="eastAsia"/>
          <w:lang w:val="en-US" w:eastAsia="zh-CN"/>
        </w:rPr>
        <w:t>6</w:t>
      </w:r>
      <w:r>
        <w:rPr>
          <w:rFonts w:hint="eastAsia"/>
          <w:lang w:eastAsia="zh-CN"/>
        </w:rPr>
        <w:t>年</w:t>
      </w:r>
    </w:p>
    <w:p>
      <w:pPr>
        <w:pStyle w:val="4"/>
        <w:bidi w:val="0"/>
        <w:jc w:val="center"/>
        <w:rPr>
          <w:rFonts w:hint="eastAsia" w:eastAsia="黑体"/>
          <w:lang w:val="en-US" w:eastAsia="zh-CN"/>
        </w:rPr>
      </w:pPr>
      <w:r>
        <w:rPr>
          <w:rFonts w:hint="eastAsia"/>
          <w:lang w:eastAsia="zh-CN"/>
        </w:rPr>
        <w:t>急救药品采购项目服务要求</w:t>
      </w:r>
    </w:p>
    <w:p>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jc w:val="left"/>
        <w:textAlignment w:val="auto"/>
        <w:rPr>
          <w:rFonts w:hint="eastAsia" w:cs="黑体" w:asciiTheme="minorEastAsia" w:hAnsiTheme="minorEastAsia" w:eastAsiaTheme="minorEastAsia"/>
          <w:b/>
          <w:bCs/>
          <w:color w:val="000000"/>
          <w:kern w:val="0"/>
          <w:sz w:val="28"/>
          <w:szCs w:val="28"/>
          <w:lang w:eastAsia="zh-CN"/>
        </w:rPr>
      </w:pPr>
      <w:r>
        <w:rPr>
          <w:rFonts w:hint="eastAsia" w:cs="黑体" w:asciiTheme="minorEastAsia" w:hAnsiTheme="minorEastAsia"/>
          <w:b/>
          <w:bCs/>
          <w:color w:val="000000"/>
          <w:kern w:val="0"/>
          <w:sz w:val="28"/>
          <w:szCs w:val="28"/>
          <w:lang w:eastAsia="zh-CN"/>
        </w:rPr>
        <w:t>一、</w:t>
      </w:r>
      <w:r>
        <w:rPr>
          <w:rFonts w:hint="eastAsia" w:cs="黑体" w:asciiTheme="minorEastAsia" w:hAnsiTheme="minorEastAsia" w:eastAsiaTheme="minorEastAsia"/>
          <w:b/>
          <w:bCs/>
          <w:color w:val="000000"/>
          <w:kern w:val="0"/>
          <w:sz w:val="28"/>
          <w:szCs w:val="28"/>
          <w:lang w:eastAsia="zh-CN"/>
        </w:rPr>
        <w:t>采购配送服务范围</w:t>
      </w:r>
    </w:p>
    <w:p>
      <w:pPr>
        <w:keepNext w:val="0"/>
        <w:keepLines w:val="0"/>
        <w:pageBreakBefore w:val="0"/>
        <w:widowControl/>
        <w:kinsoku/>
        <w:wordWrap/>
        <w:overflowPunct/>
        <w:topLinePunct w:val="0"/>
        <w:autoSpaceDE/>
        <w:autoSpaceDN/>
        <w:bidi w:val="0"/>
        <w:adjustRightInd/>
        <w:snapToGrid/>
        <w:spacing w:line="360" w:lineRule="auto"/>
        <w:ind w:firstLine="560" w:firstLineChars="200"/>
        <w:contextualSpacing/>
        <w:jc w:val="left"/>
        <w:textAlignment w:val="auto"/>
        <w:rPr>
          <w:rFonts w:hint="eastAsia" w:cs="黑体" w:asciiTheme="minorEastAsia" w:hAnsiTheme="minorEastAsia"/>
          <w:b w:val="0"/>
          <w:bCs w:val="0"/>
          <w:color w:val="000000"/>
          <w:kern w:val="0"/>
          <w:sz w:val="28"/>
          <w:szCs w:val="28"/>
          <w:lang w:val="en-US" w:eastAsia="zh-CN"/>
        </w:rPr>
      </w:pPr>
      <w:r>
        <w:rPr>
          <w:rFonts w:hint="eastAsia" w:cs="黑体" w:asciiTheme="minorEastAsia" w:hAnsiTheme="minorEastAsia"/>
          <w:b w:val="0"/>
          <w:bCs w:val="0"/>
          <w:color w:val="000000"/>
          <w:kern w:val="0"/>
          <w:sz w:val="28"/>
          <w:szCs w:val="28"/>
          <w:lang w:val="en-US" w:eastAsia="zh-CN"/>
        </w:rPr>
        <w:t>1.采购品种：急救用西药、中成药及中药材饮片、医疗器械等。</w:t>
      </w:r>
    </w:p>
    <w:p>
      <w:pPr>
        <w:keepNext w:val="0"/>
        <w:keepLines w:val="0"/>
        <w:pageBreakBefore w:val="0"/>
        <w:widowControl/>
        <w:kinsoku/>
        <w:wordWrap/>
        <w:overflowPunct/>
        <w:topLinePunct w:val="0"/>
        <w:autoSpaceDE/>
        <w:autoSpaceDN/>
        <w:bidi w:val="0"/>
        <w:adjustRightInd/>
        <w:snapToGrid/>
        <w:spacing w:line="360" w:lineRule="auto"/>
        <w:ind w:firstLine="560" w:firstLineChars="200"/>
        <w:contextualSpacing/>
        <w:jc w:val="left"/>
        <w:textAlignment w:val="auto"/>
        <w:rPr>
          <w:rFonts w:hint="eastAsia" w:cs="黑体" w:asciiTheme="minorEastAsia" w:hAnsiTheme="minorEastAsia"/>
          <w:b w:val="0"/>
          <w:bCs w:val="0"/>
          <w:color w:val="000000"/>
          <w:kern w:val="0"/>
          <w:sz w:val="28"/>
          <w:szCs w:val="28"/>
          <w:lang w:val="en-US" w:eastAsia="zh-CN"/>
        </w:rPr>
      </w:pPr>
      <w:r>
        <w:rPr>
          <w:rFonts w:hint="eastAsia" w:cs="黑体" w:asciiTheme="minorEastAsia" w:hAnsiTheme="minorEastAsia"/>
          <w:b w:val="0"/>
          <w:bCs w:val="0"/>
          <w:color w:val="000000"/>
          <w:kern w:val="0"/>
          <w:sz w:val="28"/>
          <w:szCs w:val="28"/>
          <w:lang w:val="en-US" w:eastAsia="zh-CN"/>
        </w:rPr>
        <w:t>2.具体品种及数量：按南方电网供应链（广西）有限公司采购需求数量配送。</w:t>
      </w:r>
    </w:p>
    <w:p>
      <w:pPr>
        <w:keepNext w:val="0"/>
        <w:keepLines w:val="0"/>
        <w:pageBreakBefore w:val="0"/>
        <w:widowControl/>
        <w:kinsoku/>
        <w:wordWrap/>
        <w:overflowPunct/>
        <w:topLinePunct w:val="0"/>
        <w:autoSpaceDE/>
        <w:autoSpaceDN/>
        <w:bidi w:val="0"/>
        <w:adjustRightInd/>
        <w:snapToGrid/>
        <w:spacing w:line="360" w:lineRule="auto"/>
        <w:ind w:firstLine="560" w:firstLineChars="200"/>
        <w:contextualSpacing/>
        <w:jc w:val="left"/>
        <w:textAlignment w:val="auto"/>
        <w:rPr>
          <w:rFonts w:hint="eastAsia" w:cs="黑体" w:asciiTheme="minorEastAsia" w:hAnsiTheme="minorEastAsia"/>
          <w:b w:val="0"/>
          <w:bCs w:val="0"/>
          <w:color w:val="000000"/>
          <w:kern w:val="0"/>
          <w:sz w:val="28"/>
          <w:szCs w:val="28"/>
          <w:lang w:val="en-US" w:eastAsia="zh-CN"/>
        </w:rPr>
      </w:pPr>
      <w:r>
        <w:rPr>
          <w:rFonts w:hint="eastAsia" w:cs="黑体" w:asciiTheme="minorEastAsia" w:hAnsiTheme="minorEastAsia"/>
          <w:b w:val="0"/>
          <w:bCs w:val="0"/>
          <w:color w:val="000000"/>
          <w:kern w:val="0"/>
          <w:sz w:val="28"/>
          <w:szCs w:val="28"/>
          <w:lang w:val="en-US" w:eastAsia="zh-CN"/>
        </w:rPr>
        <w:t>3.配送详细地址：广西南宁市兴宁区民主路6号电力D座、广西桂林市象山区沙河路1号、广西南宁市兴宁区民主路6-8号都市华庭13号三千烦恼丝步梯上3楼、南宁市良庆区云村路5号等公司办公场所，如需配送其他地点按照甲方要求配送。</w:t>
      </w:r>
    </w:p>
    <w:p>
      <w:pPr>
        <w:keepNext w:val="0"/>
        <w:keepLines w:val="0"/>
        <w:pageBreakBefore w:val="0"/>
        <w:widowControl/>
        <w:kinsoku/>
        <w:wordWrap/>
        <w:overflowPunct/>
        <w:topLinePunct w:val="0"/>
        <w:autoSpaceDE/>
        <w:autoSpaceDN/>
        <w:bidi w:val="0"/>
        <w:adjustRightInd/>
        <w:snapToGrid/>
        <w:spacing w:line="360" w:lineRule="auto"/>
        <w:ind w:firstLine="560" w:firstLineChars="200"/>
        <w:contextualSpacing/>
        <w:jc w:val="left"/>
        <w:textAlignment w:val="auto"/>
        <w:rPr>
          <w:rFonts w:hint="eastAsia" w:cs="黑体" w:asciiTheme="minorEastAsia" w:hAnsiTheme="minorEastAsia"/>
          <w:b w:val="0"/>
          <w:bCs w:val="0"/>
          <w:color w:val="000000"/>
          <w:kern w:val="0"/>
          <w:sz w:val="28"/>
          <w:szCs w:val="28"/>
          <w:lang w:val="en-US" w:eastAsia="zh-CN"/>
        </w:rPr>
      </w:pPr>
      <w:r>
        <w:rPr>
          <w:rFonts w:hint="eastAsia" w:cs="黑体" w:asciiTheme="minorEastAsia" w:hAnsiTheme="minorEastAsia"/>
          <w:b w:val="0"/>
          <w:bCs w:val="0"/>
          <w:color w:val="000000"/>
          <w:kern w:val="0"/>
          <w:sz w:val="28"/>
          <w:szCs w:val="28"/>
          <w:lang w:val="en-US" w:eastAsia="zh-CN"/>
        </w:rPr>
        <w:t>4.药品费用包含药品成本、药品运输及发放等所有费用。</w:t>
      </w:r>
    </w:p>
    <w:p>
      <w:pPr>
        <w:pStyle w:val="2"/>
        <w:numPr>
          <w:ilvl w:val="0"/>
          <w:numId w:val="0"/>
        </w:numPr>
        <w:ind w:firstLine="560" w:firstLineChars="200"/>
        <w:rPr>
          <w:rFonts w:hint="eastAsia" w:cs="黑体" w:asciiTheme="minorEastAsia" w:hAnsiTheme="minorEastAsia" w:eastAsiaTheme="minorEastAsia"/>
          <w:b w:val="0"/>
          <w:bCs w:val="0"/>
          <w:color w:val="000000"/>
          <w:kern w:val="0"/>
          <w:sz w:val="28"/>
          <w:szCs w:val="28"/>
          <w:lang w:val="en-US" w:eastAsia="zh-CN" w:bidi="ar-SA"/>
        </w:rPr>
      </w:pPr>
      <w:r>
        <w:rPr>
          <w:rFonts w:hint="eastAsia" w:cs="黑体" w:asciiTheme="minorEastAsia" w:hAnsiTheme="minorEastAsia" w:eastAsiaTheme="minorEastAsia"/>
          <w:b w:val="0"/>
          <w:bCs w:val="0"/>
          <w:color w:val="000000"/>
          <w:kern w:val="0"/>
          <w:sz w:val="28"/>
          <w:szCs w:val="28"/>
          <w:lang w:val="en-US" w:eastAsia="zh-CN" w:bidi="ar-SA"/>
        </w:rPr>
        <w:t>5.必须在约定时间内完成配送。</w:t>
      </w:r>
    </w:p>
    <w:p>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jc w:val="left"/>
        <w:textAlignment w:val="auto"/>
        <w:rPr>
          <w:rFonts w:hint="eastAsia" w:cs="黑体" w:asciiTheme="minorEastAsia" w:hAnsiTheme="minorEastAsia" w:eastAsiaTheme="minorEastAsia"/>
          <w:b/>
          <w:bCs/>
          <w:color w:val="000000"/>
          <w:kern w:val="0"/>
          <w:sz w:val="28"/>
          <w:szCs w:val="28"/>
          <w:lang w:eastAsia="zh-CN"/>
        </w:rPr>
      </w:pPr>
      <w:r>
        <w:rPr>
          <w:rFonts w:hint="eastAsia" w:cs="黑体" w:asciiTheme="minorEastAsia" w:hAnsiTheme="minorEastAsia"/>
          <w:b/>
          <w:bCs/>
          <w:color w:val="000000"/>
          <w:kern w:val="0"/>
          <w:sz w:val="28"/>
          <w:szCs w:val="28"/>
          <w:lang w:eastAsia="zh-CN"/>
        </w:rPr>
        <w:t>二、</w:t>
      </w:r>
      <w:r>
        <w:rPr>
          <w:rFonts w:hint="eastAsia" w:cs="黑体" w:asciiTheme="minorEastAsia" w:hAnsiTheme="minorEastAsia" w:eastAsiaTheme="minorEastAsia"/>
          <w:b/>
          <w:bCs/>
          <w:color w:val="000000"/>
          <w:kern w:val="0"/>
          <w:sz w:val="28"/>
          <w:szCs w:val="28"/>
          <w:lang w:eastAsia="zh-CN"/>
        </w:rPr>
        <w:t>药品的质量及管理要求</w:t>
      </w:r>
    </w:p>
    <w:p>
      <w:pPr>
        <w:keepNext w:val="0"/>
        <w:keepLines w:val="0"/>
        <w:pageBreakBefore w:val="0"/>
        <w:widowControl/>
        <w:kinsoku/>
        <w:wordWrap/>
        <w:overflowPunct/>
        <w:topLinePunct w:val="0"/>
        <w:autoSpaceDE/>
        <w:autoSpaceDN/>
        <w:bidi w:val="0"/>
        <w:adjustRightInd/>
        <w:snapToGrid/>
        <w:spacing w:line="360" w:lineRule="auto"/>
        <w:ind w:firstLine="560" w:firstLineChars="200"/>
        <w:contextualSpacing/>
        <w:jc w:val="left"/>
        <w:textAlignment w:val="auto"/>
        <w:rPr>
          <w:rFonts w:hint="eastAsia" w:cs="黑体" w:asciiTheme="minorEastAsia" w:hAnsiTheme="minorEastAsia"/>
          <w:b w:val="0"/>
          <w:bCs w:val="0"/>
          <w:color w:val="000000"/>
          <w:kern w:val="0"/>
          <w:sz w:val="28"/>
          <w:szCs w:val="28"/>
          <w:lang w:val="en-US" w:eastAsia="zh-CN"/>
        </w:rPr>
      </w:pPr>
      <w:r>
        <w:rPr>
          <w:rFonts w:hint="eastAsia" w:cs="黑体" w:asciiTheme="minorEastAsia" w:hAnsiTheme="minorEastAsia"/>
          <w:b w:val="0"/>
          <w:bCs w:val="0"/>
          <w:color w:val="000000"/>
          <w:kern w:val="0"/>
          <w:sz w:val="28"/>
          <w:szCs w:val="28"/>
          <w:lang w:val="en-US" w:eastAsia="zh-CN"/>
        </w:rPr>
        <w:t>1.所供药品符合国家药品质量及管理标准。</w:t>
      </w:r>
    </w:p>
    <w:p>
      <w:pPr>
        <w:keepNext w:val="0"/>
        <w:keepLines w:val="0"/>
        <w:pageBreakBefore w:val="0"/>
        <w:widowControl/>
        <w:kinsoku/>
        <w:wordWrap/>
        <w:overflowPunct/>
        <w:topLinePunct w:val="0"/>
        <w:autoSpaceDE/>
        <w:autoSpaceDN/>
        <w:bidi w:val="0"/>
        <w:adjustRightInd/>
        <w:snapToGrid/>
        <w:spacing w:line="360" w:lineRule="auto"/>
        <w:ind w:firstLine="560" w:firstLineChars="200"/>
        <w:contextualSpacing/>
        <w:jc w:val="left"/>
        <w:textAlignment w:val="auto"/>
        <w:rPr>
          <w:rFonts w:hint="eastAsia" w:cs="黑体" w:asciiTheme="minorEastAsia" w:hAnsiTheme="minorEastAsia"/>
          <w:b w:val="0"/>
          <w:bCs w:val="0"/>
          <w:color w:val="000000"/>
          <w:kern w:val="0"/>
          <w:sz w:val="28"/>
          <w:szCs w:val="28"/>
          <w:lang w:val="en-US" w:eastAsia="zh-CN"/>
        </w:rPr>
      </w:pPr>
      <w:r>
        <w:rPr>
          <w:rFonts w:hint="eastAsia" w:cs="黑体" w:asciiTheme="minorEastAsia" w:hAnsiTheme="minorEastAsia"/>
          <w:b w:val="0"/>
          <w:bCs w:val="0"/>
          <w:color w:val="000000"/>
          <w:kern w:val="0"/>
          <w:sz w:val="28"/>
          <w:szCs w:val="28"/>
          <w:lang w:val="en-US" w:eastAsia="zh-CN"/>
        </w:rPr>
        <w:t>2.所供药品有效期在一年及以上（以到货签收日期为准）。</w:t>
      </w:r>
    </w:p>
    <w:p>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jc w:val="left"/>
        <w:textAlignment w:val="auto"/>
        <w:rPr>
          <w:rFonts w:hint="eastAsia" w:cs="黑体" w:asciiTheme="minorEastAsia" w:hAnsiTheme="minorEastAsia" w:eastAsiaTheme="minorEastAsia"/>
          <w:b/>
          <w:bCs/>
          <w:color w:val="000000"/>
          <w:kern w:val="0"/>
          <w:sz w:val="28"/>
          <w:szCs w:val="28"/>
          <w:lang w:val="en-US" w:eastAsia="zh-CN"/>
        </w:rPr>
      </w:pPr>
      <w:r>
        <w:rPr>
          <w:rFonts w:hint="eastAsia" w:cs="黑体" w:asciiTheme="minorEastAsia" w:hAnsiTheme="minorEastAsia"/>
          <w:b/>
          <w:bCs/>
          <w:color w:val="000000"/>
          <w:kern w:val="0"/>
          <w:sz w:val="28"/>
          <w:szCs w:val="28"/>
          <w:lang w:val="en-US" w:eastAsia="zh-CN"/>
        </w:rPr>
        <w:t>三、</w:t>
      </w:r>
      <w:r>
        <w:rPr>
          <w:rFonts w:hint="eastAsia" w:cs="黑体" w:asciiTheme="minorEastAsia" w:hAnsiTheme="minorEastAsia" w:eastAsiaTheme="minorEastAsia"/>
          <w:b/>
          <w:bCs/>
          <w:color w:val="000000"/>
          <w:kern w:val="0"/>
          <w:sz w:val="28"/>
          <w:szCs w:val="28"/>
          <w:lang w:val="en-US" w:eastAsia="zh-CN"/>
        </w:rPr>
        <w:t xml:space="preserve">双方的权责 </w:t>
      </w:r>
    </w:p>
    <w:p>
      <w:pPr>
        <w:pStyle w:val="2"/>
        <w:rPr>
          <w:rFonts w:hint="eastAsia" w:cs="黑体" w:asciiTheme="minorEastAsia" w:hAnsiTheme="minorEastAsia"/>
          <w:b w:val="0"/>
          <w:bCs w:val="0"/>
          <w:color w:val="000000"/>
          <w:kern w:val="0"/>
          <w:sz w:val="28"/>
          <w:szCs w:val="28"/>
          <w:lang w:val="en-US" w:eastAsia="zh-CN"/>
        </w:rPr>
      </w:pPr>
      <w:r>
        <w:rPr>
          <w:rFonts w:hint="eastAsia" w:cs="黑体" w:asciiTheme="minorEastAsia" w:hAnsiTheme="minorEastAsia"/>
          <w:b w:val="0"/>
          <w:bCs w:val="0"/>
          <w:color w:val="000000"/>
          <w:kern w:val="0"/>
          <w:sz w:val="28"/>
          <w:szCs w:val="28"/>
          <w:lang w:val="en-US" w:eastAsia="zh-CN"/>
        </w:rPr>
        <w:t>（一）甲方的权利和义务</w:t>
      </w:r>
    </w:p>
    <w:p>
      <w:pPr>
        <w:pStyle w:val="2"/>
        <w:ind w:firstLine="560" w:firstLineChars="200"/>
        <w:rPr>
          <w:rFonts w:hint="eastAsia" w:cs="黑体" w:asciiTheme="minorEastAsia" w:hAnsiTheme="minorEastAsia"/>
          <w:b w:val="0"/>
          <w:bCs w:val="0"/>
          <w:color w:val="000000"/>
          <w:kern w:val="0"/>
          <w:sz w:val="28"/>
          <w:szCs w:val="28"/>
          <w:lang w:val="en-US" w:eastAsia="zh-CN"/>
        </w:rPr>
      </w:pPr>
      <w:r>
        <w:rPr>
          <w:rFonts w:hint="eastAsia" w:cs="黑体" w:asciiTheme="minorEastAsia" w:hAnsiTheme="minorEastAsia"/>
          <w:b w:val="0"/>
          <w:bCs w:val="0"/>
          <w:color w:val="000000"/>
          <w:kern w:val="0"/>
          <w:sz w:val="28"/>
          <w:szCs w:val="28"/>
          <w:lang w:val="en-US" w:eastAsia="zh-CN"/>
        </w:rPr>
        <w:t>１.甲方有权对乙方的工作进行检查监督，要求乙方把药品质量放在首位，确保职工用药安全。</w:t>
      </w:r>
    </w:p>
    <w:p>
      <w:pPr>
        <w:pStyle w:val="2"/>
        <w:ind w:firstLine="560" w:firstLineChars="200"/>
        <w:rPr>
          <w:rFonts w:hint="eastAsia" w:cs="黑体" w:asciiTheme="minorEastAsia" w:hAnsiTheme="minorEastAsia"/>
          <w:b w:val="0"/>
          <w:bCs w:val="0"/>
          <w:color w:val="000000"/>
          <w:kern w:val="0"/>
          <w:sz w:val="28"/>
          <w:szCs w:val="28"/>
          <w:lang w:val="en-US" w:eastAsia="zh-CN"/>
        </w:rPr>
      </w:pPr>
      <w:r>
        <w:rPr>
          <w:rFonts w:hint="eastAsia" w:cs="黑体" w:asciiTheme="minorEastAsia" w:hAnsiTheme="minorEastAsia"/>
          <w:b w:val="0"/>
          <w:bCs w:val="0"/>
          <w:color w:val="000000"/>
          <w:kern w:val="0"/>
          <w:sz w:val="28"/>
          <w:szCs w:val="28"/>
          <w:lang w:val="en-US" w:eastAsia="zh-CN"/>
        </w:rPr>
        <w:t>2.拒绝接收不合格的药品，若已接收了但在使用中发现不合格的，乙方要予以更换。</w:t>
      </w:r>
    </w:p>
    <w:p>
      <w:pPr>
        <w:pStyle w:val="2"/>
        <w:rPr>
          <w:rFonts w:hint="eastAsia" w:cs="黑体" w:asciiTheme="minorEastAsia" w:hAnsiTheme="minorEastAsia"/>
          <w:b w:val="0"/>
          <w:bCs w:val="0"/>
          <w:color w:val="000000"/>
          <w:kern w:val="0"/>
          <w:sz w:val="28"/>
          <w:szCs w:val="28"/>
          <w:lang w:val="en-US" w:eastAsia="zh-CN"/>
        </w:rPr>
      </w:pPr>
      <w:r>
        <w:rPr>
          <w:rFonts w:hint="eastAsia" w:cs="黑体" w:asciiTheme="minorEastAsia" w:hAnsiTheme="minorEastAsia"/>
          <w:b w:val="0"/>
          <w:bCs w:val="0"/>
          <w:color w:val="000000"/>
          <w:kern w:val="0"/>
          <w:sz w:val="28"/>
          <w:szCs w:val="28"/>
          <w:lang w:val="en-US" w:eastAsia="zh-CN"/>
        </w:rPr>
        <w:t>（二）乙方的权利和义务</w:t>
      </w:r>
    </w:p>
    <w:p>
      <w:pPr>
        <w:pStyle w:val="2"/>
        <w:ind w:firstLine="560" w:firstLineChars="200"/>
        <w:rPr>
          <w:rFonts w:hint="eastAsia" w:cs="黑体" w:asciiTheme="minorEastAsia" w:hAnsiTheme="minorEastAsia"/>
          <w:b w:val="0"/>
          <w:bCs w:val="0"/>
          <w:color w:val="000000"/>
          <w:kern w:val="0"/>
          <w:sz w:val="28"/>
          <w:szCs w:val="28"/>
          <w:lang w:val="en-US" w:eastAsia="zh-CN"/>
        </w:rPr>
      </w:pPr>
      <w:r>
        <w:rPr>
          <w:rFonts w:hint="eastAsia" w:cs="黑体" w:asciiTheme="minorEastAsia" w:hAnsiTheme="minorEastAsia"/>
          <w:b w:val="0"/>
          <w:bCs w:val="0"/>
          <w:color w:val="000000"/>
          <w:kern w:val="0"/>
          <w:sz w:val="28"/>
          <w:szCs w:val="28"/>
          <w:lang w:val="en-US" w:eastAsia="zh-CN"/>
        </w:rPr>
        <w:t>1.乙方保证向甲方提供的药品符合法定的质量标准和有关质量要求的规定，进口药品应提供《进口药品注册证》和《进口药品通关单》复印件，并加盖乙方质量管理机构原印章,对药品安全负全责。</w:t>
      </w:r>
    </w:p>
    <w:p>
      <w:pPr>
        <w:pStyle w:val="2"/>
        <w:ind w:firstLine="560" w:firstLineChars="200"/>
        <w:rPr>
          <w:rFonts w:hint="eastAsia" w:cs="黑体" w:asciiTheme="minorEastAsia" w:hAnsiTheme="minorEastAsia"/>
          <w:b w:val="0"/>
          <w:bCs w:val="0"/>
          <w:color w:val="000000"/>
          <w:kern w:val="0"/>
          <w:sz w:val="28"/>
          <w:szCs w:val="28"/>
          <w:lang w:val="en-US" w:eastAsia="zh-CN"/>
        </w:rPr>
      </w:pPr>
      <w:r>
        <w:rPr>
          <w:rFonts w:hint="eastAsia" w:cs="黑体" w:asciiTheme="minorEastAsia" w:hAnsiTheme="minorEastAsia"/>
          <w:b w:val="0"/>
          <w:bCs w:val="0"/>
          <w:color w:val="000000"/>
          <w:kern w:val="0"/>
          <w:sz w:val="28"/>
          <w:szCs w:val="28"/>
          <w:lang w:val="en-US" w:eastAsia="zh-CN"/>
        </w:rPr>
        <w:t>2.向甲方提供的药品外观完好无损，包装及说明书内容必须符合《药品包装、标签和说明书管理规定》及有关规定要求。</w:t>
      </w:r>
    </w:p>
    <w:p>
      <w:pPr>
        <w:pStyle w:val="2"/>
        <w:ind w:firstLine="560" w:firstLineChars="200"/>
        <w:rPr>
          <w:rFonts w:hint="eastAsia" w:cs="黑体" w:asciiTheme="minorEastAsia" w:hAnsiTheme="minorEastAsia"/>
          <w:b w:val="0"/>
          <w:bCs w:val="0"/>
          <w:color w:val="000000"/>
          <w:kern w:val="0"/>
          <w:sz w:val="28"/>
          <w:szCs w:val="28"/>
          <w:lang w:val="en-US" w:eastAsia="zh-CN"/>
        </w:rPr>
      </w:pPr>
      <w:r>
        <w:rPr>
          <w:rFonts w:hint="eastAsia" w:cs="黑体" w:asciiTheme="minorEastAsia" w:hAnsiTheme="minorEastAsia"/>
          <w:b w:val="0"/>
          <w:bCs w:val="0"/>
          <w:color w:val="000000"/>
          <w:kern w:val="0"/>
          <w:sz w:val="28"/>
          <w:szCs w:val="28"/>
          <w:lang w:val="en-US" w:eastAsia="zh-CN"/>
        </w:rPr>
        <w:t>3.把药品质量放在首位,杜绝质量事故发生。</w:t>
      </w:r>
    </w:p>
    <w:p>
      <w:pPr>
        <w:pStyle w:val="2"/>
        <w:ind w:firstLine="560" w:firstLineChars="200"/>
        <w:rPr>
          <w:rFonts w:hint="eastAsia" w:cs="黑体" w:asciiTheme="minorEastAsia" w:hAnsiTheme="minorEastAsia"/>
          <w:b w:val="0"/>
          <w:bCs w:val="0"/>
          <w:color w:val="000000"/>
          <w:kern w:val="0"/>
          <w:sz w:val="28"/>
          <w:szCs w:val="28"/>
          <w:lang w:val="en-US" w:eastAsia="zh-CN"/>
        </w:rPr>
      </w:pPr>
      <w:r>
        <w:rPr>
          <w:rFonts w:hint="eastAsia" w:cs="黑体" w:asciiTheme="minorEastAsia" w:hAnsiTheme="minorEastAsia"/>
          <w:b w:val="0"/>
          <w:bCs w:val="0"/>
          <w:color w:val="000000"/>
          <w:kern w:val="0"/>
          <w:sz w:val="28"/>
          <w:szCs w:val="28"/>
          <w:lang w:val="en-US" w:eastAsia="zh-CN"/>
        </w:rPr>
        <w:t>4.接受甲方监督，确保甲方正常用药需求。</w:t>
      </w:r>
    </w:p>
    <w:p>
      <w:pPr>
        <w:pStyle w:val="2"/>
        <w:ind w:firstLine="560" w:firstLineChars="200"/>
        <w:rPr>
          <w:rFonts w:hint="eastAsia" w:cs="黑体" w:asciiTheme="minorEastAsia" w:hAnsiTheme="minorEastAsia"/>
          <w:b w:val="0"/>
          <w:bCs w:val="0"/>
          <w:color w:val="000000"/>
          <w:kern w:val="0"/>
          <w:sz w:val="28"/>
          <w:szCs w:val="28"/>
          <w:lang w:val="en-US" w:eastAsia="zh-CN"/>
        </w:rPr>
      </w:pPr>
      <w:r>
        <w:rPr>
          <w:rFonts w:hint="eastAsia" w:cs="黑体" w:asciiTheme="minorEastAsia" w:hAnsiTheme="minorEastAsia"/>
          <w:b w:val="0"/>
          <w:bCs w:val="0"/>
          <w:color w:val="000000"/>
          <w:kern w:val="0"/>
          <w:sz w:val="28"/>
          <w:szCs w:val="28"/>
          <w:lang w:val="en-US" w:eastAsia="zh-CN"/>
        </w:rPr>
        <w:t>5.乙方必须严格遵守国家有关法律及甲方安全管理有关规定，对药房及药品的安全负责。</w:t>
      </w:r>
    </w:p>
    <w:p>
      <w:pPr>
        <w:pStyle w:val="2"/>
        <w:ind w:firstLine="560" w:firstLineChars="200"/>
        <w:rPr>
          <w:rFonts w:hint="eastAsia" w:cs="黑体" w:asciiTheme="minorEastAsia" w:hAnsiTheme="minorEastAsia"/>
          <w:b w:val="0"/>
          <w:bCs w:val="0"/>
          <w:color w:val="000000"/>
          <w:kern w:val="0"/>
          <w:sz w:val="28"/>
          <w:szCs w:val="28"/>
          <w:lang w:val="en-US" w:eastAsia="zh-CN"/>
        </w:rPr>
      </w:pPr>
      <w:r>
        <w:rPr>
          <w:rFonts w:hint="eastAsia" w:cs="黑体" w:asciiTheme="minorEastAsia" w:hAnsiTheme="minorEastAsia"/>
          <w:b w:val="0"/>
          <w:bCs w:val="0"/>
          <w:color w:val="000000"/>
          <w:kern w:val="0"/>
          <w:sz w:val="28"/>
          <w:szCs w:val="28"/>
          <w:lang w:val="en-US" w:eastAsia="zh-CN"/>
        </w:rPr>
        <w:t>6.乙方须免费向甲方提供过期药品回收及处置服务。</w:t>
      </w:r>
    </w:p>
    <w:p>
      <w:pPr>
        <w:pStyle w:val="2"/>
        <w:rPr>
          <w:rFonts w:hint="eastAsia" w:cs="黑体" w:asciiTheme="minorEastAsia" w:hAnsiTheme="minorEastAsia" w:eastAsiaTheme="minorEastAsia"/>
          <w:b/>
          <w:bCs/>
          <w:color w:val="000000"/>
          <w:kern w:val="0"/>
          <w:sz w:val="28"/>
          <w:szCs w:val="28"/>
          <w:lang w:val="en-US" w:eastAsia="zh-CN"/>
        </w:rPr>
      </w:pPr>
      <w:r>
        <w:rPr>
          <w:rFonts w:hint="eastAsia" w:cs="黑体" w:asciiTheme="minorEastAsia" w:hAnsiTheme="minorEastAsia"/>
          <w:b/>
          <w:bCs/>
          <w:color w:val="000000"/>
          <w:kern w:val="0"/>
          <w:sz w:val="28"/>
          <w:szCs w:val="28"/>
          <w:lang w:val="en-US" w:eastAsia="zh-CN"/>
        </w:rPr>
        <w:t>四、</w:t>
      </w:r>
      <w:r>
        <w:rPr>
          <w:rFonts w:hint="eastAsia" w:cs="黑体" w:asciiTheme="minorEastAsia" w:hAnsiTheme="minorEastAsia" w:eastAsiaTheme="minorEastAsia"/>
          <w:b/>
          <w:bCs/>
          <w:color w:val="000000"/>
          <w:kern w:val="0"/>
          <w:sz w:val="28"/>
          <w:szCs w:val="28"/>
          <w:lang w:val="en-US" w:eastAsia="zh-CN"/>
        </w:rPr>
        <w:t>其他</w:t>
      </w:r>
    </w:p>
    <w:p>
      <w:pPr>
        <w:pStyle w:val="2"/>
        <w:ind w:firstLine="560" w:firstLineChars="200"/>
        <w:rPr>
          <w:rFonts w:hint="eastAsia" w:cs="黑体" w:asciiTheme="minorEastAsia" w:hAnsiTheme="minorEastAsia"/>
          <w:b w:val="0"/>
          <w:bCs w:val="0"/>
          <w:color w:val="000000"/>
          <w:kern w:val="0"/>
          <w:sz w:val="28"/>
          <w:szCs w:val="28"/>
          <w:lang w:eastAsia="zh-CN"/>
        </w:rPr>
      </w:pPr>
      <w:r>
        <w:rPr>
          <w:rFonts w:hint="eastAsia" w:cs="黑体" w:asciiTheme="minorEastAsia" w:hAnsiTheme="minorEastAsia"/>
          <w:b w:val="0"/>
          <w:bCs w:val="0"/>
          <w:color w:val="000000"/>
          <w:kern w:val="0"/>
          <w:sz w:val="28"/>
          <w:szCs w:val="28"/>
          <w:lang w:val="en-US" w:eastAsia="zh-CN"/>
        </w:rPr>
        <w:t>1.甲方</w:t>
      </w:r>
      <w:r>
        <w:rPr>
          <w:rFonts w:hint="eastAsia" w:cs="黑体" w:asciiTheme="minorEastAsia" w:hAnsiTheme="minorEastAsia"/>
          <w:b w:val="0"/>
          <w:bCs w:val="0"/>
          <w:color w:val="000000"/>
          <w:kern w:val="0"/>
          <w:sz w:val="28"/>
          <w:szCs w:val="28"/>
          <w:lang w:eastAsia="zh-CN"/>
        </w:rPr>
        <w:t>按需求应提前一个月内向乙方提供药品采购订单表，急需或加急供货除外。</w:t>
      </w:r>
    </w:p>
    <w:p>
      <w:pPr>
        <w:pStyle w:val="2"/>
        <w:ind w:firstLine="560" w:firstLineChars="200"/>
        <w:rPr>
          <w:rFonts w:hint="eastAsia" w:cs="黑体" w:asciiTheme="minorEastAsia" w:hAnsiTheme="minorEastAsia" w:eastAsiaTheme="minorEastAsia"/>
          <w:b w:val="0"/>
          <w:bCs w:val="0"/>
          <w:color w:val="000000"/>
          <w:kern w:val="0"/>
          <w:sz w:val="28"/>
          <w:szCs w:val="28"/>
          <w:lang w:eastAsia="zh-CN"/>
        </w:rPr>
      </w:pPr>
      <w:r>
        <w:rPr>
          <w:rFonts w:hint="eastAsia" w:cs="黑体" w:asciiTheme="minorEastAsia" w:hAnsiTheme="minorEastAsia"/>
          <w:b w:val="0"/>
          <w:bCs w:val="0"/>
          <w:color w:val="000000"/>
          <w:kern w:val="0"/>
          <w:sz w:val="28"/>
          <w:szCs w:val="28"/>
          <w:lang w:val="en-US" w:eastAsia="zh-CN"/>
        </w:rPr>
        <w:t>2.</w:t>
      </w:r>
      <w:r>
        <w:rPr>
          <w:rFonts w:hint="eastAsia" w:cs="黑体" w:asciiTheme="minorEastAsia" w:hAnsiTheme="minorEastAsia"/>
          <w:b w:val="0"/>
          <w:bCs w:val="0"/>
          <w:color w:val="000000"/>
          <w:kern w:val="0"/>
          <w:sz w:val="28"/>
          <w:szCs w:val="28"/>
          <w:lang w:eastAsia="zh-CN"/>
        </w:rPr>
        <w:t>配送地址如有变更需服从甲方安排</w:t>
      </w:r>
      <w:r>
        <w:rPr>
          <w:rFonts w:hint="eastAsia" w:cs="黑体" w:asciiTheme="minorEastAsia" w:hAnsiTheme="minorEastAsia" w:eastAsiaTheme="minorEastAsia"/>
          <w:b w:val="0"/>
          <w:bCs w:val="0"/>
          <w:color w:val="000000"/>
          <w:kern w:val="0"/>
          <w:sz w:val="28"/>
          <w:szCs w:val="28"/>
          <w:lang w:eastAsia="zh-CN"/>
        </w:rPr>
        <w:t>。</w:t>
      </w:r>
    </w:p>
    <w:p>
      <w:pPr>
        <w:pStyle w:val="3"/>
        <w:ind w:firstLine="560" w:firstLineChars="200"/>
        <w:jc w:val="both"/>
        <w:rPr>
          <w:rFonts w:hint="default" w:cs="黑体" w:asciiTheme="minorEastAsia" w:hAnsiTheme="minorEastAsia" w:eastAsiaTheme="minorEastAsia"/>
          <w:b w:val="0"/>
          <w:bCs w:val="0"/>
          <w:color w:val="000000"/>
          <w:kern w:val="0"/>
          <w:sz w:val="28"/>
          <w:szCs w:val="28"/>
          <w:lang w:val="en-US" w:eastAsia="zh-CN" w:bidi="ar-SA"/>
        </w:rPr>
      </w:pPr>
      <w:r>
        <w:rPr>
          <w:rFonts w:hint="eastAsia" w:cs="黑体" w:asciiTheme="minorEastAsia" w:hAnsiTheme="minorEastAsia" w:eastAsiaTheme="minorEastAsia"/>
          <w:b w:val="0"/>
          <w:bCs w:val="0"/>
          <w:color w:val="000000"/>
          <w:kern w:val="0"/>
          <w:sz w:val="28"/>
          <w:szCs w:val="28"/>
          <w:lang w:val="en-US" w:eastAsia="zh-CN" w:bidi="ar-SA"/>
        </w:rPr>
        <w:t>3.本项目据实结算，以实际采购到货数量为准。</w:t>
      </w:r>
      <w:bookmarkStart w:id="0" w:name="_GoBack"/>
      <w:bookmarkEnd w:id="0"/>
    </w:p>
    <w:p>
      <w:pPr>
        <w:pStyle w:val="2"/>
        <w:rPr>
          <w:rFonts w:hint="eastAsia"/>
          <w:lang w:eastAsia="zh-CN"/>
        </w:rPr>
      </w:pPr>
    </w:p>
    <w:p>
      <w:pPr>
        <w:pStyle w:val="2"/>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665EE2"/>
    <w:rsid w:val="018F5DE1"/>
    <w:rsid w:val="09331E83"/>
    <w:rsid w:val="0CA90787"/>
    <w:rsid w:val="0E94782B"/>
    <w:rsid w:val="0EB4052B"/>
    <w:rsid w:val="0ED32C8A"/>
    <w:rsid w:val="10C1060B"/>
    <w:rsid w:val="18AB43C5"/>
    <w:rsid w:val="1B5D63F1"/>
    <w:rsid w:val="21AE4866"/>
    <w:rsid w:val="21C11732"/>
    <w:rsid w:val="31532761"/>
    <w:rsid w:val="356814A4"/>
    <w:rsid w:val="37A40F1D"/>
    <w:rsid w:val="3A9D40B6"/>
    <w:rsid w:val="3C665EE2"/>
    <w:rsid w:val="3D9E4592"/>
    <w:rsid w:val="3FE04753"/>
    <w:rsid w:val="477A2B4A"/>
    <w:rsid w:val="4FB61D55"/>
    <w:rsid w:val="501442ED"/>
    <w:rsid w:val="53603734"/>
    <w:rsid w:val="584C2CC1"/>
    <w:rsid w:val="593C2000"/>
    <w:rsid w:val="5CAD579C"/>
    <w:rsid w:val="5E2B5BCE"/>
    <w:rsid w:val="5E7F3778"/>
    <w:rsid w:val="5EAC56AE"/>
    <w:rsid w:val="60A3539C"/>
    <w:rsid w:val="61FB70B5"/>
    <w:rsid w:val="631F7CAE"/>
    <w:rsid w:val="64BE506A"/>
    <w:rsid w:val="65556288"/>
    <w:rsid w:val="656C4A7E"/>
    <w:rsid w:val="671949D4"/>
    <w:rsid w:val="673B646A"/>
    <w:rsid w:val="690A0FED"/>
    <w:rsid w:val="6AA87B5B"/>
    <w:rsid w:val="6B295F22"/>
    <w:rsid w:val="711B4864"/>
    <w:rsid w:val="71B47A01"/>
    <w:rsid w:val="72E3200F"/>
    <w:rsid w:val="738E59B0"/>
    <w:rsid w:val="7624387E"/>
    <w:rsid w:val="76446418"/>
    <w:rsid w:val="7A1E0CF3"/>
    <w:rsid w:val="7AF53541"/>
    <w:rsid w:val="7CCA45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style>
  <w:style w:type="paragraph" w:styleId="3">
    <w:name w:val="Title"/>
    <w:basedOn w:val="1"/>
    <w:next w:val="1"/>
    <w:qFormat/>
    <w:uiPriority w:val="0"/>
    <w:pPr>
      <w:spacing w:beforeLines="100" w:afterLines="100"/>
      <w:jc w:val="center"/>
      <w:outlineLvl w:val="0"/>
    </w:pPr>
    <w:rPr>
      <w:rFonts w:ascii="Arial" w:hAnsi="Arial" w:eastAsia="黑体" w:cs="Arial"/>
      <w:bCs/>
      <w:sz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2024-10-29T07:44:00Z</dcterms:created>
  <dc:creator>陈紫晴</dc:creator>
  <cp:lastModifiedBy>兰艳妮</cp:lastModifiedBy>
  <dcterms:modified xsi:type="dcterms:W3CDTF">2026-06-23T08:05:32Z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0C4CF60944D0439B89BBDEC7DBCBE11C</vt:lpwstr>
  </property>
</Properties>
</file>