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center"/>
        <w:rPr>
          <w:rFonts w:hint="eastAsia" w:ascii="宋体" w:hAnsi="宋体" w:eastAsia="宋体"/>
          <w:b/>
          <w:bCs/>
        </w:rPr>
      </w:pPr>
      <w:r>
        <w:rPr>
          <w:rFonts w:hint="eastAsia" w:ascii="宋体" w:hAnsi="宋体" w:eastAsia="宋体"/>
          <w:b/>
          <w:bCs/>
        </w:rPr>
        <w:t>报价表</w:t>
      </w:r>
    </w:p>
    <w:tbl>
      <w:tblPr>
        <w:tblStyle w:val="14"/>
        <w:tblpPr w:leftFromText="180" w:rightFromText="180" w:vertAnchor="text" w:horzAnchor="page" w:tblpX="1552" w:tblpY="321"/>
        <w:tblOverlap w:val="never"/>
        <w:tblW w:w="495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4"/>
        <w:gridCol w:w="3886"/>
        <w:gridCol w:w="1420"/>
        <w:gridCol w:w="16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2" w:hRule="atLeast"/>
        </w:trPr>
        <w:tc>
          <w:tcPr>
            <w:tcW w:w="897" w:type="pct"/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eastAsia="zh-CN"/>
              </w:rPr>
              <w:t>服务名称</w:t>
            </w:r>
          </w:p>
        </w:tc>
        <w:tc>
          <w:tcPr>
            <w:tcW w:w="2302" w:type="pct"/>
            <w:tcBorders>
              <w:bottom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eastAsia="zh-CN"/>
              </w:rPr>
              <w:t>服务内容</w:t>
            </w:r>
          </w:p>
        </w:tc>
        <w:tc>
          <w:tcPr>
            <w:tcW w:w="841" w:type="pct"/>
            <w:tcBorders>
              <w:bottom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 w:val="21"/>
                <w:szCs w:val="21"/>
              </w:rPr>
              <w:t>最高限价</w:t>
            </w:r>
          </w:p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>（含税）</w:t>
            </w: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val="en-US" w:eastAsia="zh-CN"/>
              </w:rPr>
              <w:t>/万</w:t>
            </w: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>元</w:t>
            </w:r>
          </w:p>
        </w:tc>
        <w:tc>
          <w:tcPr>
            <w:tcW w:w="958" w:type="pct"/>
            <w:tcBorders>
              <w:bottom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 xml:space="preserve">  报价人报价（含税）/</w:t>
            </w: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eastAsia="zh-CN"/>
              </w:rPr>
              <w:t>万</w:t>
            </w: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2" w:hRule="atLeast"/>
        </w:trPr>
        <w:tc>
          <w:tcPr>
            <w:tcW w:w="897" w:type="pct"/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eastAsia="zh-CN"/>
              </w:rPr>
              <w:t>辅助服务费率定价公允性分析</w:t>
            </w:r>
          </w:p>
        </w:tc>
        <w:tc>
          <w:tcPr>
            <w:tcW w:w="2302" w:type="pct"/>
            <w:tcBorders>
              <w:bottom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eastAsia" w:ascii="Times New Roman" w:hAnsi="Times New Roman" w:eastAsia="仿宋_GB2312" w:cstheme="minorBidi"/>
                <w:kern w:val="0"/>
                <w:sz w:val="28"/>
                <w:szCs w:val="22"/>
                <w:lang w:val="en-US" w:eastAsia="zh-CN" w:bidi="ar-SA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eastAsia="zh-CN"/>
              </w:rPr>
              <w:t>结合成本分析结果与市场调研数据，综合运用成本法和市场法等适宜的价格鉴证评估方法，必要时辅以收益法进行交叉验证，对服务费率定价进行公允性论证，出具出具《辅助服务费率定价公允性分析报告》</w:t>
            </w:r>
            <w:r>
              <w:rPr>
                <w:rFonts w:hint="eastAsia"/>
                <w:kern w:val="0"/>
                <w:szCs w:val="22"/>
              </w:rPr>
              <w:t>。</w:t>
            </w:r>
          </w:p>
        </w:tc>
        <w:tc>
          <w:tcPr>
            <w:tcW w:w="841" w:type="pct"/>
            <w:tcBorders>
              <w:bottom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default" w:cs="Times New Roman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val="en-US" w:eastAsia="zh-CN"/>
              </w:rPr>
              <w:t>4.3290</w:t>
            </w:r>
          </w:p>
        </w:tc>
        <w:tc>
          <w:tcPr>
            <w:tcW w:w="958" w:type="pct"/>
            <w:tcBorders>
              <w:bottom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</w:p>
        </w:tc>
      </w:tr>
    </w:tbl>
    <w:p>
      <w:pPr>
        <w:spacing w:line="360" w:lineRule="auto"/>
        <w:ind w:firstLine="48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备注：当报价人</w:t>
      </w:r>
      <w:r>
        <w:rPr>
          <w:rFonts w:hint="eastAsia" w:ascii="宋体" w:hAnsi="宋体" w:eastAsia="宋体" w:cs="宋体"/>
          <w:sz w:val="24"/>
          <w:lang w:eastAsia="zh-CN"/>
        </w:rPr>
        <w:t>服务</w:t>
      </w:r>
      <w:r>
        <w:rPr>
          <w:rFonts w:hint="eastAsia" w:ascii="宋体" w:hAnsi="宋体" w:eastAsia="宋体" w:cs="宋体"/>
          <w:sz w:val="24"/>
        </w:rPr>
        <w:t>报价低于最高限价的85%时，须提供详细的成本分析报告，报价人不能合理说明或者不能提供相应证明材料的，采购</w:t>
      </w:r>
      <w:r>
        <w:rPr>
          <w:rFonts w:hint="eastAsia" w:ascii="宋体" w:hAnsi="宋体" w:eastAsia="宋体" w:cs="宋体"/>
          <w:sz w:val="24"/>
          <w:lang w:eastAsia="zh-CN"/>
        </w:rPr>
        <w:t>人</w:t>
      </w:r>
      <w:r>
        <w:rPr>
          <w:rFonts w:hint="eastAsia" w:ascii="宋体" w:hAnsi="宋体" w:eastAsia="宋体" w:cs="宋体"/>
          <w:sz w:val="24"/>
        </w:rPr>
        <w:t>有权认定该报价人以低于成本报价竞标，并否决其</w:t>
      </w:r>
      <w:r>
        <w:rPr>
          <w:rFonts w:hint="eastAsia" w:ascii="宋体" w:hAnsi="宋体" w:eastAsia="宋体" w:cs="宋体"/>
          <w:sz w:val="24"/>
          <w:lang w:eastAsia="zh-CN"/>
        </w:rPr>
        <w:t>报价</w:t>
      </w:r>
      <w:bookmarkStart w:id="0" w:name="_GoBack"/>
      <w:bookmarkEnd w:id="0"/>
      <w:r>
        <w:rPr>
          <w:rFonts w:hint="eastAsia" w:ascii="宋体" w:hAnsi="宋体" w:eastAsia="宋体" w:cs="宋体"/>
          <w:sz w:val="24"/>
        </w:rPr>
        <w:t>。</w:t>
      </w: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</w:rPr>
      </w:pPr>
    </w:p>
    <w:p>
      <w:pPr>
        <w:spacing w:line="360" w:lineRule="auto"/>
        <w:ind w:firstLine="48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报价说明：</w:t>
      </w:r>
    </w:p>
    <w:p>
      <w:pPr>
        <w:spacing w:line="360" w:lineRule="auto"/>
        <w:ind w:firstLine="48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1、报价人报价超出最高限价的，均作否决</w:t>
      </w:r>
      <w:r>
        <w:rPr>
          <w:rFonts w:hint="eastAsia" w:ascii="宋体" w:hAnsi="宋体" w:eastAsia="宋体" w:cs="宋体"/>
          <w:sz w:val="24"/>
          <w:lang w:eastAsia="zh-CN"/>
        </w:rPr>
        <w:t>报价</w:t>
      </w:r>
      <w:r>
        <w:rPr>
          <w:rFonts w:hint="eastAsia" w:ascii="宋体" w:hAnsi="宋体" w:eastAsia="宋体" w:cs="宋体"/>
          <w:sz w:val="24"/>
        </w:rPr>
        <w:t>处理；</w:t>
      </w:r>
    </w:p>
    <w:p>
      <w:pPr>
        <w:spacing w:line="360" w:lineRule="auto"/>
        <w:ind w:firstLine="48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2、</w:t>
      </w:r>
      <w:r>
        <w:rPr>
          <w:rFonts w:hint="eastAsia" w:ascii="宋体" w:hAnsi="宋体" w:eastAsia="宋体" w:cs="宋体"/>
          <w:sz w:val="24"/>
        </w:rPr>
        <w:t>所有</w:t>
      </w:r>
      <w:r>
        <w:rPr>
          <w:rFonts w:hint="eastAsia" w:ascii="宋体" w:hAnsi="宋体" w:eastAsia="宋体" w:cs="宋体"/>
          <w:sz w:val="24"/>
          <w:lang w:eastAsia="zh-CN"/>
        </w:rPr>
        <w:t>报价</w:t>
      </w:r>
      <w:r>
        <w:rPr>
          <w:rFonts w:hint="eastAsia" w:ascii="宋体" w:hAnsi="宋体" w:eastAsia="宋体" w:cs="宋体"/>
          <w:sz w:val="24"/>
        </w:rPr>
        <w:t>价格均为人民币最终报价，税率6%；</w:t>
      </w:r>
    </w:p>
    <w:p>
      <w:pPr>
        <w:spacing w:line="360" w:lineRule="auto"/>
        <w:ind w:firstLine="48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</w:rPr>
        <w:t>、报价单可另附服务内容清单等详细信息。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60"/>
      </w:pPr>
      <w:r>
        <w:separator/>
      </w:r>
    </w:p>
  </w:endnote>
  <w:endnote w:type="continuationSeparator" w:id="1">
    <w:p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bri Light">
    <w:altName w:val="DejaVu Sans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60"/>
      </w:pPr>
      <w:r>
        <w:separator/>
      </w:r>
    </w:p>
  </w:footnote>
  <w:footnote w:type="continuationSeparator" w:id="1">
    <w:p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662D1D"/>
    <w:multiLevelType w:val="multilevel"/>
    <w:tmpl w:val="54662D1D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documentProtection w:enforcement="0"/>
  <w:defaultTabStop w:val="4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Y1OWE2ODY2YmY1YWY1OTY4YmJiZmQyYjIxYzNjNjEifQ=="/>
  </w:docVars>
  <w:rsids>
    <w:rsidRoot w:val="002244B7"/>
    <w:rsid w:val="000076A2"/>
    <w:rsid w:val="00016E49"/>
    <w:rsid w:val="00025058"/>
    <w:rsid w:val="0002707D"/>
    <w:rsid w:val="00056CAC"/>
    <w:rsid w:val="00074DB7"/>
    <w:rsid w:val="00083E03"/>
    <w:rsid w:val="000B0CA1"/>
    <w:rsid w:val="000F5CBC"/>
    <w:rsid w:val="001334AF"/>
    <w:rsid w:val="0014126E"/>
    <w:rsid w:val="00162AE6"/>
    <w:rsid w:val="001C0CF7"/>
    <w:rsid w:val="002065E2"/>
    <w:rsid w:val="00214F68"/>
    <w:rsid w:val="002244B7"/>
    <w:rsid w:val="0023411E"/>
    <w:rsid w:val="00271B20"/>
    <w:rsid w:val="002763FB"/>
    <w:rsid w:val="002973DD"/>
    <w:rsid w:val="002B403B"/>
    <w:rsid w:val="00307882"/>
    <w:rsid w:val="00313458"/>
    <w:rsid w:val="003240D7"/>
    <w:rsid w:val="00336B63"/>
    <w:rsid w:val="00342657"/>
    <w:rsid w:val="00363309"/>
    <w:rsid w:val="00363CB7"/>
    <w:rsid w:val="003B24A9"/>
    <w:rsid w:val="003C2F3E"/>
    <w:rsid w:val="00401DB1"/>
    <w:rsid w:val="004435EA"/>
    <w:rsid w:val="00490F6D"/>
    <w:rsid w:val="004E0E8E"/>
    <w:rsid w:val="004F31E1"/>
    <w:rsid w:val="00526523"/>
    <w:rsid w:val="005266A8"/>
    <w:rsid w:val="00536410"/>
    <w:rsid w:val="00543EBA"/>
    <w:rsid w:val="0056523A"/>
    <w:rsid w:val="00565274"/>
    <w:rsid w:val="00592FE9"/>
    <w:rsid w:val="005B02AF"/>
    <w:rsid w:val="005C347F"/>
    <w:rsid w:val="00604C95"/>
    <w:rsid w:val="00625FCF"/>
    <w:rsid w:val="00626A5D"/>
    <w:rsid w:val="006514CA"/>
    <w:rsid w:val="006635DE"/>
    <w:rsid w:val="006E0C8C"/>
    <w:rsid w:val="006F5A7E"/>
    <w:rsid w:val="007050E3"/>
    <w:rsid w:val="00721C49"/>
    <w:rsid w:val="00755815"/>
    <w:rsid w:val="007B0ACB"/>
    <w:rsid w:val="007B304E"/>
    <w:rsid w:val="007C245C"/>
    <w:rsid w:val="007C51DA"/>
    <w:rsid w:val="007D08DC"/>
    <w:rsid w:val="007D31A4"/>
    <w:rsid w:val="007D6F82"/>
    <w:rsid w:val="007E1751"/>
    <w:rsid w:val="00806A2E"/>
    <w:rsid w:val="0081408C"/>
    <w:rsid w:val="00876E59"/>
    <w:rsid w:val="008832DF"/>
    <w:rsid w:val="00892F15"/>
    <w:rsid w:val="008D6B3B"/>
    <w:rsid w:val="00903C1E"/>
    <w:rsid w:val="00917036"/>
    <w:rsid w:val="009277AB"/>
    <w:rsid w:val="009375ED"/>
    <w:rsid w:val="00975FF4"/>
    <w:rsid w:val="00976ED3"/>
    <w:rsid w:val="009B2F79"/>
    <w:rsid w:val="009B5F92"/>
    <w:rsid w:val="009D4012"/>
    <w:rsid w:val="009F001F"/>
    <w:rsid w:val="00A000A3"/>
    <w:rsid w:val="00A31FE3"/>
    <w:rsid w:val="00AC46AD"/>
    <w:rsid w:val="00B07090"/>
    <w:rsid w:val="00B457E5"/>
    <w:rsid w:val="00B500C5"/>
    <w:rsid w:val="00B832DB"/>
    <w:rsid w:val="00BA6DE0"/>
    <w:rsid w:val="00C3493E"/>
    <w:rsid w:val="00C571D2"/>
    <w:rsid w:val="00C613ED"/>
    <w:rsid w:val="00C61F76"/>
    <w:rsid w:val="00C62561"/>
    <w:rsid w:val="00C71BB4"/>
    <w:rsid w:val="00C7758B"/>
    <w:rsid w:val="00C87E45"/>
    <w:rsid w:val="00C90182"/>
    <w:rsid w:val="00CA1B9D"/>
    <w:rsid w:val="00CA3FE4"/>
    <w:rsid w:val="00CA6D95"/>
    <w:rsid w:val="00CC6E85"/>
    <w:rsid w:val="00CD174D"/>
    <w:rsid w:val="00CD78D1"/>
    <w:rsid w:val="00CE10C6"/>
    <w:rsid w:val="00CF37A4"/>
    <w:rsid w:val="00CF4BE7"/>
    <w:rsid w:val="00CF5B82"/>
    <w:rsid w:val="00D71C11"/>
    <w:rsid w:val="00D80F15"/>
    <w:rsid w:val="00DA1EBC"/>
    <w:rsid w:val="00DD52C3"/>
    <w:rsid w:val="00DF651D"/>
    <w:rsid w:val="00E26C35"/>
    <w:rsid w:val="00E60A98"/>
    <w:rsid w:val="00EA0BFD"/>
    <w:rsid w:val="00EC173E"/>
    <w:rsid w:val="00ED2C41"/>
    <w:rsid w:val="00F042DA"/>
    <w:rsid w:val="00F11656"/>
    <w:rsid w:val="00F40DFB"/>
    <w:rsid w:val="00F43304"/>
    <w:rsid w:val="00F50AA9"/>
    <w:rsid w:val="00F74CB4"/>
    <w:rsid w:val="00F9019E"/>
    <w:rsid w:val="00FD4549"/>
    <w:rsid w:val="00FD6AC5"/>
    <w:rsid w:val="01B36734"/>
    <w:rsid w:val="02B021C9"/>
    <w:rsid w:val="02E55D09"/>
    <w:rsid w:val="02F21CD4"/>
    <w:rsid w:val="032A0501"/>
    <w:rsid w:val="05546E07"/>
    <w:rsid w:val="05BE0FE5"/>
    <w:rsid w:val="05DB0C92"/>
    <w:rsid w:val="06230611"/>
    <w:rsid w:val="068C7C4C"/>
    <w:rsid w:val="07AD1981"/>
    <w:rsid w:val="07FB7581"/>
    <w:rsid w:val="08502F1F"/>
    <w:rsid w:val="08837E02"/>
    <w:rsid w:val="097B1620"/>
    <w:rsid w:val="0A2C106B"/>
    <w:rsid w:val="0A617793"/>
    <w:rsid w:val="0C4827B6"/>
    <w:rsid w:val="0C5F44D5"/>
    <w:rsid w:val="0CD26259"/>
    <w:rsid w:val="0D375F39"/>
    <w:rsid w:val="0E0C02B8"/>
    <w:rsid w:val="0F051B80"/>
    <w:rsid w:val="0F414D4F"/>
    <w:rsid w:val="0FAC5BB8"/>
    <w:rsid w:val="0FB663CB"/>
    <w:rsid w:val="0FCF5444"/>
    <w:rsid w:val="101C3777"/>
    <w:rsid w:val="10A6525C"/>
    <w:rsid w:val="121C7D70"/>
    <w:rsid w:val="12D63F09"/>
    <w:rsid w:val="137D3738"/>
    <w:rsid w:val="137FCCE4"/>
    <w:rsid w:val="13C227C4"/>
    <w:rsid w:val="141753BE"/>
    <w:rsid w:val="142F6BD5"/>
    <w:rsid w:val="14496F20"/>
    <w:rsid w:val="14B4370F"/>
    <w:rsid w:val="14FD5423"/>
    <w:rsid w:val="1568250F"/>
    <w:rsid w:val="157F6F10"/>
    <w:rsid w:val="1647702D"/>
    <w:rsid w:val="16EE7633"/>
    <w:rsid w:val="173567EF"/>
    <w:rsid w:val="18D938A8"/>
    <w:rsid w:val="1B6437FD"/>
    <w:rsid w:val="1BAE628F"/>
    <w:rsid w:val="1BDFF8C9"/>
    <w:rsid w:val="1C1425F4"/>
    <w:rsid w:val="1CB352B2"/>
    <w:rsid w:val="1CC03ABA"/>
    <w:rsid w:val="1CFD3224"/>
    <w:rsid w:val="1D4F1BED"/>
    <w:rsid w:val="1D9804B9"/>
    <w:rsid w:val="1E911BEF"/>
    <w:rsid w:val="1FC4513D"/>
    <w:rsid w:val="206C3673"/>
    <w:rsid w:val="21772AC6"/>
    <w:rsid w:val="22B65D2C"/>
    <w:rsid w:val="24E22490"/>
    <w:rsid w:val="2547125A"/>
    <w:rsid w:val="267A10BB"/>
    <w:rsid w:val="276A151A"/>
    <w:rsid w:val="285029CB"/>
    <w:rsid w:val="29283150"/>
    <w:rsid w:val="2A374F4D"/>
    <w:rsid w:val="2A68364D"/>
    <w:rsid w:val="2AB15FF9"/>
    <w:rsid w:val="2B2550C1"/>
    <w:rsid w:val="2C1F6357"/>
    <w:rsid w:val="2CA92C00"/>
    <w:rsid w:val="2D5708F0"/>
    <w:rsid w:val="2D901963"/>
    <w:rsid w:val="2DC73810"/>
    <w:rsid w:val="2DFF6CCF"/>
    <w:rsid w:val="2E06778F"/>
    <w:rsid w:val="2E6A45BF"/>
    <w:rsid w:val="2E760EEA"/>
    <w:rsid w:val="2EAC12D2"/>
    <w:rsid w:val="2EDE0548"/>
    <w:rsid w:val="2EF53AD4"/>
    <w:rsid w:val="2F69610E"/>
    <w:rsid w:val="2F7666EC"/>
    <w:rsid w:val="2FA20EF9"/>
    <w:rsid w:val="30C23CE0"/>
    <w:rsid w:val="318B0728"/>
    <w:rsid w:val="31927B7D"/>
    <w:rsid w:val="31940C65"/>
    <w:rsid w:val="31D65964"/>
    <w:rsid w:val="325B74CE"/>
    <w:rsid w:val="32A152CF"/>
    <w:rsid w:val="32AC70A5"/>
    <w:rsid w:val="33AC5B43"/>
    <w:rsid w:val="33BC72B7"/>
    <w:rsid w:val="33BF2BCD"/>
    <w:rsid w:val="33CB06EA"/>
    <w:rsid w:val="35653921"/>
    <w:rsid w:val="35AE67E3"/>
    <w:rsid w:val="35AF52C4"/>
    <w:rsid w:val="35B86EAA"/>
    <w:rsid w:val="35CD4C7B"/>
    <w:rsid w:val="362160CC"/>
    <w:rsid w:val="36481AD2"/>
    <w:rsid w:val="37F92528"/>
    <w:rsid w:val="37FF7CFC"/>
    <w:rsid w:val="38332D42"/>
    <w:rsid w:val="386A72E1"/>
    <w:rsid w:val="38844D40"/>
    <w:rsid w:val="390323A7"/>
    <w:rsid w:val="39A554E5"/>
    <w:rsid w:val="3A6A2085"/>
    <w:rsid w:val="3ABD68A9"/>
    <w:rsid w:val="3AD61170"/>
    <w:rsid w:val="3B346B6E"/>
    <w:rsid w:val="3B5F7C24"/>
    <w:rsid w:val="3B847DCB"/>
    <w:rsid w:val="3CCD1AFB"/>
    <w:rsid w:val="3D68247D"/>
    <w:rsid w:val="3E1E1423"/>
    <w:rsid w:val="3E2E1D2A"/>
    <w:rsid w:val="3E6E56EE"/>
    <w:rsid w:val="3EF9316D"/>
    <w:rsid w:val="3F6F692C"/>
    <w:rsid w:val="3FCC262F"/>
    <w:rsid w:val="3FCF2B90"/>
    <w:rsid w:val="403A1FF6"/>
    <w:rsid w:val="40830F63"/>
    <w:rsid w:val="4191580E"/>
    <w:rsid w:val="41DD52FC"/>
    <w:rsid w:val="42134926"/>
    <w:rsid w:val="425B6F65"/>
    <w:rsid w:val="43503435"/>
    <w:rsid w:val="441722E3"/>
    <w:rsid w:val="44F4102C"/>
    <w:rsid w:val="44F71EFD"/>
    <w:rsid w:val="46736BCA"/>
    <w:rsid w:val="469A16FE"/>
    <w:rsid w:val="46FD57C4"/>
    <w:rsid w:val="4812529F"/>
    <w:rsid w:val="4968786D"/>
    <w:rsid w:val="49C51464"/>
    <w:rsid w:val="4A4C1CE2"/>
    <w:rsid w:val="4B827E67"/>
    <w:rsid w:val="4BA302BD"/>
    <w:rsid w:val="4C544BC7"/>
    <w:rsid w:val="4C992DFF"/>
    <w:rsid w:val="4CA65764"/>
    <w:rsid w:val="4D0152CE"/>
    <w:rsid w:val="4D6A7D5B"/>
    <w:rsid w:val="4D9724CF"/>
    <w:rsid w:val="4DEE3688"/>
    <w:rsid w:val="4E7D3BF3"/>
    <w:rsid w:val="4F4755C4"/>
    <w:rsid w:val="4F51161B"/>
    <w:rsid w:val="4F774A61"/>
    <w:rsid w:val="510746C6"/>
    <w:rsid w:val="51591A30"/>
    <w:rsid w:val="5186251C"/>
    <w:rsid w:val="5305337A"/>
    <w:rsid w:val="55892B92"/>
    <w:rsid w:val="5617074A"/>
    <w:rsid w:val="56D67D0E"/>
    <w:rsid w:val="56E23977"/>
    <w:rsid w:val="57503CCA"/>
    <w:rsid w:val="579F524A"/>
    <w:rsid w:val="5820713E"/>
    <w:rsid w:val="583C0135"/>
    <w:rsid w:val="587577C7"/>
    <w:rsid w:val="59CD172A"/>
    <w:rsid w:val="5B640C1A"/>
    <w:rsid w:val="5CF791B3"/>
    <w:rsid w:val="5D1C04EB"/>
    <w:rsid w:val="5D381AFC"/>
    <w:rsid w:val="5EBE24C8"/>
    <w:rsid w:val="5EC77CF7"/>
    <w:rsid w:val="5EF81ADD"/>
    <w:rsid w:val="5F120A6E"/>
    <w:rsid w:val="5F7ECAAA"/>
    <w:rsid w:val="60652A22"/>
    <w:rsid w:val="62183E25"/>
    <w:rsid w:val="626312EB"/>
    <w:rsid w:val="635D341B"/>
    <w:rsid w:val="63A524E1"/>
    <w:rsid w:val="63D86F45"/>
    <w:rsid w:val="63DC1C49"/>
    <w:rsid w:val="64740A1C"/>
    <w:rsid w:val="64883017"/>
    <w:rsid w:val="667773CE"/>
    <w:rsid w:val="66940E0D"/>
    <w:rsid w:val="67112CCB"/>
    <w:rsid w:val="675639C4"/>
    <w:rsid w:val="67D55C76"/>
    <w:rsid w:val="685C431D"/>
    <w:rsid w:val="68815CA6"/>
    <w:rsid w:val="688E2EF4"/>
    <w:rsid w:val="69962DC6"/>
    <w:rsid w:val="69EC55B9"/>
    <w:rsid w:val="6A836DEF"/>
    <w:rsid w:val="6AAF57D6"/>
    <w:rsid w:val="6AD67E3D"/>
    <w:rsid w:val="6AF63A10"/>
    <w:rsid w:val="6B52147D"/>
    <w:rsid w:val="6BDC6045"/>
    <w:rsid w:val="6BDD3808"/>
    <w:rsid w:val="6CA1068F"/>
    <w:rsid w:val="6D12798E"/>
    <w:rsid w:val="6D306528"/>
    <w:rsid w:val="6DCA3DF2"/>
    <w:rsid w:val="6E364E5A"/>
    <w:rsid w:val="6FBE0EA0"/>
    <w:rsid w:val="6FDB882C"/>
    <w:rsid w:val="70545F1D"/>
    <w:rsid w:val="70B345B0"/>
    <w:rsid w:val="70C3773E"/>
    <w:rsid w:val="70F3583E"/>
    <w:rsid w:val="71765E39"/>
    <w:rsid w:val="718F7F3E"/>
    <w:rsid w:val="726F4D10"/>
    <w:rsid w:val="73F910F4"/>
    <w:rsid w:val="74337932"/>
    <w:rsid w:val="74F71649"/>
    <w:rsid w:val="752E2E69"/>
    <w:rsid w:val="758F3BDC"/>
    <w:rsid w:val="75924B00"/>
    <w:rsid w:val="75DFD003"/>
    <w:rsid w:val="77946EFA"/>
    <w:rsid w:val="77A7468F"/>
    <w:rsid w:val="781942C5"/>
    <w:rsid w:val="78925C5D"/>
    <w:rsid w:val="78BD3392"/>
    <w:rsid w:val="78CE6728"/>
    <w:rsid w:val="7A3D6D50"/>
    <w:rsid w:val="7AB02353"/>
    <w:rsid w:val="7AF47F27"/>
    <w:rsid w:val="7B227210"/>
    <w:rsid w:val="7B6FB697"/>
    <w:rsid w:val="7BD227A0"/>
    <w:rsid w:val="7BFFED3D"/>
    <w:rsid w:val="7C9FD68A"/>
    <w:rsid w:val="7D360E79"/>
    <w:rsid w:val="7D541AAE"/>
    <w:rsid w:val="7E790CD1"/>
    <w:rsid w:val="7F487BBF"/>
    <w:rsid w:val="7F7B18DA"/>
    <w:rsid w:val="7F8B2ADE"/>
    <w:rsid w:val="7F996272"/>
    <w:rsid w:val="7FFC5F74"/>
    <w:rsid w:val="7FFF6B94"/>
    <w:rsid w:val="7FFF86BF"/>
    <w:rsid w:val="8EF7E36E"/>
    <w:rsid w:val="9FECE53B"/>
    <w:rsid w:val="B5FF1C59"/>
    <w:rsid w:val="B6FF863D"/>
    <w:rsid w:val="B7FACB84"/>
    <w:rsid w:val="B89EF343"/>
    <w:rsid w:val="BDDC5F7D"/>
    <w:rsid w:val="C6ED746B"/>
    <w:rsid w:val="DDEE899E"/>
    <w:rsid w:val="DFF763AB"/>
    <w:rsid w:val="DFFFDDC9"/>
    <w:rsid w:val="E7E8755F"/>
    <w:rsid w:val="EBBB180B"/>
    <w:rsid w:val="EFFC808A"/>
    <w:rsid w:val="F57BE58E"/>
    <w:rsid w:val="F6FDC8A1"/>
    <w:rsid w:val="F736A86D"/>
    <w:rsid w:val="F7BFC7B1"/>
    <w:rsid w:val="FBEDF2FF"/>
    <w:rsid w:val="FDE75661"/>
    <w:rsid w:val="FDF37FEE"/>
    <w:rsid w:val="FFFD48F0"/>
    <w:rsid w:val="FFFE8374"/>
    <w:rsid w:val="FFFFA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theme="minorBidi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keepLines/>
      <w:snapToGrid w:val="0"/>
      <w:spacing w:before="50" w:beforeLines="50"/>
      <w:jc w:val="left"/>
      <w:outlineLvl w:val="0"/>
    </w:pPr>
    <w:rPr>
      <w:rFonts w:ascii="宋体" w:hAnsi="宋体" w:eastAsia="宋体" w:cs="Times New Roman"/>
      <w:b/>
      <w:bCs/>
      <w:kern w:val="44"/>
      <w:sz w:val="32"/>
      <w:szCs w:val="21"/>
    </w:rPr>
  </w:style>
  <w:style w:type="paragraph" w:styleId="3">
    <w:name w:val="heading 2"/>
    <w:basedOn w:val="1"/>
    <w:next w:val="1"/>
    <w:link w:val="20"/>
    <w:semiHidden/>
    <w:unhideWhenUsed/>
    <w:qFormat/>
    <w:uiPriority w:val="0"/>
    <w:pPr>
      <w:keepLines/>
      <w:numPr>
        <w:ilvl w:val="1"/>
        <w:numId w:val="1"/>
      </w:numPr>
      <w:adjustRightInd w:val="0"/>
      <w:snapToGrid w:val="0"/>
      <w:spacing w:before="50" w:beforeLines="50"/>
      <w:ind w:left="573" w:hanging="573"/>
      <w:jc w:val="left"/>
      <w:outlineLvl w:val="1"/>
    </w:pPr>
    <w:rPr>
      <w:rFonts w:ascii="宋体" w:hAnsi="宋体" w:eastAsia="宋体"/>
      <w:b/>
      <w:bCs/>
      <w:szCs w:val="21"/>
    </w:rPr>
  </w:style>
  <w:style w:type="paragraph" w:styleId="4">
    <w:name w:val="heading 3"/>
    <w:basedOn w:val="1"/>
    <w:next w:val="1"/>
    <w:link w:val="18"/>
    <w:semiHidden/>
    <w:unhideWhenUsed/>
    <w:qFormat/>
    <w:uiPriority w:val="0"/>
    <w:pPr>
      <w:tabs>
        <w:tab w:val="left" w:pos="1560"/>
      </w:tabs>
      <w:snapToGrid w:val="0"/>
      <w:spacing w:before="50" w:beforeLines="50" w:line="360" w:lineRule="auto"/>
      <w:outlineLvl w:val="2"/>
    </w:pPr>
    <w:rPr>
      <w:rFonts w:ascii="宋体" w:hAnsi="宋体" w:eastAsia="宋体" w:cs="Times New Roman"/>
      <w:b/>
      <w:bCs/>
      <w:sz w:val="21"/>
    </w:rPr>
  </w:style>
  <w:style w:type="paragraph" w:styleId="5">
    <w:name w:val="heading 4"/>
    <w:basedOn w:val="1"/>
    <w:next w:val="1"/>
    <w:link w:val="19"/>
    <w:semiHidden/>
    <w:unhideWhenUsed/>
    <w:qFormat/>
    <w:uiPriority w:val="0"/>
    <w:pPr>
      <w:spacing w:line="360" w:lineRule="auto"/>
      <w:outlineLvl w:val="3"/>
    </w:pPr>
    <w:rPr>
      <w:rFonts w:ascii="宋体" w:hAnsi="宋体" w:eastAsia="宋体" w:cs="Times New Roman"/>
      <w:b/>
      <w:bCs/>
      <w:sz w:val="21"/>
      <w:szCs w:val="21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2" w:lineRule="auto"/>
      <w:outlineLvl w:val="4"/>
    </w:pPr>
    <w:rPr>
      <w:rFonts w:eastAsiaTheme="majorEastAsia"/>
      <w:b/>
      <w:sz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annotation text"/>
    <w:basedOn w:val="1"/>
    <w:link w:val="23"/>
    <w:qFormat/>
    <w:uiPriority w:val="0"/>
    <w:pPr>
      <w:jc w:val="left"/>
    </w:pPr>
  </w:style>
  <w:style w:type="paragraph" w:styleId="8">
    <w:name w:val="Body Text"/>
    <w:basedOn w:val="1"/>
    <w:qFormat/>
    <w:uiPriority w:val="0"/>
    <w:pPr>
      <w:spacing w:after="120"/>
    </w:pPr>
    <w:rPr>
      <w:rFonts w:ascii="Calibri" w:hAnsi="Calibri" w:eastAsia="宋体" w:cs="Times New Roman"/>
      <w:szCs w:val="22"/>
    </w:rPr>
  </w:style>
  <w:style w:type="paragraph" w:styleId="9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itle"/>
    <w:basedOn w:val="1"/>
    <w:next w:val="1"/>
    <w:link w:val="25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12">
    <w:name w:val="annotation subject"/>
    <w:basedOn w:val="7"/>
    <w:next w:val="7"/>
    <w:link w:val="24"/>
    <w:qFormat/>
    <w:uiPriority w:val="0"/>
    <w:rPr>
      <w:b/>
      <w:bCs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basedOn w:val="15"/>
    <w:qFormat/>
    <w:uiPriority w:val="0"/>
    <w:rPr>
      <w:sz w:val="21"/>
      <w:szCs w:val="21"/>
    </w:rPr>
  </w:style>
  <w:style w:type="character" w:customStyle="1" w:styleId="17">
    <w:name w:val="标题 1 字符"/>
    <w:link w:val="2"/>
    <w:qFormat/>
    <w:uiPriority w:val="0"/>
    <w:rPr>
      <w:rFonts w:ascii="宋体" w:hAnsi="宋体" w:eastAsia="宋体" w:cs="Times New Roman"/>
      <w:b/>
      <w:bCs/>
      <w:kern w:val="44"/>
      <w:sz w:val="21"/>
      <w:szCs w:val="21"/>
    </w:rPr>
  </w:style>
  <w:style w:type="character" w:customStyle="1" w:styleId="18">
    <w:name w:val="标题 3 字符"/>
    <w:link w:val="4"/>
    <w:qFormat/>
    <w:locked/>
    <w:uiPriority w:val="9"/>
    <w:rPr>
      <w:rFonts w:ascii="宋体" w:hAnsi="宋体" w:eastAsia="宋体" w:cs="Times New Roman"/>
      <w:b/>
      <w:bCs/>
      <w:kern w:val="2"/>
      <w:sz w:val="21"/>
      <w:szCs w:val="24"/>
    </w:rPr>
  </w:style>
  <w:style w:type="character" w:customStyle="1" w:styleId="19">
    <w:name w:val="标题 4 字符"/>
    <w:link w:val="5"/>
    <w:qFormat/>
    <w:uiPriority w:val="0"/>
    <w:rPr>
      <w:rFonts w:ascii="宋体" w:hAnsi="宋体" w:eastAsia="宋体" w:cs="Times New Roman"/>
      <w:b/>
      <w:bCs/>
      <w:kern w:val="2"/>
      <w:sz w:val="21"/>
      <w:szCs w:val="21"/>
      <w:lang w:val="en-US" w:eastAsia="zh-CN" w:bidi="ar-SA"/>
    </w:rPr>
  </w:style>
  <w:style w:type="character" w:customStyle="1" w:styleId="20">
    <w:name w:val="标题 2 字符"/>
    <w:link w:val="3"/>
    <w:qFormat/>
    <w:uiPriority w:val="0"/>
    <w:rPr>
      <w:rFonts w:ascii="Arial" w:hAnsi="Arial" w:eastAsia="宋体" w:cs="Times New Roman"/>
      <w:b/>
      <w:sz w:val="32"/>
    </w:rPr>
  </w:style>
  <w:style w:type="character" w:customStyle="1" w:styleId="21">
    <w:name w:val="页眉 字符"/>
    <w:basedOn w:val="15"/>
    <w:link w:val="10"/>
    <w:qFormat/>
    <w:uiPriority w:val="0"/>
    <w:rPr>
      <w:rFonts w:ascii="Times New Roman" w:hAnsi="Times New Roman" w:eastAsia="仿宋_GB2312" w:cstheme="minorBidi"/>
      <w:kern w:val="2"/>
      <w:sz w:val="18"/>
      <w:szCs w:val="18"/>
    </w:rPr>
  </w:style>
  <w:style w:type="character" w:customStyle="1" w:styleId="22">
    <w:name w:val="页脚 字符"/>
    <w:basedOn w:val="15"/>
    <w:link w:val="9"/>
    <w:qFormat/>
    <w:uiPriority w:val="0"/>
    <w:rPr>
      <w:rFonts w:ascii="Times New Roman" w:hAnsi="Times New Roman" w:eastAsia="仿宋_GB2312" w:cstheme="minorBidi"/>
      <w:kern w:val="2"/>
      <w:sz w:val="18"/>
      <w:szCs w:val="18"/>
    </w:rPr>
  </w:style>
  <w:style w:type="character" w:customStyle="1" w:styleId="23">
    <w:name w:val="批注文字 字符"/>
    <w:basedOn w:val="15"/>
    <w:link w:val="7"/>
    <w:qFormat/>
    <w:uiPriority w:val="0"/>
    <w:rPr>
      <w:rFonts w:ascii="Times New Roman" w:hAnsi="Times New Roman" w:eastAsia="仿宋_GB2312" w:cstheme="minorBidi"/>
      <w:kern w:val="2"/>
      <w:sz w:val="28"/>
      <w:szCs w:val="24"/>
    </w:rPr>
  </w:style>
  <w:style w:type="character" w:customStyle="1" w:styleId="24">
    <w:name w:val="批注主题 字符"/>
    <w:basedOn w:val="23"/>
    <w:link w:val="12"/>
    <w:qFormat/>
    <w:uiPriority w:val="0"/>
    <w:rPr>
      <w:rFonts w:ascii="Times New Roman" w:hAnsi="Times New Roman" w:eastAsia="仿宋_GB2312" w:cstheme="minorBidi"/>
      <w:b/>
      <w:bCs/>
      <w:kern w:val="2"/>
      <w:sz w:val="28"/>
      <w:szCs w:val="24"/>
    </w:rPr>
  </w:style>
  <w:style w:type="character" w:customStyle="1" w:styleId="25">
    <w:name w:val="标题 字符"/>
    <w:basedOn w:val="15"/>
    <w:link w:val="11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customStyle="1" w:styleId="26">
    <w:name w:val="修订1"/>
    <w:hidden/>
    <w:unhideWhenUsed/>
    <w:qFormat/>
    <w:uiPriority w:val="99"/>
    <w:rPr>
      <w:rFonts w:ascii="Times New Roman" w:hAnsi="Times New Roman" w:eastAsia="仿宋_GB2312" w:cstheme="minorBidi"/>
      <w:kern w:val="2"/>
      <w:sz w:val="28"/>
      <w:szCs w:val="24"/>
      <w:lang w:val="en-US" w:eastAsia="zh-CN" w:bidi="ar-SA"/>
    </w:rPr>
  </w:style>
  <w:style w:type="paragraph" w:styleId="27">
    <w:name w:val="List Paragraph"/>
    <w:basedOn w:val="1"/>
    <w:qFormat/>
    <w:uiPriority w:val="1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156</Words>
  <Characters>165</Characters>
  <Lines>23</Lines>
  <Paragraphs>32</Paragraphs>
  <TotalTime>21</TotalTime>
  <ScaleCrop>false</ScaleCrop>
  <LinksUpToDate>false</LinksUpToDate>
  <CharactersWithSpaces>289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2021-11-21T11:12:00Z</dcterms:created>
  <dc:creator>linli</dc:creator>
  <cp:lastModifiedBy>zhouqinyi</cp:lastModifiedBy>
  <dcterms:modified xsi:type="dcterms:W3CDTF">2026-06-26T18:45:37Z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953A7A543DFDC6083F533E6A8FF70C55</vt:lpwstr>
  </property>
  <property fmtid="{D5CDD505-2E9C-101B-9397-08002B2CF9AE}" pid="4" name="KSOTemplateDocerSaveRecord">
    <vt:lpwstr>eyJoZGlkIjoiMDVmOWIyNTA4ZTAxNGYyYTRkOTc1M2ZhYjA5Mzk3MDIiLCJ1c2VySWQiOiI2NDk2MzI1NzYifQ==</vt:lpwstr>
  </property>
</Properties>
</file>