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8620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Theme="minorEastAsia" w:hAnsiTheme="minorEastAsia" w:cstheme="minorEastAsia"/>
          <w:b/>
          <w:bCs/>
          <w:color w:val="auto"/>
          <w:sz w:val="28"/>
          <w:szCs w:val="28"/>
          <w:vertAlign w:val="baseline"/>
          <w:lang w:val="en-US" w:eastAsia="zh-CN"/>
        </w:rPr>
      </w:pPr>
      <w:r>
        <w:rPr>
          <w:rFonts w:hint="eastAsia" w:asciiTheme="minorEastAsia" w:hAnsiTheme="minorEastAsia" w:cstheme="minorEastAsia"/>
          <w:color w:val="000000"/>
          <w:kern w:val="0"/>
          <w:sz w:val="28"/>
          <w:szCs w:val="28"/>
          <w:lang w:val="en-US" w:eastAsia="zh-CN" w:bidi="ar"/>
        </w:rPr>
        <w:t>附件：</w:t>
      </w:r>
    </w:p>
    <w:tbl>
      <w:tblPr>
        <w:tblStyle w:val="6"/>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775"/>
        <w:gridCol w:w="6236"/>
        <w:gridCol w:w="1840"/>
      </w:tblGrid>
      <w:tr w14:paraId="7A8F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086F15E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一、</w:t>
            </w:r>
          </w:p>
        </w:tc>
        <w:tc>
          <w:tcPr>
            <w:tcW w:w="9851" w:type="dxa"/>
            <w:gridSpan w:val="3"/>
            <w:shd w:val="clear" w:color="auto" w:fill="DBE3F4" w:themeFill="accent1" w:themeFillTint="32"/>
            <w:vAlign w:val="center"/>
          </w:tcPr>
          <w:p w14:paraId="614DE0C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货物类</w:t>
            </w:r>
          </w:p>
        </w:tc>
      </w:tr>
      <w:tr w14:paraId="138D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4" w:type="dxa"/>
            <w:vAlign w:val="center"/>
          </w:tcPr>
          <w:p w14:paraId="6DAE08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7F4EEA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059BAB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543E8B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0106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D3478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5" w:type="dxa"/>
            <w:vAlign w:val="center"/>
          </w:tcPr>
          <w:p w14:paraId="4907CAE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变电设备</w:t>
            </w:r>
          </w:p>
        </w:tc>
        <w:tc>
          <w:tcPr>
            <w:tcW w:w="6236" w:type="dxa"/>
            <w:vAlign w:val="center"/>
          </w:tcPr>
          <w:p w14:paraId="782520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110kV安全可控线路保护屏（含非变压器支路智能终端）（南京南瑞继保工程技术有限公司）、自动化设备一体化运维管控设备（授时隔离防护装置）、35kV油浸式铁芯电抗器、变压器中性点隔直装置</w:t>
            </w:r>
          </w:p>
        </w:tc>
        <w:tc>
          <w:tcPr>
            <w:tcW w:w="1840" w:type="dxa"/>
            <w:vAlign w:val="center"/>
          </w:tcPr>
          <w:p w14:paraId="295E4D91">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A98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04A5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5" w:type="dxa"/>
            <w:vAlign w:val="center"/>
          </w:tcPr>
          <w:p w14:paraId="20503EF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调度及交易设备</w:t>
            </w:r>
          </w:p>
        </w:tc>
        <w:tc>
          <w:tcPr>
            <w:tcW w:w="6236" w:type="dxa"/>
            <w:vAlign w:val="center"/>
          </w:tcPr>
          <w:p w14:paraId="224D92D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反向隔离装置、（主站）纵向加密认证装置</w:t>
            </w:r>
          </w:p>
        </w:tc>
        <w:tc>
          <w:tcPr>
            <w:tcW w:w="1840" w:type="dxa"/>
            <w:vAlign w:val="center"/>
          </w:tcPr>
          <w:p w14:paraId="4CEB9A6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950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C5FDA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5" w:type="dxa"/>
            <w:vAlign w:val="center"/>
          </w:tcPr>
          <w:p w14:paraId="394003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配电设备</w:t>
            </w:r>
          </w:p>
        </w:tc>
        <w:tc>
          <w:tcPr>
            <w:tcW w:w="6236" w:type="dxa"/>
            <w:vAlign w:val="center"/>
          </w:tcPr>
          <w:p w14:paraId="154C826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0.4kV配电箱、低压分支监控箱、监测箱</w:t>
            </w:r>
          </w:p>
        </w:tc>
        <w:tc>
          <w:tcPr>
            <w:tcW w:w="1840" w:type="dxa"/>
            <w:vAlign w:val="center"/>
          </w:tcPr>
          <w:p w14:paraId="457D19E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929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D0048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5" w:type="dxa"/>
            <w:vAlign w:val="center"/>
          </w:tcPr>
          <w:p w14:paraId="32FAB1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通信产品</w:t>
            </w:r>
          </w:p>
        </w:tc>
        <w:tc>
          <w:tcPr>
            <w:tcW w:w="6236" w:type="dxa"/>
            <w:vAlign w:val="center"/>
          </w:tcPr>
          <w:p w14:paraId="2AF368F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传输网设备（烽火通信科技股份有限公司）-烽火OTN、集中管理型无线接入设备（WAPI）</w:t>
            </w:r>
          </w:p>
        </w:tc>
        <w:tc>
          <w:tcPr>
            <w:tcW w:w="1840" w:type="dxa"/>
            <w:vAlign w:val="center"/>
          </w:tcPr>
          <w:p w14:paraId="1383281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863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DF41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5" w:type="dxa"/>
            <w:vAlign w:val="center"/>
          </w:tcPr>
          <w:p w14:paraId="49D9C1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计算机设备及软件</w:t>
            </w:r>
          </w:p>
        </w:tc>
        <w:tc>
          <w:tcPr>
            <w:tcW w:w="6236" w:type="dxa"/>
            <w:vAlign w:val="center"/>
          </w:tcPr>
          <w:p w14:paraId="7B26409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工作站</w:t>
            </w:r>
          </w:p>
        </w:tc>
        <w:tc>
          <w:tcPr>
            <w:tcW w:w="1840" w:type="dxa"/>
            <w:vAlign w:val="center"/>
          </w:tcPr>
          <w:p w14:paraId="37EE670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437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076E5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5" w:type="dxa"/>
            <w:vAlign w:val="center"/>
          </w:tcPr>
          <w:p w14:paraId="6C48CB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辅助设备</w:t>
            </w:r>
          </w:p>
        </w:tc>
        <w:tc>
          <w:tcPr>
            <w:tcW w:w="6236" w:type="dxa"/>
            <w:vAlign w:val="center"/>
          </w:tcPr>
          <w:p w14:paraId="10C55E6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安健环（通用型标志牌）、便携式高清布控球</w:t>
            </w:r>
          </w:p>
        </w:tc>
        <w:tc>
          <w:tcPr>
            <w:tcW w:w="1840" w:type="dxa"/>
            <w:vAlign w:val="center"/>
          </w:tcPr>
          <w:p w14:paraId="2C89EF2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72D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F62DD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7</w:t>
            </w:r>
          </w:p>
        </w:tc>
        <w:tc>
          <w:tcPr>
            <w:tcW w:w="1775" w:type="dxa"/>
            <w:vAlign w:val="center"/>
          </w:tcPr>
          <w:p w14:paraId="19ED39A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劳保类用品</w:t>
            </w:r>
          </w:p>
        </w:tc>
        <w:tc>
          <w:tcPr>
            <w:tcW w:w="6236" w:type="dxa"/>
            <w:vAlign w:val="center"/>
          </w:tcPr>
          <w:p w14:paraId="138BC6E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计量现场作业低压防护手套</w:t>
            </w:r>
          </w:p>
        </w:tc>
        <w:tc>
          <w:tcPr>
            <w:tcW w:w="1840" w:type="dxa"/>
            <w:vAlign w:val="center"/>
          </w:tcPr>
          <w:p w14:paraId="3B4F41E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9B3B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1FCBF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8</w:t>
            </w:r>
          </w:p>
        </w:tc>
        <w:tc>
          <w:tcPr>
            <w:tcW w:w="1775" w:type="dxa"/>
            <w:vAlign w:val="center"/>
          </w:tcPr>
          <w:p w14:paraId="761C8BD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输电及配电线路</w:t>
            </w:r>
          </w:p>
        </w:tc>
        <w:tc>
          <w:tcPr>
            <w:tcW w:w="6236" w:type="dxa"/>
            <w:vAlign w:val="center"/>
          </w:tcPr>
          <w:p w14:paraId="31DA7C6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全绝缘台架</w:t>
            </w:r>
          </w:p>
        </w:tc>
        <w:tc>
          <w:tcPr>
            <w:tcW w:w="1840" w:type="dxa"/>
            <w:vAlign w:val="center"/>
          </w:tcPr>
          <w:p w14:paraId="00B5CEE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B5A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2A4DBD7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二、</w:t>
            </w:r>
          </w:p>
        </w:tc>
        <w:tc>
          <w:tcPr>
            <w:tcW w:w="9851" w:type="dxa"/>
            <w:gridSpan w:val="3"/>
            <w:shd w:val="clear" w:color="auto" w:fill="DBE3F4" w:themeFill="accent1" w:themeFillTint="32"/>
            <w:vAlign w:val="center"/>
          </w:tcPr>
          <w:p w14:paraId="0C655E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服务类</w:t>
            </w:r>
          </w:p>
        </w:tc>
      </w:tr>
      <w:tr w14:paraId="1C0D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4" w:type="dxa"/>
            <w:vAlign w:val="center"/>
          </w:tcPr>
          <w:p w14:paraId="21F7B7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700A47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50CA1C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467E17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55AA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10F72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w:t>
            </w:r>
          </w:p>
        </w:tc>
        <w:tc>
          <w:tcPr>
            <w:tcW w:w="1775" w:type="dxa"/>
            <w:vAlign w:val="center"/>
          </w:tcPr>
          <w:p w14:paraId="2F2611F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公司年度毕业生招聘支持服务</w:t>
            </w:r>
          </w:p>
        </w:tc>
        <w:tc>
          <w:tcPr>
            <w:tcW w:w="6236" w:type="dxa"/>
            <w:vAlign w:val="center"/>
          </w:tcPr>
          <w:p w14:paraId="1C9208B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广东电网有限责任公司2027年毕业生招聘服务项目</w:t>
            </w:r>
          </w:p>
        </w:tc>
        <w:tc>
          <w:tcPr>
            <w:tcW w:w="1840" w:type="dxa"/>
            <w:vAlign w:val="center"/>
          </w:tcPr>
          <w:p w14:paraId="61DE09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94E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6F4A5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w:t>
            </w:r>
          </w:p>
        </w:tc>
        <w:tc>
          <w:tcPr>
            <w:tcW w:w="1775" w:type="dxa"/>
            <w:vAlign w:val="center"/>
          </w:tcPr>
          <w:p w14:paraId="4DD68D8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科技项目专业辅助服务（知识产权代理服务、第三方经费审查、项目验收审计、科研助理服务）</w:t>
            </w:r>
          </w:p>
        </w:tc>
        <w:tc>
          <w:tcPr>
            <w:tcW w:w="6236" w:type="dxa"/>
            <w:vAlign w:val="center"/>
          </w:tcPr>
          <w:p w14:paraId="3C23FD9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广东电网公司基于数据驱动的地市区县供电企业发展建模及创一流评价方法研究和实践管理创新项目</w:t>
            </w:r>
          </w:p>
        </w:tc>
        <w:tc>
          <w:tcPr>
            <w:tcW w:w="1840" w:type="dxa"/>
            <w:vAlign w:val="center"/>
          </w:tcPr>
          <w:p w14:paraId="260BDF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430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DB5F6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w:t>
            </w:r>
          </w:p>
        </w:tc>
        <w:tc>
          <w:tcPr>
            <w:tcW w:w="1775" w:type="dxa"/>
            <w:vAlign w:val="center"/>
          </w:tcPr>
          <w:p w14:paraId="1A6474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软课题研究</w:t>
            </w:r>
          </w:p>
        </w:tc>
        <w:tc>
          <w:tcPr>
            <w:tcW w:w="6236" w:type="dxa"/>
            <w:vAlign w:val="center"/>
          </w:tcPr>
          <w:p w14:paraId="723F498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广东电网有限责任公司2026年建设新型电网平台发展策略和管理机制革新研究项目</w:t>
            </w:r>
          </w:p>
        </w:tc>
        <w:tc>
          <w:tcPr>
            <w:tcW w:w="1840" w:type="dxa"/>
            <w:vAlign w:val="center"/>
          </w:tcPr>
          <w:p w14:paraId="110550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F48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F527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4</w:t>
            </w:r>
          </w:p>
        </w:tc>
        <w:tc>
          <w:tcPr>
            <w:tcW w:w="1775" w:type="dxa"/>
            <w:vAlign w:val="center"/>
          </w:tcPr>
          <w:p w14:paraId="3D82C15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61D5F24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广东电网有限责任公司(不含广州供电局)2026年至2027年度35-500千伏电网基建工程涉海专题研究</w:t>
            </w:r>
          </w:p>
        </w:tc>
        <w:tc>
          <w:tcPr>
            <w:tcW w:w="1840" w:type="dxa"/>
            <w:vAlign w:val="center"/>
          </w:tcPr>
          <w:p w14:paraId="2C6106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B57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8A4F8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5</w:t>
            </w:r>
          </w:p>
        </w:tc>
        <w:tc>
          <w:tcPr>
            <w:tcW w:w="1775" w:type="dxa"/>
            <w:vAlign w:val="center"/>
          </w:tcPr>
          <w:p w14:paraId="497609E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1A7EEF8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广东电网公司绿色算力驱动下电-算-碳融合系统的协同优化与运行机制研究电力规划专题项目</w:t>
            </w:r>
          </w:p>
        </w:tc>
        <w:tc>
          <w:tcPr>
            <w:tcW w:w="1840" w:type="dxa"/>
            <w:vAlign w:val="center"/>
          </w:tcPr>
          <w:p w14:paraId="1DF6B0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FC7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1E3E4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6</w:t>
            </w:r>
          </w:p>
        </w:tc>
        <w:tc>
          <w:tcPr>
            <w:tcW w:w="1775" w:type="dxa"/>
            <w:vAlign w:val="center"/>
          </w:tcPr>
          <w:p w14:paraId="272C702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06FF0BA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广东电网有限责任公司2026年新型配电系统驱动下移动储能技术的价值挖掘与规划研究等4个规划专题项目</w:t>
            </w:r>
          </w:p>
        </w:tc>
        <w:tc>
          <w:tcPr>
            <w:tcW w:w="1840" w:type="dxa"/>
            <w:vAlign w:val="center"/>
          </w:tcPr>
          <w:p w14:paraId="5E1547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65D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5695D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7</w:t>
            </w:r>
          </w:p>
        </w:tc>
        <w:tc>
          <w:tcPr>
            <w:tcW w:w="1775" w:type="dxa"/>
            <w:vAlign w:val="center"/>
          </w:tcPr>
          <w:p w14:paraId="0C98F1F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019F555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广东电网有限责任公司2026年适应新型电力系统发展的东莞 “3T” 高压配电网接线形式优化方案研究等4个规划专题项目</w:t>
            </w:r>
          </w:p>
        </w:tc>
        <w:tc>
          <w:tcPr>
            <w:tcW w:w="1840" w:type="dxa"/>
            <w:vAlign w:val="center"/>
          </w:tcPr>
          <w:p w14:paraId="1B06EA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20B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3AECC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8</w:t>
            </w:r>
          </w:p>
        </w:tc>
        <w:tc>
          <w:tcPr>
            <w:tcW w:w="1775" w:type="dxa"/>
            <w:vAlign w:val="center"/>
          </w:tcPr>
          <w:p w14:paraId="467E4FD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1BE1D68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广东电网有限责任公司2026年铝芯电缆在广东配电网规划中的优化应用研究等4个规划专题项目</w:t>
            </w:r>
          </w:p>
        </w:tc>
        <w:tc>
          <w:tcPr>
            <w:tcW w:w="1840" w:type="dxa"/>
            <w:vAlign w:val="center"/>
          </w:tcPr>
          <w:p w14:paraId="1560CD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FCC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E3983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9</w:t>
            </w:r>
          </w:p>
        </w:tc>
        <w:tc>
          <w:tcPr>
            <w:tcW w:w="1775" w:type="dxa"/>
            <w:vAlign w:val="center"/>
          </w:tcPr>
          <w:p w14:paraId="271B55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415A83D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广东电网有限责任公司2026年配电网差异化防雷规划技术研究等4个规划专题项目</w:t>
            </w:r>
          </w:p>
        </w:tc>
        <w:tc>
          <w:tcPr>
            <w:tcW w:w="1840" w:type="dxa"/>
            <w:vAlign w:val="center"/>
          </w:tcPr>
          <w:p w14:paraId="25E096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49E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5FA5C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10</w:t>
            </w:r>
          </w:p>
        </w:tc>
        <w:tc>
          <w:tcPr>
            <w:tcW w:w="1775" w:type="dxa"/>
            <w:vAlign w:val="center"/>
          </w:tcPr>
          <w:p w14:paraId="1278EC6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1812C68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广东电网有限责任公司2026年抗灾减灾型滨海配电网规划建设研究等4个规划专题项目</w:t>
            </w:r>
          </w:p>
        </w:tc>
        <w:tc>
          <w:tcPr>
            <w:tcW w:w="1840" w:type="dxa"/>
            <w:vAlign w:val="center"/>
          </w:tcPr>
          <w:p w14:paraId="085A1A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839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543AB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11</w:t>
            </w:r>
          </w:p>
        </w:tc>
        <w:tc>
          <w:tcPr>
            <w:tcW w:w="1775" w:type="dxa"/>
            <w:vAlign w:val="center"/>
          </w:tcPr>
          <w:p w14:paraId="260B401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2C491C1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广东电网有限责任公司2026年高密算力场景下韶关数据中心集群供电方案及电算协同模式专项规划研究等4个规划专题项目</w:t>
            </w:r>
          </w:p>
        </w:tc>
        <w:tc>
          <w:tcPr>
            <w:tcW w:w="1840" w:type="dxa"/>
            <w:vAlign w:val="center"/>
          </w:tcPr>
          <w:p w14:paraId="7E15A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48A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4306D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12</w:t>
            </w:r>
          </w:p>
        </w:tc>
        <w:tc>
          <w:tcPr>
            <w:tcW w:w="1775" w:type="dxa"/>
            <w:vAlign w:val="center"/>
          </w:tcPr>
          <w:p w14:paraId="6CFB6CB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0C64E2A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广东电网有限责任公司2026年基于重卡大功率充电设施发展下配电网融合规划研究等3个规划专题项目</w:t>
            </w:r>
          </w:p>
        </w:tc>
        <w:tc>
          <w:tcPr>
            <w:tcW w:w="1840" w:type="dxa"/>
            <w:vAlign w:val="center"/>
          </w:tcPr>
          <w:p w14:paraId="078987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C00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99A3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13</w:t>
            </w:r>
          </w:p>
        </w:tc>
        <w:tc>
          <w:tcPr>
            <w:tcW w:w="1775" w:type="dxa"/>
            <w:vAlign w:val="center"/>
          </w:tcPr>
          <w:p w14:paraId="31BE4B7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人才引进支持服务</w:t>
            </w:r>
          </w:p>
        </w:tc>
        <w:tc>
          <w:tcPr>
            <w:tcW w:w="6236" w:type="dxa"/>
            <w:vAlign w:val="center"/>
          </w:tcPr>
          <w:p w14:paraId="023A947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广东电网有限责任公司2026-2027年人才引进服务项目</w:t>
            </w:r>
          </w:p>
        </w:tc>
        <w:tc>
          <w:tcPr>
            <w:tcW w:w="1840" w:type="dxa"/>
            <w:vAlign w:val="center"/>
          </w:tcPr>
          <w:p w14:paraId="003F07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1192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84" w:type="dxa"/>
            <w:vAlign w:val="center"/>
          </w:tcPr>
          <w:p w14:paraId="100DC6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14</w:t>
            </w:r>
          </w:p>
        </w:tc>
        <w:tc>
          <w:tcPr>
            <w:tcW w:w="1775" w:type="dxa"/>
            <w:vAlign w:val="center"/>
          </w:tcPr>
          <w:p w14:paraId="2DA75C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应急演练服务（策划组织、演练实施、总结评估/评价等）</w:t>
            </w:r>
          </w:p>
        </w:tc>
        <w:tc>
          <w:tcPr>
            <w:tcW w:w="6236" w:type="dxa"/>
            <w:vAlign w:val="center"/>
          </w:tcPr>
          <w:p w14:paraId="42687DB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广东电网有限责任公司电力调度控制中心2026年网络安全专项应急演练技术咨询服务</w:t>
            </w:r>
          </w:p>
        </w:tc>
        <w:tc>
          <w:tcPr>
            <w:tcW w:w="1840" w:type="dxa"/>
            <w:vAlign w:val="center"/>
          </w:tcPr>
          <w:p w14:paraId="0478ED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2F0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388DE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15</w:t>
            </w:r>
          </w:p>
        </w:tc>
        <w:tc>
          <w:tcPr>
            <w:tcW w:w="1775" w:type="dxa"/>
            <w:vAlign w:val="center"/>
          </w:tcPr>
          <w:p w14:paraId="120FDE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营销运营费电力市场政策研究、服务品牌策划、典型设计等服务</w:t>
            </w:r>
          </w:p>
        </w:tc>
        <w:tc>
          <w:tcPr>
            <w:tcW w:w="6236" w:type="dxa"/>
            <w:vAlign w:val="center"/>
          </w:tcPr>
          <w:p w14:paraId="7407A08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（1）开展影响电量趋势的内外部因素研究，构建电量预测特征指标、构建电量多维预测模型；开展多维度电量预测分析、形成电量预测分析报告；开展电量数据透视广东经济发展专题分析、形成专题分析报告。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（2）开展广东电网电力电量分析，包括常态化采集外部经济数据、深入分析用电量影响因素、定期完成用电增长分析以及经济形势与用电分析报告等、按时完成省公司市场部临时下达的电量分析任务。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本项目旨在开展2026年南方电网公司变电站电能计量装置典型设计修编，综合考虑近年来国家关于电力系统和电力交易市场建设的政策要求、南方电网电能量测体系建设、电能计量技术发展、计量设备迭代升级、设备运行和管理现状，光伏、储能、充电设施等新型主体的发展，以及《南方区域统一电力现货市场计量实施方案》对关键技术和计量互感器在线监测装置典型配置的要求等，需对光伏、储能、充电设施、开关站等场景下的计量典型设计及采集方案等内容进行规范和完善。</w:t>
            </w:r>
          </w:p>
        </w:tc>
        <w:tc>
          <w:tcPr>
            <w:tcW w:w="1840" w:type="dxa"/>
            <w:vAlign w:val="center"/>
          </w:tcPr>
          <w:p w14:paraId="033AA9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E09C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F6377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16</w:t>
            </w:r>
          </w:p>
        </w:tc>
        <w:tc>
          <w:tcPr>
            <w:tcW w:w="1775" w:type="dxa"/>
            <w:vAlign w:val="center"/>
          </w:tcPr>
          <w:p w14:paraId="5AB336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营销管理研究与咨询</w:t>
            </w:r>
          </w:p>
        </w:tc>
        <w:tc>
          <w:tcPr>
            <w:tcW w:w="6236" w:type="dxa"/>
            <w:vAlign w:val="center"/>
          </w:tcPr>
          <w:p w14:paraId="6F98A77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本项目主要是针对广东电网有限责任公司下属各地市供电局及计量中心、客服中心2024-2025年度竣工的市场营销项目开展后检查（评价）工作。</w:t>
            </w:r>
          </w:p>
        </w:tc>
        <w:tc>
          <w:tcPr>
            <w:tcW w:w="1840" w:type="dxa"/>
            <w:vAlign w:val="center"/>
          </w:tcPr>
          <w:p w14:paraId="6250AE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C63A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D4F0A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17</w:t>
            </w:r>
          </w:p>
        </w:tc>
        <w:tc>
          <w:tcPr>
            <w:tcW w:w="1775" w:type="dxa"/>
            <w:vAlign w:val="center"/>
          </w:tcPr>
          <w:p w14:paraId="7CE319B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营销管理研究与咨询</w:t>
            </w:r>
          </w:p>
        </w:tc>
        <w:tc>
          <w:tcPr>
            <w:tcW w:w="6236" w:type="dxa"/>
            <w:vAlign w:val="center"/>
          </w:tcPr>
          <w:p w14:paraId="08B379A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项目旨在聚焦“计量领域AI持续推进与深度融合”核心问题，通过系统性研究厘清人工智能与计量业务深度融合的宏观趋势、核心逻辑及可行范式，构建有效吸纳与融合产业界主流技术平台及学术界前沿创新成果，适配广东电网实际且具备前瞻性的发展蓝图与协同创新框架，形成面向未来的“AI+计量”融合发展咨询成果。</w:t>
            </w:r>
          </w:p>
        </w:tc>
        <w:tc>
          <w:tcPr>
            <w:tcW w:w="1840" w:type="dxa"/>
            <w:vAlign w:val="center"/>
          </w:tcPr>
          <w:p w14:paraId="6ED275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E3F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A3B88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18</w:t>
            </w:r>
          </w:p>
        </w:tc>
        <w:tc>
          <w:tcPr>
            <w:tcW w:w="1775" w:type="dxa"/>
            <w:vAlign w:val="center"/>
          </w:tcPr>
          <w:p w14:paraId="3AB3A07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营销运营费电力市场政策研究、服务品牌策划、典型设计等服务</w:t>
            </w:r>
          </w:p>
        </w:tc>
        <w:tc>
          <w:tcPr>
            <w:tcW w:w="6236" w:type="dxa"/>
            <w:vAlign w:val="center"/>
          </w:tcPr>
          <w:p w14:paraId="26AC3D9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贯彻落实国家能源局全面打造现代化用电营商环境及创建“三个一批”标杆示范工作，提升公司客户服务水平，公司亟需通过全面的用电营商环境调研和评价，系统诊断公司服务水平，找准服务短板和差距，促进服务质量整体提升，打造优化用电营商环境标杆。</w:t>
            </w:r>
          </w:p>
        </w:tc>
        <w:tc>
          <w:tcPr>
            <w:tcW w:w="1840" w:type="dxa"/>
            <w:vAlign w:val="center"/>
          </w:tcPr>
          <w:p w14:paraId="0CAF37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3F8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75D93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19</w:t>
            </w:r>
          </w:p>
        </w:tc>
        <w:tc>
          <w:tcPr>
            <w:tcW w:w="1775" w:type="dxa"/>
            <w:vAlign w:val="center"/>
          </w:tcPr>
          <w:p w14:paraId="35D0FFF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营销运营费电力市场政策研究、服务品牌策划、典型设计等服务</w:t>
            </w:r>
          </w:p>
        </w:tc>
        <w:tc>
          <w:tcPr>
            <w:tcW w:w="6236" w:type="dxa"/>
            <w:vAlign w:val="center"/>
          </w:tcPr>
          <w:p w14:paraId="1D38543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立足我国电力市场改革总体要求与区域电力市场运行实际，通过系统性梳理相关政策文件，结合国内外电力市场建设经验与政策演进规律，构建适配不同电价机制及改革场景的政策解读算法模型，同时结合电网企业实际运转情况，提出适配全量工商业用户入市的电力市场环境下的营销业务变革以及发展路径建议（指导方案），助力广东电网公司建立对未来电力市场变革的应变机制，更好融入全国统一电力市场。</w:t>
            </w:r>
          </w:p>
        </w:tc>
        <w:tc>
          <w:tcPr>
            <w:tcW w:w="1840" w:type="dxa"/>
            <w:vAlign w:val="center"/>
          </w:tcPr>
          <w:p w14:paraId="0F2E40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82C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00C7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20</w:t>
            </w:r>
          </w:p>
        </w:tc>
        <w:tc>
          <w:tcPr>
            <w:tcW w:w="1775" w:type="dxa"/>
            <w:vAlign w:val="center"/>
          </w:tcPr>
          <w:p w14:paraId="3C34401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用户生态运营服务、服务调度业务外委费、网格化业务外委费</w:t>
            </w:r>
          </w:p>
        </w:tc>
        <w:tc>
          <w:tcPr>
            <w:tcW w:w="6236" w:type="dxa"/>
            <w:vAlign w:val="center"/>
          </w:tcPr>
          <w:p w14:paraId="07F0363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生态运营服务、服务调度业务、网格化业务辅助工作业务外委</w:t>
            </w:r>
          </w:p>
        </w:tc>
        <w:tc>
          <w:tcPr>
            <w:tcW w:w="1840" w:type="dxa"/>
            <w:vAlign w:val="center"/>
          </w:tcPr>
          <w:p w14:paraId="23B767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5DE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ABF68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21</w:t>
            </w:r>
          </w:p>
        </w:tc>
        <w:tc>
          <w:tcPr>
            <w:tcW w:w="1775" w:type="dxa"/>
            <w:vAlign w:val="center"/>
          </w:tcPr>
          <w:p w14:paraId="3CE706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信息机房、局域网建设及升级改造（含配套物资）</w:t>
            </w:r>
          </w:p>
        </w:tc>
        <w:tc>
          <w:tcPr>
            <w:tcW w:w="6236" w:type="dxa"/>
            <w:vAlign w:val="center"/>
          </w:tcPr>
          <w:p w14:paraId="464CDEC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广东电网有限责任公司2026年本质安全能力信息化项目框架采购（信息运维作业区与网络安全作战室建设）</w:t>
            </w:r>
          </w:p>
        </w:tc>
        <w:tc>
          <w:tcPr>
            <w:tcW w:w="1840" w:type="dxa"/>
            <w:vAlign w:val="center"/>
          </w:tcPr>
          <w:p w14:paraId="69C150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51D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B6A5A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22</w:t>
            </w:r>
          </w:p>
        </w:tc>
        <w:tc>
          <w:tcPr>
            <w:tcW w:w="1775" w:type="dxa"/>
            <w:vAlign w:val="center"/>
          </w:tcPr>
          <w:p w14:paraId="284A470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信息安全专项技术服务</w:t>
            </w:r>
          </w:p>
        </w:tc>
        <w:tc>
          <w:tcPr>
            <w:tcW w:w="6236" w:type="dxa"/>
            <w:vAlign w:val="center"/>
          </w:tcPr>
          <w:p w14:paraId="4708F2E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广东电网有限责任公司2026年信息化项目夯实新型基础设施框架采购（自主可控改造技术支持服务、联调测试环境运维等）</w:t>
            </w:r>
          </w:p>
        </w:tc>
        <w:tc>
          <w:tcPr>
            <w:tcW w:w="1840" w:type="dxa"/>
            <w:vAlign w:val="center"/>
          </w:tcPr>
          <w:p w14:paraId="39813B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7B0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E2636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23</w:t>
            </w:r>
          </w:p>
        </w:tc>
        <w:tc>
          <w:tcPr>
            <w:tcW w:w="1775" w:type="dxa"/>
            <w:vAlign w:val="center"/>
          </w:tcPr>
          <w:p w14:paraId="6D92919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信息化项目技术服务（可研、需求分析、设计服务、界面设计、数字化专题研究咨询、监理、结算编审、后评价等）</w:t>
            </w:r>
          </w:p>
        </w:tc>
        <w:tc>
          <w:tcPr>
            <w:tcW w:w="6236" w:type="dxa"/>
            <w:vAlign w:val="center"/>
          </w:tcPr>
          <w:p w14:paraId="10863A3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广东电网有限责任公司新型基础设施关键节点建设项目监理和全过程造价咨询</w:t>
            </w:r>
          </w:p>
        </w:tc>
        <w:tc>
          <w:tcPr>
            <w:tcW w:w="1840" w:type="dxa"/>
            <w:vAlign w:val="center"/>
          </w:tcPr>
          <w:p w14:paraId="77A93F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F251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CF5DF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24</w:t>
            </w:r>
          </w:p>
        </w:tc>
        <w:tc>
          <w:tcPr>
            <w:tcW w:w="1775" w:type="dxa"/>
            <w:vAlign w:val="center"/>
          </w:tcPr>
          <w:p w14:paraId="03670DC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信息机房、局域网建设及升级改造（含配套物资）</w:t>
            </w:r>
          </w:p>
        </w:tc>
        <w:tc>
          <w:tcPr>
            <w:tcW w:w="6236" w:type="dxa"/>
            <w:vAlign w:val="center"/>
          </w:tcPr>
          <w:p w14:paraId="40C4EBA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广东电网有限责任公司新型基础设施关键节点建设项目总承包</w:t>
            </w:r>
          </w:p>
        </w:tc>
        <w:tc>
          <w:tcPr>
            <w:tcW w:w="1840" w:type="dxa"/>
            <w:vAlign w:val="center"/>
          </w:tcPr>
          <w:p w14:paraId="008823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8BE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FB209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25</w:t>
            </w:r>
          </w:p>
        </w:tc>
        <w:tc>
          <w:tcPr>
            <w:tcW w:w="1775" w:type="dxa"/>
            <w:vAlign w:val="center"/>
          </w:tcPr>
          <w:p w14:paraId="3C575B7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信息系统开发及实施</w:t>
            </w:r>
          </w:p>
        </w:tc>
        <w:tc>
          <w:tcPr>
            <w:tcW w:w="6236" w:type="dxa"/>
            <w:vAlign w:val="center"/>
          </w:tcPr>
          <w:p w14:paraId="7B313BA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客户服务平台（数智营销应用V1.0-营销管理及移动营销作业）建设项目</w:t>
            </w:r>
          </w:p>
        </w:tc>
        <w:tc>
          <w:tcPr>
            <w:tcW w:w="1840" w:type="dxa"/>
            <w:vAlign w:val="center"/>
          </w:tcPr>
          <w:p w14:paraId="25356E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6BA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78D20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26</w:t>
            </w:r>
          </w:p>
        </w:tc>
        <w:tc>
          <w:tcPr>
            <w:tcW w:w="1775" w:type="dxa"/>
            <w:vAlign w:val="center"/>
          </w:tcPr>
          <w:p w14:paraId="42DD60C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省级决策科技项目研发外委服务（不含科技项目委托管理细则中限定的可开展委托的范围）、科技项目涉及的加工、文献出版、传媒、检索、查新、特殊设备的测试化验服务以及非集中采购的专项经费相关服务</w:t>
            </w:r>
          </w:p>
        </w:tc>
        <w:tc>
          <w:tcPr>
            <w:tcW w:w="6236" w:type="dxa"/>
            <w:vAlign w:val="center"/>
          </w:tcPr>
          <w:p w14:paraId="35D7BB4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广东电网有限责任公司2026-2027年调控中心创新类第三方服务</w:t>
            </w:r>
          </w:p>
        </w:tc>
        <w:tc>
          <w:tcPr>
            <w:tcW w:w="1840" w:type="dxa"/>
            <w:vAlign w:val="center"/>
          </w:tcPr>
          <w:p w14:paraId="05E5C5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C78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05B43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27</w:t>
            </w:r>
          </w:p>
        </w:tc>
        <w:tc>
          <w:tcPr>
            <w:tcW w:w="1775" w:type="dxa"/>
            <w:vAlign w:val="center"/>
          </w:tcPr>
          <w:p w14:paraId="60D4DF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继电保护主站系统功能开发（A、B类项目）</w:t>
            </w:r>
          </w:p>
        </w:tc>
        <w:tc>
          <w:tcPr>
            <w:tcW w:w="6236" w:type="dxa"/>
            <w:vAlign w:val="center"/>
          </w:tcPr>
          <w:p w14:paraId="4E7A8F4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广东电网有限责任公司调控中心系统运行领域系统功能加装</w:t>
            </w:r>
          </w:p>
        </w:tc>
        <w:tc>
          <w:tcPr>
            <w:tcW w:w="1840" w:type="dxa"/>
            <w:vAlign w:val="center"/>
          </w:tcPr>
          <w:p w14:paraId="03C96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208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7905A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28</w:t>
            </w:r>
          </w:p>
        </w:tc>
        <w:tc>
          <w:tcPr>
            <w:tcW w:w="1775" w:type="dxa"/>
            <w:vAlign w:val="center"/>
          </w:tcPr>
          <w:p w14:paraId="382547C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网级决策科技项目研发外委服务（不含科技项目委托管理细则中限定的可开展委托的范围）</w:t>
            </w:r>
          </w:p>
        </w:tc>
        <w:tc>
          <w:tcPr>
            <w:tcW w:w="6236" w:type="dxa"/>
            <w:vAlign w:val="center"/>
          </w:tcPr>
          <w:p w14:paraId="4D0396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广东电网有限责任公司调控中心科技项目设备试制</w:t>
            </w:r>
          </w:p>
        </w:tc>
        <w:tc>
          <w:tcPr>
            <w:tcW w:w="1840" w:type="dxa"/>
            <w:vAlign w:val="center"/>
          </w:tcPr>
          <w:p w14:paraId="733289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D0D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F18D7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29</w:t>
            </w:r>
          </w:p>
        </w:tc>
        <w:tc>
          <w:tcPr>
            <w:tcW w:w="1775" w:type="dxa"/>
            <w:vAlign w:val="center"/>
          </w:tcPr>
          <w:p w14:paraId="44F817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调度自动化主站系统集成商维保</w:t>
            </w:r>
          </w:p>
        </w:tc>
        <w:tc>
          <w:tcPr>
            <w:tcW w:w="6236" w:type="dxa"/>
            <w:vAlign w:val="center"/>
          </w:tcPr>
          <w:p w14:paraId="62E8965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广东电网有限责任公司2026年度调度自动化主站系统集成商维保（非原厂商）服务</w:t>
            </w:r>
          </w:p>
        </w:tc>
        <w:tc>
          <w:tcPr>
            <w:tcW w:w="1840" w:type="dxa"/>
            <w:vAlign w:val="center"/>
          </w:tcPr>
          <w:p w14:paraId="3BC8AC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189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BE3F4" w:themeFill="accent1" w:themeFillTint="32"/>
            <w:vAlign w:val="center"/>
          </w:tcPr>
          <w:p w14:paraId="48D2F8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三、</w:t>
            </w:r>
          </w:p>
        </w:tc>
        <w:tc>
          <w:tcPr>
            <w:tcW w:w="9851" w:type="dxa"/>
            <w:gridSpan w:val="3"/>
            <w:shd w:val="clear" w:color="auto" w:fill="DBE3F4" w:themeFill="accent1" w:themeFillTint="32"/>
            <w:vAlign w:val="center"/>
          </w:tcPr>
          <w:p w14:paraId="1960D5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工程类</w:t>
            </w:r>
          </w:p>
        </w:tc>
      </w:tr>
      <w:tr w14:paraId="5997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shd w:val="clear" w:color="auto" w:fill="auto"/>
            <w:vAlign w:val="center"/>
          </w:tcPr>
          <w:p w14:paraId="2C31DB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shd w:val="clear" w:color="auto" w:fill="auto"/>
            <w:vAlign w:val="center"/>
          </w:tcPr>
          <w:p w14:paraId="3A19FC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shd w:val="clear" w:color="auto" w:fill="auto"/>
            <w:vAlign w:val="center"/>
          </w:tcPr>
          <w:p w14:paraId="688A3B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shd w:val="clear" w:color="auto" w:fill="auto"/>
            <w:vAlign w:val="center"/>
          </w:tcPr>
          <w:p w14:paraId="2FA25C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591C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4A586A">
            <w:pPr>
              <w:keepNext w:val="0"/>
              <w:keepLines w:val="0"/>
              <w:widowControl/>
              <w:suppressLineNumbers w:val="0"/>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775" w:type="dxa"/>
            <w:vAlign w:val="center"/>
          </w:tcPr>
          <w:p w14:paraId="792D598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798B14F3">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东莞110千伏横江厦输变电工程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1、110kV横江厦变电站工程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2、220kV坑美站110kV线路保护改造工程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3、220kV步田站110kV线路保护改造工程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4、110kV田头站110kV线路保护改造工程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5、110kV大圳埔站110kV线路保护改造工程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6、110kV常平站110kV线路保护改造工程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7、110kV角社站110kV线路保护改造工程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8、110kV果合岭站110kV线路保护改造工程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1、110kV元常乙线解口入横江厦站工程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2、110kV步角线解口入坑美站工程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3、110kV步角线、元常乙果线解口改接线路工程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1、110kV横江厦变电站配套通信设备工程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2、110kV元常乙线解口入横江厦站配套管道光缆工程</w:t>
            </w:r>
          </w:p>
        </w:tc>
        <w:tc>
          <w:tcPr>
            <w:tcW w:w="1840" w:type="dxa"/>
            <w:vAlign w:val="center"/>
          </w:tcPr>
          <w:p w14:paraId="75F928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64A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9690E6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775" w:type="dxa"/>
            <w:vAlign w:val="center"/>
          </w:tcPr>
          <w:p w14:paraId="2F55BFD8">
            <w:pPr>
              <w:bidi w:val="0"/>
              <w:jc w:val="center"/>
              <w:rPr>
                <w:rFonts w:hint="eastAsia"/>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339C4C2B">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珠海110千伏厚昌输变电工程：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1、110千伏厚昌变电站工程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2、110千伏平沙站保护改造工程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3、220千伏大港站保护改造工程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1、110千伏厚昌至大港线路工程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2、110千伏厚昌至平沙线路工程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2、110kV厚昌至平沙线路配套光缆工程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3、110kV厚昌至大港线路配套光缆工程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建设地点：广东省珠海市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0EAEB6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F58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AD2B60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775" w:type="dxa"/>
            <w:vAlign w:val="center"/>
          </w:tcPr>
          <w:p w14:paraId="1EA0073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63B9760">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江门鹤山220千伏鹤山站扩建第三台主变工程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bookmarkStart w:id="0" w:name="_GoBack"/>
            <w:bookmarkEnd w:id="0"/>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1、220kV鹤山站扩建第三台主变工程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建设地点：广东省江门市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78CEF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637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7B9624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775" w:type="dxa"/>
            <w:vAlign w:val="center"/>
          </w:tcPr>
          <w:p w14:paraId="7E958B8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4EEA26E4">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江门开平110千伏麦边输变电工程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1、110千伏麦边变电站工程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2、110千伏鹤南站扩建110千伏间隔工程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3、110千伏月山站扩建110千伏间隔工程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1、110千伏麦边至鹤南线路工程(架空部分)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2、110千伏麦边至月山线路工程：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1、110千伏麦边至鹤南线路工程（电缆部分）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2、110千伏麦边至鹤南线路工程(OPGW光缆部分)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3、110千伏麦边至鹤南线路工程(管道光缆部分)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4、110千伏麦边至月山线路工程(OPGW光缆部分)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建设地点：广东省江门市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3223CD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89B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469BCD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775" w:type="dxa"/>
            <w:vAlign w:val="center"/>
          </w:tcPr>
          <w:p w14:paraId="0BACDEA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B662030">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茂名茂南220千伏金塘输变电工程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1、220kV金塘变电站工程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2、500kV茂名站220kV间隔改造工程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3、110kV露天矿站扩建110kV间隔工程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4、110kV水榕站扩建110kV间隔工程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5、220kV河东站保护改造工程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6、110kV河之口站保护改造工程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7、220kV榭平岭站保护改造工程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1、220kV名河甲乙线解口入金塘站线路工程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2、110kV河白线解口入金塘站线路工程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3、110kV金塘至河之口线路工程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4、110kV榭露线改接工程（架空部分）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5、110kV榭露线改接工程（电缆部分）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2、220kV名河甲乙线解口入金塘站线路工程（OPGW光缆部分）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3、110kV河白线解口入金塘站线路工程（OPGW光缆部分）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4、110kV金塘至河之口线路工程（OPGW光缆部分）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5、110kV榭露线改接工程（OPGW光缆部分）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6、110kV榭露线改接工程（管道光缆部分）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3241D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A30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84" w:type="dxa"/>
            <w:vAlign w:val="center"/>
          </w:tcPr>
          <w:p w14:paraId="76779CA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775" w:type="dxa"/>
            <w:vAlign w:val="center"/>
          </w:tcPr>
          <w:p w14:paraId="01DC3EA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61F5A8E3">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茂名茂南110千伏五洲输变电工程施工</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1、110kV五洲变电站工程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2、220kV袂花站保护改造工程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3、110kV双山站保护改造工程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1、110kV袂双甲线解口入五洲站线路工程（架空部分）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2、110kV袂双甲线解口入五洲站线路工程（电缆部分）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2、110kV袂双甲线解口入五洲站线路工程（OPGW部分）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3、110kV袂双甲线解口入五洲站线路工程（管道光缆部分）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建设地点：广东省茂名市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DF442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0D8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40B259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775" w:type="dxa"/>
            <w:vAlign w:val="center"/>
          </w:tcPr>
          <w:p w14:paraId="44A6F13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141A2170">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清远佛冈110千伏迳头站至110千伏枫华站线路工程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1、110kV枫华站扩建110kV间隔工程。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2、110kV环城站保护改造工程。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3、110kV迳头站扩建110kV间隔工程。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1、110kV迳头站至枫华站线路工程。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2、110kV迳头站至枫华站线路工程(OPGW光缆部分)。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建设地点：广东省清远市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215F5C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D92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3F28F7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1775" w:type="dxa"/>
            <w:vAlign w:val="center"/>
          </w:tcPr>
          <w:p w14:paraId="409A09FD">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65996328">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清远110kV阳山阳光江英50MW农光互补光伏发电项目接入系统工程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1.110kV青莲站扩建110kV间隔工程。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1.110kV江英升压站至青莲站线路工程。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2.110kV江英升压站至青莲站线路工程（OPGW光缆部分）。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建设地点：广东省清远市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2B2337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EB7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E3B6C5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775" w:type="dxa"/>
            <w:vAlign w:val="center"/>
          </w:tcPr>
          <w:p w14:paraId="3F98F90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1AA67518">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粤东城际铁路汕头莲塘（汕头至潮汕机场段）牵引站接入系统工程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※变电部分: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1、220kV素善站扩建110kV间隔工程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2、110kV玉井站扩建110kV间隔工程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1、110kV素善站至莲塘牵引站电缆线路工程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2、110kV玉井站至莲塘牵引站电缆线路工程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2、110kV素善站至莲塘牵引站电缆线路工程（管道光缆部分）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3、110kV玉井站至莲塘牵引站电缆线路工程（管道光缆部分）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建设地点：广东省汕头市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具体建设规模以招标公告为准。</w:t>
            </w:r>
          </w:p>
        </w:tc>
        <w:tc>
          <w:tcPr>
            <w:tcW w:w="1840" w:type="dxa"/>
            <w:vAlign w:val="center"/>
          </w:tcPr>
          <w:p w14:paraId="786751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287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A30609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775" w:type="dxa"/>
            <w:vAlign w:val="center"/>
          </w:tcPr>
          <w:p w14:paraId="65A9C6A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CDF4FA7">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粤东城际铁路汕头莲上（潮州东至汕头段）牵引站接入系统工程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※变电部分: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1、110kV程洋岗站扩建110kV间隔工程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2、220kV苏南站保护改造工程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※架空线路部分: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1、110kV莲上牵引站至程洋岗站线路工程（架空部分）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2、110kV莲上牵引站至苏南站线路工程（架空部分）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 110kV莲上牵引站至苏南站线路工程（电缆部分）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2、110kV莲上牵引站至程洋岗站线路工程（OPGW部分）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3、110kV莲上牵引站至苏南站线路工程（OPGW部分）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4、110kV莲上牵引站至苏南站线路工程（管道光缆部分）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建设地点：广东省汕头市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具体建设规模以招标公告为准。</w:t>
            </w:r>
          </w:p>
        </w:tc>
        <w:tc>
          <w:tcPr>
            <w:tcW w:w="1840" w:type="dxa"/>
            <w:vAlign w:val="center"/>
          </w:tcPr>
          <w:p w14:paraId="3F4939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4B63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EBE790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1775" w:type="dxa"/>
            <w:vAlign w:val="center"/>
          </w:tcPr>
          <w:p w14:paraId="70AF205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D86BF4F">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阳江110千伏海朗站扩建第二台主变工程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1、110kV海朗站扩建第二台主变工程。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2、110kV新洲站保护改造工程。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1、110kV雷海甲线间隔调整线路工程。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2、110kV新海线间隔调整线路工程。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F37CC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E84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698E49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775" w:type="dxa"/>
            <w:vAlign w:val="center"/>
          </w:tcPr>
          <w:p w14:paraId="19BF678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32F65FF9">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云浮220千伏罗定北牵引站接入系统工程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1、220kV黎少站扩建220kV间隔工程；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1、220kV黎少至罗定北牵引站甲、乙线工程；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2、220kV黎少至罗定北牵引站甲、乙线工程（OPGW光缆部分）。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建设地点：广东省云浮市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E87D9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C09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5CF672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775" w:type="dxa"/>
            <w:vAlign w:val="center"/>
          </w:tcPr>
          <w:p w14:paraId="4084D55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7E3D8A01">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云浮郁南110千伏罗旁站扩建第二台主变工程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1、云浮郁南110千伏罗旁站扩建第二台主变工程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建设地点：广东省云浮市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31F4FB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90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928F7D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775" w:type="dxa"/>
            <w:vAlign w:val="center"/>
          </w:tcPr>
          <w:p w14:paraId="247E9EE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1E1E337">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肇庆110千伏姚沙（贞山3）输变电工程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1.1 110kV姚沙（贞山3）变电站工程；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1.2 220kV罗屋站扩建110kV间隔工程；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2.1 110kV莲贞线贞山站侧改接入姚沙站线路工程；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2.2 110kV罗屋至姚沙线路工程；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 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3.2 110kV莲贞线贞山站侧改接入姚沙站线路配套OPGW光缆工程；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3.3 110kV罗屋至姚沙线路配套OPGW光缆工程；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建设地点：肇庆市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C9C5D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450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8A2283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1775" w:type="dxa"/>
            <w:vAlign w:val="center"/>
          </w:tcPr>
          <w:p w14:paraId="4391174D">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5CD9AD8C">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肇庆110千伏金渡站#1主变增容工程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 肇庆110kV金渡站#1主变增容工程；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建设地点：肇庆市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73503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009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08D360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1775" w:type="dxa"/>
            <w:vAlign w:val="center"/>
          </w:tcPr>
          <w:p w14:paraId="52EE94D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5EB49874">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肇庆110千伏园东站间隔扩建工程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 肇庆110千伏园东站间隔扩建工程；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 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建设地点：肇庆市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479F5E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D30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106D60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1775" w:type="dxa"/>
            <w:vAlign w:val="center"/>
          </w:tcPr>
          <w:p w14:paraId="1E5684B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2A2B1D98">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肇庆35千伏扶罗输变电工程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 35kV扶罗变电站工程：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1.2 110kV石涧站35kV间隔改造工程；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 35kV石涧至扶罗线路工程；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 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 35kV石涧至扶罗线路工程（OPGW部分）；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建设地点：肇庆市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3E14C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ABB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2B06BE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1775" w:type="dxa"/>
            <w:vAlign w:val="center"/>
          </w:tcPr>
          <w:p w14:paraId="28A234F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44C8E161">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韶关220千伏白土数据中心输变电工程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1、220kV白土数据中心变电站工程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2、500kV曲江站220kV间隔改造工程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3、220kV坦界站保护改造工程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1、220kV曲坦甲线解口入白土数据中心站线路工程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2、220kV曲坦乙线解口入白土数据中心站线路工程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1、220kV白土数据中心至万国电缆线路工程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2、220kV曲坦甲线解口入白土数据中心站线路工程（OPGW光缆部分）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3、220kV曲坦乙线解口入白土数据中心站线路工程（OPGW光缆部分）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4、220kV白土数据中心至万国电缆线路工程（管道光缆部分）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建设地点：广东省韶关市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36C4B3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BA11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826B00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1775" w:type="dxa"/>
            <w:vAlign w:val="center"/>
          </w:tcPr>
          <w:p w14:paraId="324F475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31AE39F6">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韶关万国数据算力集群项目接入系统配套工程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1、220kV坦界站扩建220kV间隔工程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建设地点：广东省韶关市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4017CE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ED9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AF2DCF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775" w:type="dxa"/>
            <w:vAlign w:val="center"/>
          </w:tcPr>
          <w:p w14:paraId="7436D6E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034B9BC3">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佛山500千伏雄伟站配套220千伏线路工程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1、220kV熙悦站220kV间隔改造工程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2、220kV平胜站220kV间隔调整工程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3、500kV雄伟变电站配套巡维中心工程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1、220kV都熙甲乙线解口入雄伟站线路工程（架空部分）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2、220kV雷平甲乙线解口入雄伟站线路工程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1、220kV都熙甲乙线解口入雄伟站线路工程（电缆部分）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2、110kV平洲甲乙线、平三线、平林线、平岗线、平文线改造工程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2、220kV都熙甲乙线解口入雄伟站线路工程（OPGW光缆部分）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3、220kV雷平甲乙线解口入雄伟站线路工程（OPGW光缆部分）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4、110kV平洲甲乙线、平三线、平林线、平岗线、平文线改造工程（管道光缆部分）</w:t>
            </w:r>
          </w:p>
        </w:tc>
        <w:tc>
          <w:tcPr>
            <w:tcW w:w="1840" w:type="dxa"/>
            <w:vAlign w:val="center"/>
          </w:tcPr>
          <w:p w14:paraId="0E40C9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D3E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9FBC01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1775" w:type="dxa"/>
            <w:vAlign w:val="center"/>
          </w:tcPr>
          <w:p w14:paraId="7F5DB01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9B03E4E">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东莞220千伏厚山输变电工程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1.新建220千伏厚山变电站</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2.500千伏崇焕站扩建2个220千伏间隔。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3.220千伏景湖站扩建2个220千伏间隔。</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1．220千伏线路</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（1）220千伏厚山至崇焕双回线路工程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（2）220千伏厚山至景湖双回线路工程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2．110千伏线路</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（1）110千伏双厚河线解口入厚山站线路工程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（2）110千伏双新线T接入厚山站线路工程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（3）110千伏景厚甲线、景寮线T接入厚山站线路工程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（4）110千伏北湖乙沙线、景沙线T接入厚山站线路工程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※二次系统工程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建设配套的通信光缆及二次系统工程。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以上各项具体建设规模最终以施工图纸为准。</w:t>
            </w:r>
          </w:p>
        </w:tc>
        <w:tc>
          <w:tcPr>
            <w:tcW w:w="1840" w:type="dxa"/>
            <w:vAlign w:val="center"/>
          </w:tcPr>
          <w:p w14:paraId="6266E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497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EC70E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1775" w:type="dxa"/>
            <w:vAlign w:val="center"/>
          </w:tcPr>
          <w:p w14:paraId="190FE66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F703804">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高埗电厂改扩建2号机组接入系统工程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220kV陈屋站保护改造工程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220kV高埗电厂至陈屋站线路工程</w:t>
            </w:r>
          </w:p>
        </w:tc>
        <w:tc>
          <w:tcPr>
            <w:tcW w:w="1840" w:type="dxa"/>
            <w:vAlign w:val="center"/>
          </w:tcPr>
          <w:p w14:paraId="5AFEF4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08D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1577C1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1775" w:type="dxa"/>
            <w:vAlign w:val="center"/>
          </w:tcPr>
          <w:p w14:paraId="24CFE28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75F7E1C">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茂名220千伏金塘输变电工程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1、220kV金塘变电站工程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2、500kV茂名站220kV间隔改造工程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3、110kV露天矿站扩建110kV间隔工程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4、110kV水榕站扩建110kV间隔工程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5、220kV河东站保护改造工程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6、110kV河之口站保护改造工程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7、220kV榭平岭站保护改造工程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1、220kV名河甲乙线解口入金塘站线路工程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2、110kV河白线解口入金塘站线路工程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3、110kV金塘至河之口线路工程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4、110kV榭露线改接工程（架空部分）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5、110kV榭露线改接工程（电缆部分）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2、220kV名河甲乙线解口入金塘站线路工程（OPGW光缆部分）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3、110kV河白线解口入金塘站线路工程（OPGW光缆部分）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4、110kV金塘至河之口线路工程（OPGW光缆部分）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5、110kV榭露线改接工程（OPGW光缆部分）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6、110kV榭露线改接工程（管道光缆部分）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建设地点：广东省茂名市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7D3FDA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B8A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429903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775" w:type="dxa"/>
            <w:vAlign w:val="center"/>
          </w:tcPr>
          <w:p w14:paraId="688E375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107AC0F">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茂名高州110千伏石龙站扩建第二台主变工程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1、茂名高州110千伏石龙站扩建第二台主变工程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建设地点：广东省茂名市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62EB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007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F2D6D97">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1775" w:type="dxa"/>
            <w:vAlign w:val="center"/>
          </w:tcPr>
          <w:p w14:paraId="5DD54325">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7722219">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茂名电白110千伏霞洞站扩建第二台主变工程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1、110千伏霞洞站扩建第二台主变工程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建设地点：广东省茂名市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38593B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59C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B0E76B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775" w:type="dxa"/>
            <w:vAlign w:val="center"/>
          </w:tcPr>
          <w:p w14:paraId="1044598D">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D089767">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茂名高州110千伏根子站扩建第二台主变工程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1、110千伏根子站扩建第二台主变工程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建设地点：广东省茂名市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7C8DC4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E74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3C517D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1775" w:type="dxa"/>
            <w:vAlign w:val="center"/>
          </w:tcPr>
          <w:p w14:paraId="2BEAF96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B9B217C">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清远清新110千伏盈富输变电工程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1.110千伏盈富变电站。</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2.220kV滨河站扩建110kV间隔工程。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※110kV线路部分: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1.110千伏滨江至南龙线路解口入盈富站线路。</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2.110千伏滨江至盈富线路工程。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3.110千伏滨三甲线#17-#20改造工程。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4.35千伏沙百线#24+1-#26改造工程。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5.±500千伏兴安直流线#1951、#1952塔导地线悬垂串更换工程。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※通信工程部分: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2.110kV滨江至南龙线路解口入盈富站线路工程（OPGW光缆部分）。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3.110kV滨江至盈富线路工程（OPGW光缆部分）。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4.110kV滨三甲线#17-#20改造工程（OPGW光缆部分）。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5.110kV滨南线#42-#59、#64-#71段光缆更换工程。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建设地点：广东省清远市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015119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F38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6EBE86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1775" w:type="dxa"/>
            <w:vAlign w:val="center"/>
          </w:tcPr>
          <w:p w14:paraId="1F7963E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32906DB">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粤东城际铁路汕头莲塘（汕头至潮汕机场段）牵引站接入系统工程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※变电部分: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1、220kV素善站扩建110kV间隔工程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2、110kV玉井站扩建110kV间隔工程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1、110kV素善站至莲塘牵引站电缆线路工程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2、110kV玉井站至莲塘牵引站电缆线路工程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2、110kV素善站至莲塘牵引站电缆线路工程（管道光缆部分）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3、110kV玉井站至莲塘牵引站电缆线路工程（管道光缆部分）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建设地点：广东省汕头市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具体建设规模以招标公告为准。</w:t>
            </w:r>
          </w:p>
        </w:tc>
        <w:tc>
          <w:tcPr>
            <w:tcW w:w="1840" w:type="dxa"/>
            <w:vAlign w:val="center"/>
          </w:tcPr>
          <w:p w14:paraId="769235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5D5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864279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775" w:type="dxa"/>
            <w:vAlign w:val="center"/>
          </w:tcPr>
          <w:p w14:paraId="6BF1A55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3EBAC1A1">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粤东城际铁路汕头莲上（潮州东至汕头段）牵引站接入系统工程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※变电部分: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1、110kV程洋岗站扩建110kV间隔工程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2、220kV苏南站保护改造工程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 xml:space="preserve">※架空线路部分: </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1、110kV莲上牵引站至程洋岗站线路工程（架空部分）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2、110kV莲上牵引站至苏南站线路工程（架空部分）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 110kV莲上牵引站至苏南站线路工程（电缆部分）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2、110kV莲上牵引站至程洋岗站线路工程（OPGW部分）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3、110kV莲上牵引站至苏南站线路工程（OPGW部分）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4、110kV莲上牵引站至苏南站线路工程（管道光缆部分）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建设地点：广东省汕头市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具体建设规模以招标公告为准。</w:t>
            </w:r>
          </w:p>
        </w:tc>
        <w:tc>
          <w:tcPr>
            <w:tcW w:w="1840" w:type="dxa"/>
            <w:vAlign w:val="center"/>
          </w:tcPr>
          <w:p w14:paraId="1EC847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4EB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20303E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1775" w:type="dxa"/>
            <w:vAlign w:val="center"/>
          </w:tcPr>
          <w:p w14:paraId="5728119A">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D28459F">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韶关万国数据算力集群项目接入系统配套工程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1、220kV坦界站扩建220kV间隔工程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建设地点：广东省韶关市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4BE64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1D1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873722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1775" w:type="dxa"/>
            <w:vAlign w:val="center"/>
          </w:tcPr>
          <w:p w14:paraId="55C512A4">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7D196BE1">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韶关武江110千伏百旺输变电工程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1、110kV百旺变电站工程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2、220kV阳岗站扩建110kV间隔工程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3、110kV新君站110kV保护改造工程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4、220kV芙蓉站110kV保护改造工程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1、110kV芙炼线解口入百旺站线路工程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2、110kV芙炼线解口入阳岗站线路工程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2、110kV芙炼线解口入百旺站线路工程（OPGW光缆部分）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3、110kV芙炼线解口入阳岗站线路工程（OPGW光缆部分）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建设地点：广东省韶关市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4A4DDB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082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575E82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1775" w:type="dxa"/>
            <w:vAlign w:val="center"/>
          </w:tcPr>
          <w:p w14:paraId="1CE6F884">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065828B8">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韶关武江110千伏规划馆输变电工程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建设规模：</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1、110kV规划馆变电站工程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2、220kV华韶变电站110kV线路保护改造工程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1、110kV华韶至规划馆线路工程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2、110kV韶冶至规划馆线路工程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2、110kV华韶至规划馆线路工程（OPGW光缆部分）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3、110kV韶冶至规划馆线路工程（OPGW光缆部分）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建设地点：广东省韶关市</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7961DB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AFA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BDF276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1775" w:type="dxa"/>
            <w:vAlign w:val="center"/>
          </w:tcPr>
          <w:p w14:paraId="0EEF906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2D752D4D">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佛山220千伏兴业输变电工程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1、220kV兴业变电站工程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2、220kV竹园站保护改造工程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3、220kV雁山站保护改造工程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4、220kV南海站保护改造工程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5、110kV上西站保护改造工程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6、110kV山南站保护改造工程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1、220kV新竹甲乙线解口入兴业站线路工程(架空部分)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2、220kV新竹甲乙线解口入兴业站线路工程(电缆部分)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3、220kV南雁甲线解口入兴业站线路工程（架空部分）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4、220kV南雁甲线解口入兴业站线路工程（电缆部分）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5、110kV山二线、竹上线解口入兴业站线路工程(架空部分)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6、110kV山二线、竹上线解口入兴业站线路工程(电缆部分)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7、配套隧道工程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2、220kV新竹甲乙线解口入兴业站线路工程（OPGW光缆部分）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3、220kV新竹甲乙线解口入兴业站线路工程（管道光缆部分）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4、220kV南雁甲线解口入兴业站线路工程（OPGW光缆部分）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5、220kV南雁甲线解口入兴业站线路工程（管道光缆部分）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6、110kV山二线、竹上线解口入兴业站线路工程（OPGW光缆部分）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7、110kV山二线、竹上线解口入兴业站线路工程（管道光缆部分）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6A30C5F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D03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FD3578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1775" w:type="dxa"/>
            <w:vAlign w:val="center"/>
          </w:tcPr>
          <w:p w14:paraId="6EAAD341">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1FD55440">
            <w:pPr>
              <w:keepNext w:val="0"/>
              <w:keepLines w:val="0"/>
              <w:pageBreakBefore w:val="0"/>
              <w:widowControl/>
              <w:kinsoku/>
              <w:wordWrap/>
              <w:overflowPunct/>
              <w:topLinePunct w:val="0"/>
              <w:autoSpaceDE/>
              <w:autoSpaceDN/>
              <w:bidi w:val="0"/>
              <w:adjustRightInd/>
              <w:snapToGrid/>
              <w:spacing w:line="240" w:lineRule="auto"/>
              <w:jc w:val="left"/>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佛山500千伏雄伟站配套220千伏线路工程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※变电部分：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1、220kV熙悦站220kV间隔改造工程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2、220kV平胜站220kV间隔调整工程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3、500kV雄伟变电站配套巡维中心工程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※架空线路部分: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1、220kV都熙甲乙线解口入雄伟站线路工程（架空部分）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2、220kV雷平甲乙线解口入雄伟站线路工程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※电缆线路部分: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1、220kV都熙甲乙线解口入雄伟站线路工程（电缆部分）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2、110kV平洲甲乙线、平三线、平林线、平岗线、平文线改造工程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※通信部分: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1、配套通信设备工程</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2、220kV都熙甲乙线解口入雄伟站线路工程（OPGW光缆部分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3、220kV雷平甲乙线解口入雄伟站线路工程（OPGW光缆部分）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4、110kV平洲甲乙线、平三线、平林线、平岗线、平文线改造工程（管道光缆部分）</w:t>
            </w:r>
            <w:r>
              <w:rPr>
                <w:rFonts w:hint="eastAsia" w:asciiTheme="minorEastAsia" w:hAnsiTheme="minorEastAsia" w:cstheme="minorEastAsia"/>
                <w:color w:val="auto"/>
                <w:sz w:val="20"/>
                <w:szCs w:val="20"/>
                <w:vertAlign w:val="baseline"/>
                <w:lang w:val="en-US" w:eastAsia="zh-CN"/>
              </w:rPr>
              <w:br w:type="textWrapping"/>
            </w:r>
            <w:r>
              <w:rPr>
                <w:rFonts w:hint="eastAsia" w:asciiTheme="minorEastAsia" w:hAnsiTheme="minorEastAsia" w:cstheme="minorEastAsia"/>
                <w:color w:val="auto"/>
                <w:sz w:val="20"/>
                <w:szCs w:val="20"/>
                <w:vertAlign w:val="baseline"/>
                <w:lang w:val="en-US" w:eastAsia="zh-CN"/>
              </w:rPr>
              <w:t>具体建设规模以施工图纸为准。</w:t>
            </w:r>
          </w:p>
        </w:tc>
        <w:tc>
          <w:tcPr>
            <w:tcW w:w="1840" w:type="dxa"/>
            <w:vAlign w:val="center"/>
          </w:tcPr>
          <w:p w14:paraId="1E226C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2BC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D2F057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1775" w:type="dxa"/>
            <w:vAlign w:val="center"/>
          </w:tcPr>
          <w:p w14:paraId="3A770C5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6BE6F7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广东电网有限责任公司河源供电局新建河源供电局调度控制中心技术业务用房项目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本工程建设于河源市源城区红星东路以北、建设大道以西，总征地面积约为30000.46平方米，本期为一期建设项目，用地面积约15923.46平方米。工程总建筑面积29497.71平方米，地上建筑面积21800.32平方米（包括1#调度控制中心21700.31平方米，2#门卫室54.00平方米，3#信访接待室46.01平方米），地下室建筑面积7697.39平方米，建筑地上18层，地下1层，建筑规划高度为96.8米(室外地坪至女儿墙顶），消防高度为95.35米（室外地坪至屋面完成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建设地点：广东省河源市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33E9EC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8BE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AB7D13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1775" w:type="dxa"/>
            <w:vAlign w:val="center"/>
          </w:tcPr>
          <w:p w14:paraId="39BC97F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工程监理</w:t>
            </w:r>
          </w:p>
        </w:tc>
        <w:tc>
          <w:tcPr>
            <w:tcW w:w="6236" w:type="dxa"/>
            <w:vAlign w:val="center"/>
          </w:tcPr>
          <w:p w14:paraId="4F421A6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云浮郁南供电局员工保障性住房项目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建设地点：广东省云浮市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59F6B7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63C2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5F3260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1775" w:type="dxa"/>
            <w:vAlign w:val="center"/>
          </w:tcPr>
          <w:p w14:paraId="0123A8D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color w:val="auto"/>
                <w:sz w:val="20"/>
                <w:szCs w:val="20"/>
                <w:vertAlign w:val="baseline"/>
                <w:lang w:val="en-US" w:eastAsia="zh-CN"/>
              </w:rPr>
            </w:pPr>
            <w:r>
              <w:rPr>
                <w:rFonts w:hint="eastAsia" w:asciiTheme="minorEastAsia" w:hAnsiTheme="minorEastAsia" w:cstheme="minorEastAsia"/>
                <w:color w:val="auto"/>
                <w:sz w:val="20"/>
                <w:szCs w:val="20"/>
                <w:vertAlign w:val="baseline"/>
                <w:lang w:val="en-US" w:eastAsia="zh-CN"/>
              </w:rPr>
              <w:t>专业施工</w:t>
            </w:r>
          </w:p>
        </w:tc>
        <w:tc>
          <w:tcPr>
            <w:tcW w:w="6236" w:type="dxa"/>
            <w:vAlign w:val="center"/>
          </w:tcPr>
          <w:p w14:paraId="7EDD95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云浮郁南供电局员工保障性住房项目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建设地点：广东省云浮市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具体建设规模以施工图纸为准。</w:t>
            </w:r>
          </w:p>
        </w:tc>
        <w:tc>
          <w:tcPr>
            <w:tcW w:w="1840" w:type="dxa"/>
            <w:vAlign w:val="center"/>
          </w:tcPr>
          <w:p w14:paraId="35E1F0E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bl>
    <w:p w14:paraId="660D7190">
      <w:pPr>
        <w:rPr>
          <w:rFonts w:hint="default" w:eastAsiaTheme="minorEastAsia"/>
          <w:lang w:val="en-US" w:eastAsia="zh-CN"/>
        </w:rPr>
      </w:pPr>
    </w:p>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72CB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AB9AB">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1AB9AB">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C0569"/>
    <w:rsid w:val="009C337D"/>
    <w:rsid w:val="01043352"/>
    <w:rsid w:val="034F75CA"/>
    <w:rsid w:val="043168E9"/>
    <w:rsid w:val="0A7913B8"/>
    <w:rsid w:val="13E90A60"/>
    <w:rsid w:val="147B136E"/>
    <w:rsid w:val="14D92AEE"/>
    <w:rsid w:val="16015476"/>
    <w:rsid w:val="16467D2D"/>
    <w:rsid w:val="16BB0B48"/>
    <w:rsid w:val="1ABA3F44"/>
    <w:rsid w:val="1BB219B7"/>
    <w:rsid w:val="1E442FAD"/>
    <w:rsid w:val="20853C4A"/>
    <w:rsid w:val="250A0BFB"/>
    <w:rsid w:val="26122E90"/>
    <w:rsid w:val="26B40FFE"/>
    <w:rsid w:val="290F2A1C"/>
    <w:rsid w:val="30C534F9"/>
    <w:rsid w:val="34046D48"/>
    <w:rsid w:val="35DD7DAD"/>
    <w:rsid w:val="3711757B"/>
    <w:rsid w:val="389144D3"/>
    <w:rsid w:val="393C5B4A"/>
    <w:rsid w:val="3E112472"/>
    <w:rsid w:val="3E3944DC"/>
    <w:rsid w:val="3E977499"/>
    <w:rsid w:val="3EE02537"/>
    <w:rsid w:val="41B31CF9"/>
    <w:rsid w:val="425A621B"/>
    <w:rsid w:val="44471E04"/>
    <w:rsid w:val="482A28E2"/>
    <w:rsid w:val="4A2B1D4F"/>
    <w:rsid w:val="4AC7621A"/>
    <w:rsid w:val="4B0530B5"/>
    <w:rsid w:val="4E8064C0"/>
    <w:rsid w:val="4FA207A2"/>
    <w:rsid w:val="50591FD2"/>
    <w:rsid w:val="527D036D"/>
    <w:rsid w:val="53D2207A"/>
    <w:rsid w:val="54254D13"/>
    <w:rsid w:val="549D435B"/>
    <w:rsid w:val="54D32E49"/>
    <w:rsid w:val="55550A59"/>
    <w:rsid w:val="55B72300"/>
    <w:rsid w:val="56F25A90"/>
    <w:rsid w:val="57ED78CB"/>
    <w:rsid w:val="5F3625AD"/>
    <w:rsid w:val="603F41CA"/>
    <w:rsid w:val="650C0569"/>
    <w:rsid w:val="65786321"/>
    <w:rsid w:val="6A2D4F37"/>
    <w:rsid w:val="6A611B65"/>
    <w:rsid w:val="6AC51604"/>
    <w:rsid w:val="6C1E1C61"/>
    <w:rsid w:val="6CB85D4F"/>
    <w:rsid w:val="6D56764A"/>
    <w:rsid w:val="70345611"/>
    <w:rsid w:val="709C6541"/>
    <w:rsid w:val="73185CFE"/>
    <w:rsid w:val="73FB0674"/>
    <w:rsid w:val="76B225B8"/>
    <w:rsid w:val="77B01682"/>
    <w:rsid w:val="781D6930"/>
    <w:rsid w:val="78E4409E"/>
    <w:rsid w:val="7F0636B4"/>
    <w:rsid w:val="7FB45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qFormat/>
    <w:uiPriority w:val="0"/>
    <w:rPr>
      <w:rFonts w:hint="eastAsia" w:ascii="宋体" w:hAnsi="宋体" w:eastAsia="宋体" w:cs="宋体"/>
      <w:color w:val="000000"/>
      <w:sz w:val="22"/>
      <w:szCs w:val="22"/>
      <w:u w:val="none"/>
    </w:rPr>
  </w:style>
  <w:style w:type="character" w:customStyle="1" w:styleId="9">
    <w:name w:val="font11"/>
    <w:basedOn w:val="7"/>
    <w:qFormat/>
    <w:uiPriority w:val="0"/>
    <w:rPr>
      <w:rFonts w:hint="eastAsia" w:ascii="宋体" w:hAnsi="宋体" w:eastAsia="宋体" w:cs="宋体"/>
      <w:color w:val="000000"/>
      <w:sz w:val="22"/>
      <w:szCs w:val="22"/>
      <w:u w:val="none"/>
    </w:rPr>
  </w:style>
  <w:style w:type="character" w:customStyle="1" w:styleId="10">
    <w:name w:val="font01"/>
    <w:basedOn w:val="7"/>
    <w:qFormat/>
    <w:uiPriority w:val="0"/>
    <w:rPr>
      <w:rFonts w:hint="eastAsia" w:ascii="宋体" w:hAnsi="宋体" w:eastAsia="宋体" w:cs="宋体"/>
      <w:color w:val="000000"/>
      <w:sz w:val="22"/>
      <w:szCs w:val="22"/>
      <w:u w:val="none"/>
    </w:rPr>
  </w:style>
  <w:style w:type="character" w:customStyle="1" w:styleId="11">
    <w:name w:val="font41"/>
    <w:basedOn w:val="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2026-01-27T11:24:00Z</dcterms:created>
  <dc:creator>叶绰伟</dc:creator>
  <cp:lastModifiedBy>chen</cp:lastModifiedBy>
  <cp:lastPrinted>2026-06-29T02:54:35Z</cp:lastPrinted>
  <dcterms:modified xsi:type="dcterms:W3CDTF">2026-06-29T02:54:59Z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EFFFDFC8B2E2487AB4DB8B1688DC823C</vt:lpwstr>
  </property>
</Properties>
</file>