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35D1C5">
      <w:pPr>
        <w:snapToGrid w:val="0"/>
        <w:spacing w:after="468" w:afterLines="150"/>
        <w:ind w:left="-28" w:leftChars="-85" w:right="-263" w:rightChars="-125" w:hanging="150" w:hangingChars="34"/>
        <w:jc w:val="center"/>
        <w:rPr>
          <w:rFonts w:ascii="宋体" w:hAnsi="宋体"/>
          <w:b/>
          <w:sz w:val="44"/>
          <w:szCs w:val="44"/>
          <w:u w:val="single"/>
        </w:rPr>
      </w:pPr>
    </w:p>
    <w:p w14:paraId="00F0C3C4">
      <w:pPr>
        <w:spacing w:line="360" w:lineRule="auto"/>
        <w:jc w:val="center"/>
        <w:rPr>
          <w:rFonts w:hint="eastAsia" w:asciiTheme="minorEastAsia" w:hAnsiTheme="minorEastAsia" w:cstheme="minorEastAsia"/>
          <w:b/>
          <w:sz w:val="44"/>
          <w:szCs w:val="44"/>
          <w:lang w:val="en-US" w:eastAsia="zh-CN"/>
        </w:rPr>
      </w:pPr>
      <w:r>
        <w:rPr>
          <w:rFonts w:hint="eastAsia" w:asciiTheme="minorEastAsia" w:hAnsiTheme="minorEastAsia" w:cstheme="minorEastAsia"/>
          <w:b/>
          <w:sz w:val="44"/>
          <w:szCs w:val="44"/>
          <w:lang w:val="en-US" w:eastAsia="zh-CN"/>
        </w:rPr>
        <w:t>云南储能有限公司格雷一级、二级电站2026年部分土地和建筑物测绘</w:t>
      </w:r>
    </w:p>
    <w:p w14:paraId="1E260AB8">
      <w:pPr>
        <w:spacing w:line="360" w:lineRule="auto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技术文件</w:t>
      </w:r>
    </w:p>
    <w:p w14:paraId="787E1264">
      <w:pPr>
        <w:spacing w:line="360" w:lineRule="auto"/>
        <w:ind w:left="-1" w:leftChars="-85" w:right="-263" w:rightChars="-125" w:hanging="177" w:hangingChars="34"/>
        <w:jc w:val="center"/>
        <w:rPr>
          <w:rFonts w:ascii="宋体" w:hAnsi="宋体"/>
          <w:b/>
          <w:sz w:val="52"/>
          <w:szCs w:val="52"/>
        </w:rPr>
      </w:pPr>
    </w:p>
    <w:p w14:paraId="6864CD25">
      <w:pPr>
        <w:spacing w:line="360" w:lineRule="auto"/>
        <w:ind w:left="-1" w:leftChars="-85" w:right="-263" w:rightChars="-125" w:hanging="177" w:hangingChars="34"/>
        <w:jc w:val="center"/>
        <w:rPr>
          <w:rFonts w:ascii="宋体" w:hAnsi="宋体"/>
          <w:b/>
          <w:sz w:val="52"/>
          <w:szCs w:val="52"/>
        </w:rPr>
      </w:pPr>
    </w:p>
    <w:p w14:paraId="2E3708CF">
      <w:pPr>
        <w:pStyle w:val="2"/>
        <w:rPr>
          <w:rFonts w:ascii="宋体" w:hAnsi="宋体"/>
          <w:b/>
          <w:sz w:val="52"/>
          <w:szCs w:val="52"/>
        </w:rPr>
      </w:pPr>
    </w:p>
    <w:p w14:paraId="31577D36">
      <w:pPr>
        <w:pStyle w:val="2"/>
        <w:rPr>
          <w:rFonts w:ascii="宋体" w:hAnsi="宋体"/>
          <w:b/>
          <w:sz w:val="52"/>
          <w:szCs w:val="52"/>
        </w:rPr>
      </w:pPr>
    </w:p>
    <w:p w14:paraId="01AD0B5A">
      <w:pPr>
        <w:pStyle w:val="2"/>
        <w:rPr>
          <w:rFonts w:ascii="宋体" w:hAnsi="宋体"/>
          <w:b/>
          <w:i/>
          <w:sz w:val="32"/>
          <w:szCs w:val="32"/>
        </w:rPr>
      </w:pPr>
    </w:p>
    <w:p w14:paraId="20B43DE5">
      <w:pPr>
        <w:pStyle w:val="2"/>
        <w:rPr>
          <w:rFonts w:ascii="宋体" w:hAnsi="宋体"/>
          <w:b/>
          <w:i/>
          <w:sz w:val="32"/>
          <w:szCs w:val="32"/>
        </w:rPr>
      </w:pPr>
    </w:p>
    <w:p w14:paraId="740B3720"/>
    <w:p w14:paraId="7AEEBEC6"/>
    <w:p w14:paraId="1F90CD72"/>
    <w:p w14:paraId="45854CF1"/>
    <w:p w14:paraId="2C469810">
      <w:pPr>
        <w:spacing w:line="360" w:lineRule="auto"/>
        <w:jc w:val="center"/>
        <w:rPr>
          <w:rFonts w:ascii="宋体" w:hAnsi="宋体"/>
          <w:b/>
          <w:sz w:val="36"/>
          <w:szCs w:val="36"/>
          <w:highlight w:val="none"/>
        </w:rPr>
      </w:pPr>
      <w:r>
        <w:rPr>
          <w:rFonts w:hint="eastAsia" w:ascii="宋体" w:hAnsi="宋体"/>
          <w:b/>
          <w:sz w:val="36"/>
          <w:szCs w:val="36"/>
          <w:highlight w:val="none"/>
          <w:lang w:val="en-US" w:eastAsia="zh-CN"/>
        </w:rPr>
        <w:t>云南储能有限公司</w:t>
      </w:r>
    </w:p>
    <w:p w14:paraId="3B29F61F">
      <w:pPr>
        <w:spacing w:line="360" w:lineRule="auto"/>
        <w:ind w:firstLine="3253" w:firstLineChars="900"/>
        <w:rPr>
          <w:rFonts w:ascii="宋体" w:hAnsi="宋体"/>
          <w:b/>
          <w:sz w:val="36"/>
          <w:szCs w:val="36"/>
          <w:highlight w:val="yellow"/>
        </w:rPr>
        <w:sectPr>
          <w:footerReference r:id="rId4" w:type="first"/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titlePg/>
          <w:docGrid w:type="lines" w:linePitch="312" w:charSpace="0"/>
        </w:sectPr>
      </w:pPr>
      <w:r>
        <w:rPr>
          <w:rFonts w:hint="eastAsia" w:ascii="宋体" w:hAnsi="宋体"/>
          <w:b/>
          <w:sz w:val="36"/>
          <w:szCs w:val="36"/>
          <w:highlight w:val="none"/>
        </w:rPr>
        <w:t>20</w:t>
      </w:r>
      <w:r>
        <w:rPr>
          <w:rFonts w:hint="eastAsia" w:ascii="宋体" w:hAnsi="宋体"/>
          <w:b/>
          <w:sz w:val="36"/>
          <w:szCs w:val="36"/>
          <w:highlight w:val="none"/>
          <w:lang w:val="en-US" w:eastAsia="zh-CN"/>
        </w:rPr>
        <w:t>26</w:t>
      </w:r>
      <w:r>
        <w:rPr>
          <w:rFonts w:hint="eastAsia" w:ascii="宋体" w:hAnsi="宋体"/>
          <w:b/>
          <w:sz w:val="36"/>
          <w:szCs w:val="36"/>
          <w:highlight w:val="none"/>
        </w:rPr>
        <w:t>年</w:t>
      </w:r>
      <w:r>
        <w:rPr>
          <w:rFonts w:hint="eastAsia" w:ascii="宋体" w:hAnsi="宋体"/>
          <w:b/>
          <w:sz w:val="36"/>
          <w:szCs w:val="36"/>
          <w:highlight w:val="none"/>
          <w:lang w:val="en-US" w:eastAsia="zh-CN"/>
        </w:rPr>
        <w:t>03</w:t>
      </w:r>
      <w:r>
        <w:rPr>
          <w:rFonts w:hint="eastAsia" w:ascii="宋体" w:hAnsi="宋体"/>
          <w:b/>
          <w:sz w:val="36"/>
          <w:szCs w:val="36"/>
          <w:highlight w:val="none"/>
        </w:rPr>
        <w:t>月</w:t>
      </w:r>
    </w:p>
    <w:p w14:paraId="7904C588">
      <w:pPr>
        <w:spacing w:line="360" w:lineRule="auto"/>
        <w:ind w:firstLine="562" w:firstLineChars="200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一、项目概况</w:t>
      </w:r>
    </w:p>
    <w:p w14:paraId="349FDF24">
      <w:pPr>
        <w:spacing w:line="360" w:lineRule="auto"/>
        <w:ind w:firstLine="480" w:firstLineChars="200"/>
        <w:rPr>
          <w:rFonts w:hint="default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本项目对格雷二级电站3宗土地及地上建筑物、生产现场土地及格雷一级电站2宗土地及地上建筑物、生产现场土地开展测绘工作。格雷二级电站土地位于平寨乡布凹村公所格雷村，于1999年11月取得国有土地使用证。</w:t>
      </w:r>
    </w:p>
    <w:p w14:paraId="060D1FD9">
      <w:pPr>
        <w:spacing w:line="360" w:lineRule="auto"/>
        <w:ind w:firstLine="480" w:firstLineChars="200"/>
        <w:rPr>
          <w:rFonts w:hint="default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已有土地使用证和房屋所有权证缺少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4"/>
          <w:lang w:val="en-US" w:eastAsia="zh-CN"/>
        </w:rPr>
        <w:t>界址坐标、控制点信息等电子化数据，不满足不动产权证书更换要求，更换不动产权证书需要补充上述数据。因此，为更换和办理上述土地及地上建筑物不动产登记证书，特开展测绘工作。</w:t>
      </w:r>
    </w:p>
    <w:p w14:paraId="008247C5">
      <w:pPr>
        <w:spacing w:line="360" w:lineRule="auto"/>
        <w:ind w:firstLine="562" w:firstLineChars="200"/>
        <w:rPr>
          <w:rFonts w:hint="default" w:ascii="宋体" w:hAnsi="宋体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b/>
          <w:sz w:val="28"/>
          <w:szCs w:val="28"/>
        </w:rPr>
        <w:t>、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工作内容</w:t>
      </w:r>
    </w:p>
    <w:p w14:paraId="515F4A4A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（1）对格雷二级电站3宗、格雷一级电站2宗土地及地上建筑物、生产现场土地开展测绘工作测绘。测量范围及内容包括：用地面积测绘、房产面积测绘等。</w:t>
      </w:r>
    </w:p>
    <w:p w14:paraId="4A5AE1AF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（2）出具测绘报告书满足办证要求；</w:t>
      </w:r>
    </w:p>
    <w:p w14:paraId="4AC3CE45">
      <w:pPr>
        <w:spacing w:line="360" w:lineRule="auto"/>
        <w:ind w:firstLine="480" w:firstLineChars="200"/>
        <w:rPr>
          <w:rFonts w:hint="default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具体情况见下表：</w:t>
      </w:r>
    </w:p>
    <w:tbl>
      <w:tblPr>
        <w:tblStyle w:val="9"/>
        <w:tblpPr w:leftFromText="180" w:rightFromText="180" w:vertAnchor="text" w:horzAnchor="page" w:tblpX="1827" w:tblpY="307"/>
        <w:tblOverlap w:val="never"/>
        <w:tblW w:w="5303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1773"/>
        <w:gridCol w:w="2216"/>
        <w:gridCol w:w="1141"/>
        <w:gridCol w:w="1905"/>
        <w:gridCol w:w="1156"/>
      </w:tblGrid>
      <w:tr w14:paraId="6D7839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9C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</w:t>
            </w:r>
          </w:p>
        </w:tc>
        <w:tc>
          <w:tcPr>
            <w:tcW w:w="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10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土地</w:t>
            </w:r>
          </w:p>
        </w:tc>
        <w:tc>
          <w:tcPr>
            <w:tcW w:w="12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B5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F1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C8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4E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565B8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D5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33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宗地名称</w:t>
            </w:r>
          </w:p>
        </w:tc>
        <w:tc>
          <w:tcPr>
            <w:tcW w:w="12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FB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土地位置</w:t>
            </w:r>
          </w:p>
        </w:tc>
        <w:tc>
          <w:tcPr>
            <w:tcW w:w="6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A3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土地使用证面积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(m</w:t>
            </w:r>
            <w:r>
              <w:rPr>
                <w:rStyle w:val="16"/>
                <w:rFonts w:eastAsia="宋体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0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72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土地使用证编号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ED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备注</w:t>
            </w:r>
          </w:p>
        </w:tc>
      </w:tr>
      <w:tr w14:paraId="6F8F45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9E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A8E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格雷二级电站厂区、生活区土地</w:t>
            </w:r>
          </w:p>
        </w:tc>
        <w:tc>
          <w:tcPr>
            <w:tcW w:w="12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4C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丘北县平寨乡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7E9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13222.85</w:t>
            </w:r>
          </w:p>
        </w:tc>
        <w:tc>
          <w:tcPr>
            <w:tcW w:w="10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6B2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邱国用（</w:t>
            </w: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）第</w:t>
            </w:r>
            <w:r>
              <w:rPr>
                <w:rFonts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号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36F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</w:tr>
      <w:tr w14:paraId="6F9D6F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75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FC1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格雷二级电站引水渠道土地</w:t>
            </w:r>
          </w:p>
        </w:tc>
        <w:tc>
          <w:tcPr>
            <w:tcW w:w="12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7B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丘北县平寨乡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82A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17607.40</w:t>
            </w:r>
          </w:p>
        </w:tc>
        <w:tc>
          <w:tcPr>
            <w:tcW w:w="10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7B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邱国用（</w:t>
            </w: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）第</w:t>
            </w:r>
            <w:r>
              <w:rPr>
                <w:rFonts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号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4C2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</w:tr>
      <w:tr w14:paraId="645A60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31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A19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格雷二级电站库区</w:t>
            </w:r>
          </w:p>
        </w:tc>
        <w:tc>
          <w:tcPr>
            <w:tcW w:w="12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54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丘北县平寨乡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B14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53333.60</w:t>
            </w:r>
          </w:p>
        </w:tc>
        <w:tc>
          <w:tcPr>
            <w:tcW w:w="10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FC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邱国用（</w:t>
            </w: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）第</w:t>
            </w:r>
            <w:r>
              <w:rPr>
                <w:rFonts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号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E6B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</w:tr>
      <w:tr w14:paraId="69390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7C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3BB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格雷一级宗地</w:t>
            </w:r>
          </w:p>
        </w:tc>
        <w:tc>
          <w:tcPr>
            <w:tcW w:w="12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2D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丘北县平寨乡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14C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6362.00</w:t>
            </w:r>
          </w:p>
        </w:tc>
        <w:tc>
          <w:tcPr>
            <w:tcW w:w="10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52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邱国用（</w:t>
            </w: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）第</w:t>
            </w:r>
            <w:r>
              <w:rPr>
                <w:rFonts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号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EC8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</w:tr>
      <w:tr w14:paraId="0646A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44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1A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格雷一级综合用地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DB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丘北县天星乡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9F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2908.87</w:t>
            </w:r>
          </w:p>
        </w:tc>
        <w:tc>
          <w:tcPr>
            <w:tcW w:w="10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3D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丘国用(2007）第5842号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A08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</w:tr>
    </w:tbl>
    <w:p w14:paraId="17B8C4F1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注：原则上本次测绘面积应与现有土地使用证、房屋所有权证上的证载面积保持一致；建筑的面积可参考建设施工图纸，以本次测绘为准。</w:t>
      </w:r>
    </w:p>
    <w:p w14:paraId="41CA2515">
      <w:pPr>
        <w:spacing w:line="360" w:lineRule="auto"/>
        <w:ind w:firstLine="562" w:firstLineChars="200"/>
        <w:rPr>
          <w:rFonts w:hint="eastAsia" w:asciiTheme="minorEastAsia" w:hAnsiTheme="minorEastAsia"/>
          <w:b/>
          <w:sz w:val="28"/>
          <w:szCs w:val="28"/>
        </w:rPr>
      </w:pPr>
      <w:r>
        <w:rPr>
          <w:rFonts w:hint="eastAsia" w:asciiTheme="minorEastAsia" w:hAnsiTheme="minorEastAsia"/>
          <w:b/>
          <w:sz w:val="28"/>
          <w:szCs w:val="28"/>
          <w:lang w:val="en-US" w:eastAsia="zh-CN"/>
        </w:rPr>
        <w:t>三</w:t>
      </w:r>
      <w:r>
        <w:rPr>
          <w:rFonts w:hint="eastAsia" w:asciiTheme="minorEastAsia" w:hAnsiTheme="minorEastAsia"/>
          <w:b/>
          <w:sz w:val="28"/>
          <w:szCs w:val="28"/>
        </w:rPr>
        <w:t>、</w:t>
      </w:r>
      <w:r>
        <w:rPr>
          <w:rFonts w:hint="eastAsia" w:asciiTheme="minorEastAsia" w:hAnsiTheme="minorEastAsia"/>
          <w:b/>
          <w:sz w:val="28"/>
          <w:szCs w:val="28"/>
          <w:lang w:val="en-US" w:eastAsia="zh-CN"/>
        </w:rPr>
        <w:t>技</w:t>
      </w:r>
      <w:r>
        <w:rPr>
          <w:rFonts w:hint="eastAsia" w:asciiTheme="minorEastAsia" w:hAnsiTheme="minorEastAsia"/>
          <w:b/>
          <w:sz w:val="28"/>
          <w:szCs w:val="28"/>
        </w:rPr>
        <w:t>术规范引用文件要求（包括但不限于）</w:t>
      </w:r>
    </w:p>
    <w:p w14:paraId="54C0CF7C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（1）《中华人民共和国行政区划代码》（GB/T 2260-2007）；</w:t>
      </w:r>
    </w:p>
    <w:p w14:paraId="6FA7000D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（2）《县级以下行政区划代码编制规则》(GB/T 10114-2003)；</w:t>
      </w:r>
    </w:p>
    <w:p w14:paraId="1961EC7C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（3）《基础地理信息要素分类与代码》（GB/T 13923-2006）；</w:t>
      </w:r>
    </w:p>
    <w:p w14:paraId="787C33B6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（4）《土地利用现状分类》（GB/T 21010-2017）；</w:t>
      </w:r>
    </w:p>
    <w:p w14:paraId="7187F20A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（5）《不动产登记数据库标准（试行）》；</w:t>
      </w:r>
    </w:p>
    <w:p w14:paraId="5099FC61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（6）《房产测量规范 第1单元:房产测量规定》（GB/T 17986.1-2000）；</w:t>
      </w:r>
    </w:p>
    <w:p w14:paraId="32103568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（7）《房产测量规范 第2单元:房产图图式》（GB/T 17986.2-2000）；</w:t>
      </w:r>
    </w:p>
    <w:p w14:paraId="2D1DA6A4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（8）《国家基本比例尺地形图分幅与编号》（GB/T 13989-2012）</w:t>
      </w:r>
    </w:p>
    <w:p w14:paraId="1CADF212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（9）《地籍调查规程》（TD/T 1001-2012）；</w:t>
      </w:r>
    </w:p>
    <w:p w14:paraId="5B5864E6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（10）《卫星定位城市测量技术规范》（CJJ/T 73-2010）；</w:t>
      </w:r>
    </w:p>
    <w:p w14:paraId="3E2BDECF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（11）《全球定位系统实时动态测量(RTK)技术规范》（CH/T 2009-2010）；</w:t>
      </w:r>
    </w:p>
    <w:p w14:paraId="39E5D816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（12）《国家基本比例尺地图图式第1部分∶1∶500 1∶1000 1∶2000 地形图图式》（GB/T 20257.1-2017）；</w:t>
      </w:r>
    </w:p>
    <w:p w14:paraId="6322ED3D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（13）《测绘成果质量检查与验收》（GB/T 24356-2009）；</w:t>
      </w:r>
    </w:p>
    <w:p w14:paraId="6D36AB37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（14）《数字测绘成果质量检查与验收》（GB/T 18316-2008）；</w:t>
      </w:r>
    </w:p>
    <w:p w14:paraId="055F9F26">
      <w:pPr>
        <w:spacing w:line="360" w:lineRule="auto"/>
        <w:ind w:firstLine="562" w:firstLineChars="200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四</w:t>
      </w:r>
      <w:r>
        <w:rPr>
          <w:rFonts w:hint="eastAsia" w:ascii="宋体" w:hAnsi="宋体" w:eastAsia="宋体" w:cs="宋体"/>
          <w:b/>
          <w:sz w:val="28"/>
          <w:szCs w:val="28"/>
        </w:rPr>
        <w:t>、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测绘要求</w:t>
      </w:r>
    </w:p>
    <w:p w14:paraId="11698629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bookmarkStart w:id="0" w:name="_Toc323541978"/>
      <w:bookmarkStart w:id="1" w:name="_Toc323646908"/>
      <w:bookmarkStart w:id="2" w:name="_Toc15419"/>
      <w:bookmarkStart w:id="3" w:name="_Toc323629823"/>
      <w:bookmarkStart w:id="4" w:name="_Toc323540623"/>
      <w:bookmarkStart w:id="5" w:name="_Toc13126753"/>
      <w:bookmarkStart w:id="6" w:name="_Toc9677"/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1主要数学基础</w:t>
      </w:r>
      <w:bookmarkEnd w:id="0"/>
      <w:bookmarkEnd w:id="1"/>
      <w:bookmarkEnd w:id="2"/>
      <w:bookmarkEnd w:id="3"/>
      <w:bookmarkEnd w:id="4"/>
      <w:bookmarkEnd w:id="5"/>
      <w:bookmarkEnd w:id="6"/>
      <w:bookmarkStart w:id="7" w:name="_Toc194826506"/>
      <w:bookmarkStart w:id="8" w:name="_Toc194286124"/>
      <w:bookmarkStart w:id="9" w:name="_Toc194890671"/>
      <w:bookmarkStart w:id="10" w:name="_Toc194837099"/>
      <w:bookmarkStart w:id="11" w:name="_Toc199272005"/>
      <w:bookmarkStart w:id="12" w:name="_Toc205875963"/>
      <w:bookmarkStart w:id="13" w:name="_Toc194825573"/>
      <w:bookmarkStart w:id="14" w:name="_Toc201052311"/>
      <w:bookmarkStart w:id="15" w:name="_Toc199272126"/>
      <w:bookmarkStart w:id="16" w:name="_Toc195681259"/>
      <w:bookmarkStart w:id="17" w:name="_Toc194763940"/>
      <w:bookmarkStart w:id="18" w:name="_Toc202150454"/>
      <w:bookmarkStart w:id="19" w:name="_Toc205876365"/>
      <w:bookmarkStart w:id="20" w:name="_Toc194213303"/>
      <w:bookmarkStart w:id="21" w:name="_Toc194258847"/>
      <w:bookmarkStart w:id="22" w:name="_Toc194212456"/>
      <w:bookmarkStart w:id="23" w:name="_Toc194827625"/>
    </w:p>
    <w:p w14:paraId="1E0B45B1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bookmarkStart w:id="24" w:name="_Toc13126755"/>
      <w:bookmarkStart w:id="25" w:name="_Toc323646909"/>
      <w:bookmarkStart w:id="26" w:name="_Toc12664"/>
      <w:bookmarkStart w:id="27" w:name="_Toc323541979"/>
      <w:bookmarkStart w:id="28" w:name="_Toc323540624"/>
      <w:bookmarkStart w:id="29" w:name="_Toc323629824"/>
      <w:bookmarkStart w:id="30" w:name="_Toc29675"/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（1）平面坐标系统</w:t>
      </w:r>
      <w:bookmarkEnd w:id="24"/>
      <w:bookmarkEnd w:id="25"/>
      <w:bookmarkEnd w:id="26"/>
      <w:bookmarkEnd w:id="27"/>
      <w:bookmarkEnd w:id="28"/>
      <w:bookmarkEnd w:id="29"/>
      <w:bookmarkEnd w:id="30"/>
    </w:p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p w14:paraId="648BBE6B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bookmarkStart w:id="31" w:name="_Toc194212458"/>
      <w:bookmarkStart w:id="32" w:name="_Toc194213305"/>
      <w:bookmarkStart w:id="33" w:name="_Toc194837101"/>
      <w:bookmarkStart w:id="34" w:name="_Toc27967"/>
      <w:bookmarkStart w:id="35" w:name="_Toc199272128"/>
      <w:bookmarkStart w:id="36" w:name="_Toc194827627"/>
      <w:bookmarkStart w:id="37" w:name="_Toc323541982"/>
      <w:bookmarkStart w:id="38" w:name="_Toc195681261"/>
      <w:bookmarkStart w:id="39" w:name="_Toc323629827"/>
      <w:bookmarkStart w:id="40" w:name="_Toc323540627"/>
      <w:bookmarkStart w:id="41" w:name="_Toc205876367"/>
      <w:bookmarkStart w:id="42" w:name="_Toc323646912"/>
      <w:bookmarkStart w:id="43" w:name="_Toc194763942"/>
      <w:bookmarkStart w:id="44" w:name="_Toc199272007"/>
      <w:bookmarkStart w:id="45" w:name="_Toc202150456"/>
      <w:bookmarkStart w:id="46" w:name="_Toc17288"/>
      <w:bookmarkStart w:id="47" w:name="_Toc194258849"/>
      <w:bookmarkStart w:id="48" w:name="_Toc194890673"/>
      <w:bookmarkStart w:id="49" w:name="_Toc194825575"/>
      <w:bookmarkStart w:id="50" w:name="_Toc194826508"/>
      <w:bookmarkStart w:id="51" w:name="_Toc194286126"/>
      <w:bookmarkStart w:id="52" w:name="_Toc205875965"/>
      <w:bookmarkStart w:id="53" w:name="_Toc201052313"/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根据自然资源部对不动产登记工作的相关要求，至2018年7月1日起全面使用2000国家大地坐标系统。所有具有空间位置的图形数据必须统一到2000国家大地坐标系或与2000国家大地坐标系有严密转换关系的地方坐标系，高程基准为1985国家高程基准。由于高海拔等原因，丘北县可采用与2000国家大地坐标系有严密转换关系的地方坐标系，满足1:500地籍图测绘需要。汇交数据时提供CGCS2000国家大地坐标系成果，同时提供地方坐标系成果。</w:t>
      </w:r>
    </w:p>
    <w:p w14:paraId="3151338C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bookmarkStart w:id="54" w:name="_Toc13126756"/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（2）高程系统</w:t>
      </w:r>
      <w:bookmarkEnd w:id="54"/>
    </w:p>
    <w:p w14:paraId="7B6E3CF7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采用1985国家高程基准。</w:t>
      </w:r>
    </w:p>
    <w:p w14:paraId="3CA926D7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（3）比例尺</w:t>
      </w:r>
    </w:p>
    <w:p w14:paraId="00B7A3FE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测图比例尺采用1:500，制作宗地图则根据实际情况缩放。</w:t>
      </w:r>
    </w:p>
    <w:p w14:paraId="7F0AFE49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bookmarkStart w:id="55" w:name="_Toc13126757"/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（4）计量单位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5"/>
    </w:p>
    <w:p w14:paraId="7FD1A1D3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1）长度单位采用米（m），保留两位小数；</w:t>
      </w:r>
    </w:p>
    <w:p w14:paraId="0DBCE15C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2）面积单位采用平方米（㎡），保留两位小数；</w:t>
      </w:r>
    </w:p>
    <w:p w14:paraId="0EAEBCC8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3）坐标单位采用米（m），保留3位小数。</w:t>
      </w:r>
    </w:p>
    <w:p w14:paraId="5E7FC2DC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2准备工作</w:t>
      </w:r>
    </w:p>
    <w:p w14:paraId="2E2C8D81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（1）基础资料收集（建设单位提供）</w:t>
      </w:r>
    </w:p>
    <w:p w14:paraId="50A6F8FF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bookmarkStart w:id="56" w:name="_Toc27144609"/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1）规划批准后的设计蓝图和电子图，主要包括建筑专业的平面图、立面图、剖面图等详图；</w:t>
      </w:r>
    </w:p>
    <w:p w14:paraId="7FA0CE70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2）施工图设计文件审查报告及通知单；</w:t>
      </w:r>
    </w:p>
    <w:p w14:paraId="3B0308DC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3）建筑工程规划许可证及其附件、附图；</w:t>
      </w:r>
    </w:p>
    <w:p w14:paraId="0E6689A4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4）国有土地使用证；</w:t>
      </w:r>
    </w:p>
    <w:p w14:paraId="5889C4B2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5）公司资料一套（营业执照正本、副本，授权委托书）；</w:t>
      </w:r>
    </w:p>
    <w:p w14:paraId="213914C8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6）法人身份证明书、法人身份证（或代理人身份证）复印件加盖公司公章；</w:t>
      </w:r>
    </w:p>
    <w:p w14:paraId="7DD4D182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7）项目批建验收其他资料。</w:t>
      </w:r>
    </w:p>
    <w:p w14:paraId="41DFFBB7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（2）政策法规文件</w:t>
      </w:r>
      <w:bookmarkEnd w:id="56"/>
    </w:p>
    <w:p w14:paraId="25EE2BD7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1）国家法律法规、相关文件，地方性法规、条例、规定；</w:t>
      </w:r>
    </w:p>
    <w:p w14:paraId="1874982E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2）国家相关规程、行业标准，地方性法规、标准、细则；</w:t>
      </w:r>
    </w:p>
    <w:p w14:paraId="3D97F4C9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3）其他有权单位制定的法定性相关文件。</w:t>
      </w:r>
    </w:p>
    <w:p w14:paraId="32763286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（3）资料分析研究及规范化处理</w:t>
      </w:r>
    </w:p>
    <w:p w14:paraId="5EFC617F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资料分析主要包括各类收集数据完整性、有效性、现势性、数据类型、规范性、一致性、空间参考等，具体分析内容如下：①完整性：判断数据源的空间覆盖范围、内容是否完整，不完整的列出清单及时补充完善。②有效性：对数据源进行有效性分析，未通过验收或审核的数据，一般只能参考使用。③现势性：确定数据源的现势性，分析其是否符合当前现状实际，与实际不一致的需剔除。④数据类型：确定数据源的存储形式和数据格式，选择数据提取、转换方法。⑤规范性：确定数据源是否符合有关规程规范要求，与相关标准不一致的进行规范化处理。⑥一致性:判断数据源的数据含义、数据类型、数据精度等是否与“房产测量”数据标准一致，不一致的确定换算方法。⑦空间参考:分析各空间数据的坐标系，确定各坐标系之间的转换方法。</w:t>
      </w:r>
    </w:p>
    <w:p w14:paraId="54A474F5">
      <w:pPr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</w:pPr>
      <w:bookmarkStart w:id="57" w:name="_Toc2164"/>
      <w:bookmarkStart w:id="58" w:name="_Toc7137"/>
      <w:bookmarkStart w:id="59" w:name="_Toc27144604"/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3</w:t>
      </w:r>
      <w:r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  <w:t>内业数据处理</w:t>
      </w:r>
      <w:bookmarkEnd w:id="57"/>
      <w:bookmarkEnd w:id="58"/>
      <w:bookmarkEnd w:id="59"/>
    </w:p>
    <w:p w14:paraId="2C96619C">
      <w:pPr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1）</w:t>
      </w:r>
      <w:r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  <w:t>宗地图的绘制</w:t>
      </w:r>
      <w:bookmarkStart w:id="60" w:name="_Toc23718"/>
      <w:bookmarkStart w:id="61" w:name="_Toc27322"/>
      <w:bookmarkStart w:id="62" w:name="_Toc29443"/>
      <w:bookmarkStart w:id="63" w:name="_Toc27940"/>
      <w:bookmarkStart w:id="64" w:name="_Toc31258"/>
      <w:bookmarkStart w:id="65" w:name="_Toc28774"/>
      <w:bookmarkStart w:id="66" w:name="_Toc4118"/>
      <w:bookmarkStart w:id="67" w:name="_Toc18259"/>
      <w:bookmarkStart w:id="68" w:name="_Toc21965"/>
      <w:bookmarkStart w:id="69" w:name="_Toc6990"/>
      <w:bookmarkStart w:id="70" w:name="_Toc4907"/>
      <w:bookmarkStart w:id="71" w:name="_Toc17924"/>
      <w:bookmarkStart w:id="72" w:name="_Toc29919"/>
      <w:bookmarkStart w:id="73" w:name="_Toc14028"/>
      <w:bookmarkStart w:id="74" w:name="_Toc31058"/>
      <w:bookmarkStart w:id="75" w:name="_Toc13036"/>
      <w:bookmarkStart w:id="76" w:name="_Toc10722"/>
      <w:bookmarkStart w:id="77" w:name="_Toc30907"/>
      <w:bookmarkStart w:id="78" w:name="_Toc9382"/>
      <w:bookmarkStart w:id="79" w:name="_Toc13824"/>
      <w:bookmarkStart w:id="80" w:name="_Toc29380"/>
      <w:bookmarkStart w:id="81" w:name="_Toc24741"/>
      <w:bookmarkStart w:id="82" w:name="_Toc1817"/>
      <w:bookmarkStart w:id="83" w:name="_Toc2574"/>
      <w:bookmarkStart w:id="84" w:name="_Toc1038"/>
      <w:bookmarkStart w:id="85" w:name="_Toc28715"/>
      <w:bookmarkStart w:id="86" w:name="_Toc9690"/>
      <w:bookmarkStart w:id="87" w:name="_Toc11526"/>
      <w:bookmarkStart w:id="88" w:name="_Toc16324"/>
      <w:bookmarkStart w:id="89" w:name="_Toc6067"/>
      <w:bookmarkStart w:id="90" w:name="_Toc26355"/>
      <w:bookmarkStart w:id="91" w:name="_Toc1666"/>
      <w:bookmarkStart w:id="92" w:name="_Toc8383"/>
      <w:bookmarkStart w:id="93" w:name="_Toc18424"/>
      <w:bookmarkStart w:id="94" w:name="_Toc23983"/>
      <w:bookmarkStart w:id="95" w:name="_Toc17968"/>
      <w:bookmarkStart w:id="96" w:name="_Toc4183"/>
      <w:bookmarkStart w:id="97" w:name="_Toc18733"/>
      <w:bookmarkStart w:id="98" w:name="_Toc7010"/>
      <w:bookmarkStart w:id="99" w:name="_Toc19250"/>
      <w:bookmarkStart w:id="100" w:name="_Toc28908"/>
      <w:bookmarkStart w:id="101" w:name="_Toc9761"/>
      <w:bookmarkStart w:id="102" w:name="_Toc26893"/>
      <w:bookmarkStart w:id="103" w:name="_Toc4346"/>
      <w:bookmarkStart w:id="104" w:name="_Toc10527"/>
      <w:bookmarkStart w:id="105" w:name="_Toc25361"/>
      <w:bookmarkStart w:id="106" w:name="_Toc21866"/>
      <w:bookmarkStart w:id="107" w:name="_Toc9132"/>
      <w:bookmarkStart w:id="108" w:name="_Toc21365"/>
      <w:bookmarkStart w:id="109" w:name="_Toc2262"/>
      <w:bookmarkStart w:id="110" w:name="_Toc28779"/>
      <w:bookmarkStart w:id="111" w:name="_Toc2549"/>
      <w:bookmarkStart w:id="112" w:name="_Toc10350"/>
      <w:bookmarkStart w:id="113" w:name="_Toc912"/>
      <w:bookmarkStart w:id="114" w:name="_Toc12558"/>
      <w:bookmarkStart w:id="115" w:name="_Toc30993"/>
      <w:bookmarkStart w:id="116" w:name="_Toc21617"/>
      <w:bookmarkStart w:id="117" w:name="_Toc8837"/>
      <w:bookmarkStart w:id="118" w:name="_Toc32066"/>
      <w:bookmarkStart w:id="119" w:name="_Toc18037"/>
      <w:bookmarkStart w:id="120" w:name="_Toc22266"/>
      <w:bookmarkStart w:id="121" w:name="_Toc27520"/>
      <w:bookmarkStart w:id="122" w:name="_Toc30302"/>
      <w:bookmarkStart w:id="123" w:name="_Toc2547"/>
      <w:bookmarkStart w:id="124" w:name="_Toc3288"/>
      <w:bookmarkStart w:id="125" w:name="_Toc4387"/>
      <w:bookmarkStart w:id="126" w:name="_Toc10861"/>
      <w:bookmarkStart w:id="127" w:name="_Toc1868"/>
      <w:bookmarkStart w:id="128" w:name="_Toc25332"/>
      <w:bookmarkStart w:id="129" w:name="_Toc29980"/>
      <w:bookmarkStart w:id="130" w:name="_Toc27679"/>
      <w:bookmarkStart w:id="131" w:name="_Toc3971"/>
      <w:bookmarkStart w:id="132" w:name="_Toc757"/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：</w:t>
      </w:r>
      <w:bookmarkStart w:id="133" w:name="_Toc18300"/>
      <w:r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  <w:t>以地籍图为基础编绘宗地图</w:t>
      </w: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；</w:t>
      </w:r>
      <w:r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  <w:t>比例尺和幅面应根据宗地的大小和形状确定，比例尺分母以50倍数为宜</w:t>
      </w:r>
      <w:bookmarkEnd w:id="60"/>
      <w:bookmarkEnd w:id="61"/>
      <w:bookmarkEnd w:id="133"/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；</w:t>
      </w:r>
      <w:r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  <w:t>宗地图一般选用A4和A3纸张幅面，个别宗地选用A2纸张。</w:t>
      </w:r>
    </w:p>
    <w:p w14:paraId="75624A72">
      <w:pPr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</w:pPr>
      <w:bookmarkStart w:id="134" w:name="_Toc19873"/>
      <w:bookmarkStart w:id="135" w:name="_Toc11620"/>
      <w:bookmarkStart w:id="136" w:name="_Toc5417"/>
      <w:bookmarkStart w:id="137" w:name="_Toc31966"/>
      <w:bookmarkStart w:id="138" w:name="_Toc14142"/>
      <w:bookmarkStart w:id="139" w:name="_Toc10761"/>
      <w:bookmarkStart w:id="140" w:name="_Toc5800"/>
      <w:r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  <w:t>编制方法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4"/>
      <w:bookmarkEnd w:id="135"/>
      <w:bookmarkEnd w:id="136"/>
      <w:bookmarkEnd w:id="137"/>
      <w:bookmarkEnd w:id="138"/>
      <w:bookmarkEnd w:id="139"/>
      <w:bookmarkEnd w:id="140"/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：</w:t>
      </w:r>
      <w:r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  <w:t>各要素的编绘要求</w:t>
      </w: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：</w:t>
      </w:r>
      <w:r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  <w:t>界址点及其编号。界址点用直径1.2mm的黑色圆表示，中心用直径0.1mm的黑色点表示位置；界址点编号以宗地为单位统一进行编号，解析界址点采用“J”标注，图解界址点采用“T”标注，一宗地统一用一个顺序号连贯编排，宗地西北角为1号，顺时针方向按照自然序数进行编排。注记用黑色等线体，字高2.0mm，字头朝上</w:t>
      </w: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：</w:t>
      </w:r>
      <w:r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  <w:t>界址线及边长注记。用红色实线表</w:t>
      </w:r>
      <w:bookmarkStart w:id="141" w:name="_GoBack"/>
      <w:r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  <w:t>示，线宽0.3mm（RGB 255，0，0），将相邻界址点直接进行连线，界址线边长</w:t>
      </w:r>
      <w:bookmarkEnd w:id="141"/>
      <w:r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  <w:t>注记用2.0mm颜色为黑色的等线体在该界址线的中心位置进行标注，字头朝上或朝左，并与该界址线垂直。当界址线较短图上直接注记困难时，可以引注边长</w:t>
      </w: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；</w:t>
      </w:r>
      <w:r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  <w:t>宗地代码与地类代码。在宗地的中心位置用分式的形式进行标注，分子表示权属码和宗地代码，分母表示地类代码。用3.0mm中等线体黑色注记。如图面负荷较重，可以简注，同时在技术总结中说明</w:t>
      </w: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；</w:t>
      </w:r>
      <w:r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  <w:t>宗地范围内的建筑物和构筑物应详细表示，2层以上房屋还须标注结构和层数。一户多房的，依《国家基本比例尺地图图式第1部分1:500 1:1 000 1:2 000 地形图图式》（GB/T 20251-2007）区分主附建筑物</w:t>
      </w: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；</w:t>
      </w:r>
      <w:r>
        <w:rPr>
          <w:rFonts w:hint="default" w:ascii="宋体" w:hAnsi="宋体"/>
          <w:b w:val="0"/>
          <w:bCs w:val="0"/>
          <w:color w:val="000000"/>
          <w:sz w:val="24"/>
          <w:lang w:val="en-US" w:eastAsia="zh-CN"/>
        </w:rPr>
        <w:t>表头部分。</w:t>
      </w:r>
    </w:p>
    <w:p w14:paraId="32B18506">
      <w:pPr>
        <w:spacing w:line="360" w:lineRule="auto"/>
        <w:ind w:firstLine="562" w:firstLineChars="200"/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五、成果提交</w:t>
      </w:r>
      <w:r>
        <w:rPr>
          <w:rFonts w:hint="eastAsia" w:ascii="宋体" w:hAnsi="宋体" w:eastAsia="宋体" w:cs="宋体"/>
          <w:b/>
          <w:sz w:val="28"/>
          <w:szCs w:val="28"/>
          <w:lang w:val="en-GB" w:eastAsia="zh-CN"/>
        </w:rPr>
        <w:t>:</w:t>
      </w:r>
    </w:p>
    <w:p w14:paraId="0F739249">
      <w:pPr>
        <w:tabs>
          <w:tab w:val="left" w:pos="1080"/>
        </w:tabs>
        <w:spacing w:before="120" w:after="120" w:line="440" w:lineRule="exact"/>
        <w:ind w:firstLine="480" w:firstLineChars="200"/>
        <w:rPr>
          <w:rFonts w:hint="eastAsia" w:ascii="宋体" w:hAnsi="宋体"/>
          <w:b w:val="0"/>
          <w:bCs w:val="0"/>
          <w:color w:val="auto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24"/>
          <w:lang w:val="en-US" w:eastAsia="zh-CN"/>
        </w:rPr>
        <w:t>承包商应对测绘成果的准确性负责，提供的成果必须满足测绘范围的土地及地</w:t>
      </w:r>
      <w:r>
        <w:rPr>
          <w:rFonts w:hint="eastAsia" w:ascii="宋体" w:hAnsi="宋体"/>
          <w:b w:val="0"/>
          <w:bCs w:val="0"/>
          <w:color w:val="auto"/>
          <w:sz w:val="24"/>
          <w:lang w:val="en-US" w:eastAsia="zh-CN"/>
        </w:rPr>
        <w:t>上建筑物更换不动产权登记证书的需要，如测绘成果不满足当地不动产登记中心要求，应补充测绘或重新测绘完善成果，直至符合不动产中心和发包方要求。测绘成果包含（但不限于）以下成果资料：</w:t>
      </w:r>
    </w:p>
    <w:p w14:paraId="63895928"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Theme="minorEastAsia" w:hAnsiTheme="minorEastAsia" w:cstheme="minorEastAsia"/>
          <w:b w:val="0"/>
          <w:bCs w:val="0"/>
          <w:color w:val="auto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color w:val="auto"/>
          <w:sz w:val="24"/>
          <w:lang w:val="en-US" w:eastAsia="zh-CN"/>
        </w:rPr>
        <w:t>不动产测量报告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lang w:val="en-US"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lang w:val="en-US" w:eastAsia="zh-CN"/>
        </w:rPr>
        <w:t>份）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4"/>
          <w:lang w:val="en-US" w:eastAsia="zh-CN"/>
        </w:rPr>
        <w:t>，内容应包含构筑物测量图成果、成果表、汇交数据</w:t>
      </w:r>
      <w:r>
        <w:rPr>
          <w:rFonts w:hint="eastAsia" w:ascii="宋体" w:hAnsi="宋体"/>
          <w:b w:val="0"/>
          <w:bCs w:val="0"/>
          <w:color w:val="auto"/>
          <w:sz w:val="24"/>
          <w:lang w:val="en-US" w:eastAsia="zh-CN"/>
        </w:rPr>
        <w:t>成果。</w:t>
      </w:r>
    </w:p>
    <w:p w14:paraId="49F9D265">
      <w:pPr>
        <w:tabs>
          <w:tab w:val="left" w:pos="1080"/>
        </w:tabs>
        <w:spacing w:before="120" w:after="120" w:line="440" w:lineRule="exact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2.</w:t>
      </w:r>
      <w:r>
        <w:rPr>
          <w:rFonts w:hint="eastAsia" w:ascii="宋体" w:hAnsi="宋体"/>
          <w:b w:val="0"/>
          <w:bCs w:val="0"/>
          <w:color w:val="auto"/>
          <w:sz w:val="24"/>
          <w:lang w:val="en-US" w:eastAsia="zh-CN"/>
        </w:rPr>
        <w:t>所有文件均提供电子版（拷贝专用U盘或刻录制成光盘），其中文字采用Word和PDF格式、表格采用 Excel格式、图形采用 AutoCAD或其他通用格式。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幼圆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Arial Narrow">
    <w:altName w:val="Arial"/>
    <w:panose1 w:val="020B0606020202030204"/>
    <w:charset w:val="00"/>
    <w:family w:val="auto"/>
    <w:pitch w:val="default"/>
    <w:sig w:usb0="00000000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294156"/>
    </w:sdtPr>
    <w:sdtContent>
      <w:p w14:paraId="229100C7">
        <w:pPr>
          <w:pStyle w:val="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6</w:t>
        </w:r>
        <w:r>
          <w:rPr>
            <w:lang w:val="zh-CN"/>
          </w:rPr>
          <w:fldChar w:fldCharType="end"/>
        </w:r>
      </w:p>
    </w:sdtContent>
  </w:sdt>
  <w:p w14:paraId="59892BED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9B7283">
    <w:pPr>
      <w:pStyle w:val="7"/>
      <w:jc w:val="center"/>
    </w:pPr>
  </w:p>
  <w:p w14:paraId="5F99BEC5">
    <w:pPr>
      <w:pStyle w:val="7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1C42F0"/>
    <w:multiLevelType w:val="singleLevel"/>
    <w:tmpl w:val="311C42F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49C26DF"/>
    <w:multiLevelType w:val="multilevel"/>
    <w:tmpl w:val="549C26DF"/>
    <w:lvl w:ilvl="0" w:tentative="0">
      <w:start w:val="1"/>
      <w:numFmt w:val="decimal"/>
      <w:pStyle w:val="3"/>
      <w:suff w:val="nothing"/>
      <w:lvlText w:val="%1.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suff w:val="nothing"/>
      <w:lvlText w:val="%1.%2."/>
      <w:lvlJc w:val="left"/>
      <w:pPr>
        <w:ind w:left="567" w:hanging="567"/>
      </w:pPr>
      <w:rPr>
        <w:rFonts w:hint="eastAsia" w:asciiTheme="minorEastAsia" w:hAnsiTheme="minorEastAsia" w:eastAsiaTheme="minorEastAsia"/>
      </w:rPr>
    </w:lvl>
    <w:lvl w:ilvl="2" w:tentative="0">
      <w:start w:val="1"/>
      <w:numFmt w:val="decimal"/>
      <w:suff w:val="nothing"/>
      <w:lvlText w:val="%1.%2.%3."/>
      <w:lvlJc w:val="left"/>
      <w:pPr>
        <w:ind w:left="0" w:firstLine="0"/>
      </w:pPr>
      <w:rPr>
        <w:rFonts w:hint="eastAsia" w:ascii="宋体" w:hAnsi="宋体" w:eastAsia="宋体"/>
      </w:rPr>
    </w:lvl>
    <w:lvl w:ilvl="3" w:tentative="0">
      <w:start w:val="1"/>
      <w:numFmt w:val="decimal"/>
      <w:lvlText w:val="%1.%2.%3.%4."/>
      <w:lvlJc w:val="left"/>
      <w:pPr>
        <w:tabs>
          <w:tab w:val="left" w:pos="1561"/>
        </w:tabs>
        <w:ind w:left="1561" w:hanging="851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zNmI1ODZlMTI4YTFmMTg5MmQ3ZGU5OWZkY2I1OWYifQ=="/>
  </w:docVars>
  <w:rsids>
    <w:rsidRoot w:val="00000000"/>
    <w:rsid w:val="011008DF"/>
    <w:rsid w:val="01DD605A"/>
    <w:rsid w:val="0201354E"/>
    <w:rsid w:val="032007D9"/>
    <w:rsid w:val="03C577D7"/>
    <w:rsid w:val="05453C94"/>
    <w:rsid w:val="0586071E"/>
    <w:rsid w:val="08A90D2D"/>
    <w:rsid w:val="0A9F2A9B"/>
    <w:rsid w:val="0B2E32E2"/>
    <w:rsid w:val="0BB16862"/>
    <w:rsid w:val="0C7E7557"/>
    <w:rsid w:val="0D2941EA"/>
    <w:rsid w:val="0DE0404B"/>
    <w:rsid w:val="0E4312DC"/>
    <w:rsid w:val="0E9B1118"/>
    <w:rsid w:val="0FC442E4"/>
    <w:rsid w:val="105771FD"/>
    <w:rsid w:val="107C456E"/>
    <w:rsid w:val="113D0264"/>
    <w:rsid w:val="12653CC2"/>
    <w:rsid w:val="142F71C0"/>
    <w:rsid w:val="160760F1"/>
    <w:rsid w:val="164A01F6"/>
    <w:rsid w:val="16541115"/>
    <w:rsid w:val="16A06F2B"/>
    <w:rsid w:val="186731E7"/>
    <w:rsid w:val="196565AA"/>
    <w:rsid w:val="1A0E2495"/>
    <w:rsid w:val="1B3F38BC"/>
    <w:rsid w:val="1B4E6277"/>
    <w:rsid w:val="1CA91319"/>
    <w:rsid w:val="1CDC4A71"/>
    <w:rsid w:val="1E2C58E8"/>
    <w:rsid w:val="1F263077"/>
    <w:rsid w:val="1F606C16"/>
    <w:rsid w:val="21EA14F1"/>
    <w:rsid w:val="235558E1"/>
    <w:rsid w:val="246B4C91"/>
    <w:rsid w:val="24AD52A9"/>
    <w:rsid w:val="24D14463"/>
    <w:rsid w:val="25620D52"/>
    <w:rsid w:val="259557AD"/>
    <w:rsid w:val="25B64431"/>
    <w:rsid w:val="26B26E88"/>
    <w:rsid w:val="27201D62"/>
    <w:rsid w:val="272C0707"/>
    <w:rsid w:val="27761F85"/>
    <w:rsid w:val="280E605F"/>
    <w:rsid w:val="288E085F"/>
    <w:rsid w:val="299A4FA5"/>
    <w:rsid w:val="2A274D28"/>
    <w:rsid w:val="2AC41C70"/>
    <w:rsid w:val="2AD91FA9"/>
    <w:rsid w:val="2BE47802"/>
    <w:rsid w:val="2CEE0844"/>
    <w:rsid w:val="2E58520B"/>
    <w:rsid w:val="2F16152E"/>
    <w:rsid w:val="302B3BE0"/>
    <w:rsid w:val="30850E88"/>
    <w:rsid w:val="310E0365"/>
    <w:rsid w:val="312E014F"/>
    <w:rsid w:val="32963820"/>
    <w:rsid w:val="33F33006"/>
    <w:rsid w:val="350902DA"/>
    <w:rsid w:val="353F44F2"/>
    <w:rsid w:val="37DE255E"/>
    <w:rsid w:val="38233460"/>
    <w:rsid w:val="3929719C"/>
    <w:rsid w:val="3C220ACE"/>
    <w:rsid w:val="3C3C5E53"/>
    <w:rsid w:val="3C8822BD"/>
    <w:rsid w:val="3CB064EE"/>
    <w:rsid w:val="3FAF7CCF"/>
    <w:rsid w:val="404D1EF6"/>
    <w:rsid w:val="405759DA"/>
    <w:rsid w:val="40CF4306"/>
    <w:rsid w:val="41AF2209"/>
    <w:rsid w:val="42053F08"/>
    <w:rsid w:val="42462B6D"/>
    <w:rsid w:val="435766B4"/>
    <w:rsid w:val="440268EB"/>
    <w:rsid w:val="446135EB"/>
    <w:rsid w:val="44AD4AEF"/>
    <w:rsid w:val="45633A36"/>
    <w:rsid w:val="46C479C2"/>
    <w:rsid w:val="4867383D"/>
    <w:rsid w:val="496652CD"/>
    <w:rsid w:val="4B3D3B99"/>
    <w:rsid w:val="4BD1631C"/>
    <w:rsid w:val="4BD82F14"/>
    <w:rsid w:val="4C8A459A"/>
    <w:rsid w:val="4CB80C1A"/>
    <w:rsid w:val="4CDA1B92"/>
    <w:rsid w:val="4EBF2862"/>
    <w:rsid w:val="4F912E1A"/>
    <w:rsid w:val="4FF91A96"/>
    <w:rsid w:val="50C15A73"/>
    <w:rsid w:val="50E56402"/>
    <w:rsid w:val="51CF40DF"/>
    <w:rsid w:val="5305022C"/>
    <w:rsid w:val="54E41330"/>
    <w:rsid w:val="556D7E1E"/>
    <w:rsid w:val="570433D4"/>
    <w:rsid w:val="578A30A4"/>
    <w:rsid w:val="57FE71EA"/>
    <w:rsid w:val="58A50D34"/>
    <w:rsid w:val="59782611"/>
    <w:rsid w:val="5A835798"/>
    <w:rsid w:val="5AA122A8"/>
    <w:rsid w:val="5B761E9C"/>
    <w:rsid w:val="5BA031E0"/>
    <w:rsid w:val="5F301153"/>
    <w:rsid w:val="5F767D2F"/>
    <w:rsid w:val="60B47011"/>
    <w:rsid w:val="610F74B2"/>
    <w:rsid w:val="616B4EA1"/>
    <w:rsid w:val="618A4BA6"/>
    <w:rsid w:val="620B6657"/>
    <w:rsid w:val="66854BCD"/>
    <w:rsid w:val="683170EE"/>
    <w:rsid w:val="68C61A62"/>
    <w:rsid w:val="69595508"/>
    <w:rsid w:val="695F5A73"/>
    <w:rsid w:val="69E1052C"/>
    <w:rsid w:val="6A4C4D11"/>
    <w:rsid w:val="6B024E7A"/>
    <w:rsid w:val="6BEE5558"/>
    <w:rsid w:val="6C415185"/>
    <w:rsid w:val="6C69646A"/>
    <w:rsid w:val="6FBE3914"/>
    <w:rsid w:val="71F812A9"/>
    <w:rsid w:val="7316251F"/>
    <w:rsid w:val="73243C7B"/>
    <w:rsid w:val="73CB0268"/>
    <w:rsid w:val="73DE0A84"/>
    <w:rsid w:val="74647A26"/>
    <w:rsid w:val="74884CAB"/>
    <w:rsid w:val="74CD4672"/>
    <w:rsid w:val="75FA64BC"/>
    <w:rsid w:val="77B85277"/>
    <w:rsid w:val="77EA7E39"/>
    <w:rsid w:val="78F33204"/>
    <w:rsid w:val="7979580E"/>
    <w:rsid w:val="7C044781"/>
    <w:rsid w:val="7D2C0A42"/>
    <w:rsid w:val="7D8424F1"/>
    <w:rsid w:val="7E233FCA"/>
    <w:rsid w:val="7E893384"/>
    <w:rsid w:val="7F030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120" w:after="120" w:line="360" w:lineRule="auto"/>
      <w:jc w:val="left"/>
      <w:outlineLvl w:val="0"/>
    </w:pPr>
    <w:rPr>
      <w:rFonts w:ascii="Arial" w:hAnsi="Arial" w:eastAsia="幼圆"/>
      <w:b/>
      <w:bCs/>
      <w:kern w:val="44"/>
      <w:sz w:val="24"/>
      <w:szCs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4"/>
    <w:basedOn w:val="1"/>
    <w:next w:val="1"/>
    <w:qFormat/>
    <w:uiPriority w:val="0"/>
    <w:pPr>
      <w:tabs>
        <w:tab w:val="left" w:pos="2518"/>
      </w:tabs>
      <w:adjustRightInd w:val="0"/>
      <w:spacing w:before="120" w:line="360" w:lineRule="auto"/>
      <w:ind w:left="2518" w:hanging="1078"/>
      <w:textAlignment w:val="baseline"/>
      <w:outlineLvl w:val="3"/>
    </w:pPr>
    <w:rPr>
      <w:rFonts w:ascii="Arial" w:hAnsi="Arial" w:eastAsia="黑体"/>
      <w:kern w:val="0"/>
      <w:sz w:val="28"/>
      <w:szCs w:val="20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jc w:val="left"/>
      <w:outlineLvl w:val="4"/>
    </w:pPr>
    <w:rPr>
      <w:rFonts w:ascii="宋体" w:hAnsi="宋体" w:eastAsia="宋体"/>
      <w:b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1">
    <w:name w:val="font41"/>
    <w:basedOn w:val="10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2">
    <w:name w:val="font31"/>
    <w:basedOn w:val="10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3">
    <w:name w:val="font21"/>
    <w:basedOn w:val="10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  <w:vertAlign w:val="subscript"/>
    </w:rPr>
  </w:style>
  <w:style w:type="character" w:customStyle="1" w:styleId="14">
    <w:name w:val="font11"/>
    <w:basedOn w:val="10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  <w:vertAlign w:val="superscript"/>
    </w:rPr>
  </w:style>
  <w:style w:type="character" w:customStyle="1" w:styleId="15">
    <w:name w:val="font01"/>
    <w:basedOn w:val="10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  <w:vertAlign w:val="subscript"/>
    </w:rPr>
  </w:style>
  <w:style w:type="character" w:customStyle="1" w:styleId="16">
    <w:name w:val="font51"/>
    <w:basedOn w:val="10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  <w:vertAlign w:val="superscript"/>
    </w:rPr>
  </w:style>
  <w:style w:type="paragraph" w:styleId="17">
    <w:name w:val="List Paragraph"/>
    <w:basedOn w:val="1"/>
    <w:qFormat/>
    <w:uiPriority w:val="34"/>
    <w:pPr>
      <w:ind w:firstLine="42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2587</Words>
  <Characters>2949</Characters>
  <Lines>0</Lines>
  <Paragraphs>0</Paragraphs>
  <TotalTime>6</TotalTime>
  <ScaleCrop>false</ScaleCrop>
  <LinksUpToDate>false</LinksUpToDate>
  <CharactersWithSpaces>2983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2021-12-04T12:45:00Z</dcterms:created>
  <dc:creator>Administrator</dc:creator>
  <cp:lastModifiedBy>EDF74F96E2094C88BEACC79EDD074126</cp:lastModifiedBy>
  <dcterms:modified xsi:type="dcterms:W3CDTF">2026-03-25T02:31:34Z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7A6EDF13D7C94B2CB6AF13A9387ED3F8</vt:lpwstr>
  </property>
  <property fmtid="{D5CDD505-2E9C-101B-9397-08002B2CF9AE}" pid="4" name="KSOTemplateDocerSaveRecord">
    <vt:lpwstr>eyJoZGlkIjoiMGU3ZjBhYmVmMmE5ODFlNzg0NGY4NzgwYWM2YmNhZWUiLCJ1c2VySWQiOiI1ODUwODk0NTIifQ==</vt:lpwstr>
  </property>
</Properties>
</file>