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ind w:left="508" w:hanging="510" w:hangingChars="141"/>
        <w:jc w:val="center"/>
        <w:rPr>
          <w:rFonts w:ascii="仿宋_GB2312" w:eastAsia="仿宋_GB2312" w:cs="宋体" w:hAnsiTheme="minorEastAsia"/>
          <w:b/>
          <w:color w:val="auto"/>
          <w:kern w:val="0"/>
          <w:sz w:val="36"/>
          <w:szCs w:val="36"/>
          <w:highlight w:val="none"/>
        </w:rPr>
      </w:pPr>
      <w:r>
        <w:rPr>
          <w:rFonts w:hint="eastAsia" w:ascii="仿宋_GB2312" w:eastAsia="仿宋_GB2312" w:cs="宋体" w:hAnsiTheme="minorEastAsia"/>
          <w:b/>
          <w:color w:val="auto"/>
          <w:kern w:val="0"/>
          <w:sz w:val="36"/>
          <w:szCs w:val="36"/>
          <w:highlight w:val="none"/>
        </w:rPr>
        <w:t>空调设备维保技术规范</w:t>
      </w:r>
    </w:p>
    <w:p>
      <w:pPr>
        <w:adjustRightInd w:val="0"/>
        <w:snapToGrid w:val="0"/>
        <w:jc w:val="center"/>
        <w:rPr>
          <w:rFonts w:ascii="黑体" w:eastAsia="黑体"/>
          <w:color w:val="auto"/>
          <w:sz w:val="32"/>
          <w:szCs w:val="32"/>
          <w:highlight w:val="none"/>
        </w:rPr>
      </w:pPr>
    </w:p>
    <w:p>
      <w:pPr>
        <w:pStyle w:val="4"/>
        <w:keepNext w:val="0"/>
        <w:keepLines w:val="0"/>
        <w:numPr>
          <w:ilvl w:val="0"/>
          <w:numId w:val="2"/>
        </w:numPr>
        <w:autoSpaceDE w:val="0"/>
        <w:autoSpaceDN w:val="0"/>
        <w:adjustRightInd w:val="0"/>
        <w:snapToGrid w:val="0"/>
        <w:spacing w:before="120" w:after="60" w:line="360" w:lineRule="auto"/>
        <w:rPr>
          <w:rFonts w:ascii="仿宋" w:hAnsi="仿宋" w:eastAsia="仿宋" w:cs="仿宋"/>
          <w:bCs w:val="0"/>
          <w:color w:val="auto"/>
          <w:sz w:val="28"/>
          <w:szCs w:val="28"/>
          <w:highlight w:val="none"/>
        </w:rPr>
      </w:pPr>
      <w:bookmarkStart w:id="0" w:name="_Toc196022602"/>
      <w:bookmarkStart w:id="1" w:name="_Toc268459839"/>
      <w:bookmarkStart w:id="2" w:name="_Toc268459750"/>
      <w:bookmarkStart w:id="3" w:name="_Toc268459285"/>
      <w:bookmarkStart w:id="4" w:name="_Toc225259829"/>
      <w:bookmarkStart w:id="5" w:name="_Toc196036828"/>
      <w:bookmarkStart w:id="6" w:name="_Toc268460217"/>
      <w:bookmarkStart w:id="7" w:name="_Toc136770811"/>
      <w:bookmarkStart w:id="8" w:name="_Toc263060291"/>
      <w:bookmarkStart w:id="9" w:name="_Toc196043166"/>
      <w:r>
        <w:rPr>
          <w:rFonts w:hint="eastAsia" w:ascii="仿宋" w:hAnsi="仿宋" w:eastAsia="仿宋" w:cs="仿宋"/>
          <w:bCs w:val="0"/>
          <w:color w:val="auto"/>
          <w:sz w:val="28"/>
          <w:szCs w:val="28"/>
          <w:highlight w:val="none"/>
        </w:rPr>
        <w:t>范围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>
      <w:pPr>
        <w:numPr>
          <w:ilvl w:val="1"/>
          <w:numId w:val="2"/>
        </w:numPr>
        <w:tabs>
          <w:tab w:val="left" w:pos="1140"/>
        </w:tabs>
        <w:spacing w:line="360" w:lineRule="auto"/>
        <w:ind w:left="0" w:firstLine="560" w:firstLineChars="200"/>
        <w:rPr>
          <w:rFonts w:ascii="仿宋" w:hAnsi="仿宋" w:eastAsia="仿宋" w:cs="仿宋"/>
          <w:bCs/>
          <w:color w:val="auto"/>
          <w:sz w:val="28"/>
          <w:szCs w:val="28"/>
          <w:highlight w:val="none"/>
        </w:rPr>
      </w:pPr>
      <w:bookmarkStart w:id="10" w:name="_Toc293512418"/>
      <w:bookmarkStart w:id="11" w:name="_Toc293916980"/>
      <w:bookmarkStart w:id="12" w:name="_Toc293907094"/>
      <w:bookmarkStart w:id="13" w:name="_Toc294016067"/>
      <w:bookmarkStart w:id="14" w:name="_Toc293916803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本规范规定了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  <w:t>南方电网产业发展集团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公司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南网黄埔科技园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空调设备维护、检修、验收等工作应遵循的基本原则和技术规范。</w:t>
      </w:r>
      <w:bookmarkEnd w:id="10"/>
      <w:bookmarkEnd w:id="11"/>
      <w:bookmarkEnd w:id="12"/>
      <w:bookmarkEnd w:id="13"/>
      <w:bookmarkEnd w:id="14"/>
    </w:p>
    <w:p>
      <w:pPr>
        <w:pStyle w:val="4"/>
        <w:keepNext w:val="0"/>
        <w:keepLines w:val="0"/>
        <w:numPr>
          <w:ilvl w:val="0"/>
          <w:numId w:val="2"/>
        </w:numPr>
        <w:autoSpaceDE w:val="0"/>
        <w:autoSpaceDN w:val="0"/>
        <w:adjustRightInd w:val="0"/>
        <w:snapToGrid w:val="0"/>
        <w:spacing w:before="120" w:after="60" w:line="360" w:lineRule="auto"/>
        <w:rPr>
          <w:rFonts w:ascii="仿宋" w:hAnsi="仿宋" w:eastAsia="仿宋" w:cs="仿宋"/>
          <w:bCs w:val="0"/>
          <w:color w:val="auto"/>
          <w:sz w:val="28"/>
          <w:szCs w:val="28"/>
          <w:highlight w:val="none"/>
        </w:rPr>
      </w:pPr>
      <w:bookmarkStart w:id="15" w:name="_Toc196036829"/>
      <w:bookmarkStart w:id="16" w:name="_Toc263060292"/>
      <w:bookmarkStart w:id="17" w:name="_Toc136770812"/>
      <w:bookmarkStart w:id="18" w:name="_Toc225259830"/>
      <w:bookmarkStart w:id="19" w:name="_Toc196043167"/>
      <w:bookmarkStart w:id="20" w:name="_Toc268459751"/>
      <w:bookmarkStart w:id="21" w:name="_Toc268459286"/>
      <w:bookmarkStart w:id="22" w:name="_Toc268459840"/>
      <w:bookmarkStart w:id="23" w:name="_Toc268460218"/>
      <w:bookmarkStart w:id="24" w:name="_Toc196022603"/>
      <w:r>
        <w:rPr>
          <w:rFonts w:hint="eastAsia" w:ascii="仿宋" w:hAnsi="仿宋" w:eastAsia="仿宋" w:cs="仿宋"/>
          <w:bCs w:val="0"/>
          <w:color w:val="auto"/>
          <w:sz w:val="28"/>
          <w:szCs w:val="28"/>
          <w:highlight w:val="none"/>
        </w:rPr>
        <w:t>规范性引用文件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>
      <w:pPr>
        <w:spacing w:line="360" w:lineRule="auto"/>
        <w:ind w:firstLine="490" w:firstLineChars="175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下列文件中的条款通过本标准的引用而成为本标准的条款。凡是注明日期的引用文件，仅注日期的版本适用于本文件。凡未注明日期的引用文件，其最新版本（包括所有的修改单）适用于本文件。</w:t>
      </w:r>
    </w:p>
    <w:p>
      <w:pPr>
        <w:pStyle w:val="4"/>
        <w:keepNext w:val="0"/>
        <w:keepLines w:val="0"/>
        <w:numPr>
          <w:ilvl w:val="0"/>
          <w:numId w:val="2"/>
        </w:numPr>
        <w:autoSpaceDE w:val="0"/>
        <w:autoSpaceDN w:val="0"/>
        <w:adjustRightInd w:val="0"/>
        <w:snapToGrid w:val="0"/>
        <w:spacing w:before="120" w:after="60" w:line="360" w:lineRule="auto"/>
        <w:rPr>
          <w:rFonts w:ascii="仿宋" w:hAnsi="仿宋" w:eastAsia="仿宋" w:cs="仿宋"/>
          <w:bCs w:val="0"/>
          <w:color w:val="auto"/>
          <w:sz w:val="28"/>
          <w:szCs w:val="28"/>
          <w:highlight w:val="none"/>
        </w:rPr>
      </w:pPr>
      <w:bookmarkStart w:id="25" w:name="_Toc263060045"/>
      <w:bookmarkEnd w:id="25"/>
      <w:bookmarkStart w:id="26" w:name="_Toc263060293"/>
      <w:bookmarkEnd w:id="26"/>
      <w:bookmarkStart w:id="27" w:name="_Toc268459841"/>
      <w:bookmarkStart w:id="28" w:name="_Toc136770813"/>
      <w:bookmarkStart w:id="29" w:name="_Toc268459287"/>
      <w:bookmarkStart w:id="30" w:name="_Toc268460219"/>
      <w:bookmarkStart w:id="31" w:name="_Toc268459752"/>
      <w:bookmarkStart w:id="32" w:name="_Toc196036831"/>
      <w:bookmarkStart w:id="33" w:name="_Toc225259831"/>
      <w:bookmarkStart w:id="34" w:name="_Toc263060294"/>
      <w:bookmarkStart w:id="35" w:name="_Toc196043169"/>
      <w:bookmarkStart w:id="36" w:name="_Toc196022605"/>
      <w:r>
        <w:rPr>
          <w:rFonts w:hint="eastAsia" w:ascii="仿宋" w:hAnsi="仿宋" w:eastAsia="仿宋" w:cs="仿宋"/>
          <w:bCs w:val="0"/>
          <w:color w:val="auto"/>
          <w:sz w:val="28"/>
          <w:szCs w:val="28"/>
          <w:highlight w:val="none"/>
        </w:rPr>
        <w:t>术语和缩略语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>
      <w:pPr>
        <w:spacing w:line="360" w:lineRule="auto"/>
        <w:ind w:firstLine="490" w:firstLineChars="175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bookmarkStart w:id="37" w:name="_Toc259701728"/>
      <w:bookmarkEnd w:id="37"/>
      <w:bookmarkStart w:id="38" w:name="_Toc259701973"/>
      <w:bookmarkEnd w:id="38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无</w:t>
      </w:r>
    </w:p>
    <w:p>
      <w:pPr>
        <w:pStyle w:val="4"/>
        <w:keepNext w:val="0"/>
        <w:keepLines w:val="0"/>
        <w:numPr>
          <w:ilvl w:val="0"/>
          <w:numId w:val="2"/>
        </w:numPr>
        <w:autoSpaceDE w:val="0"/>
        <w:autoSpaceDN w:val="0"/>
        <w:adjustRightInd w:val="0"/>
        <w:snapToGrid w:val="0"/>
        <w:spacing w:before="120" w:after="60" w:line="360" w:lineRule="auto"/>
        <w:rPr>
          <w:rFonts w:ascii="仿宋" w:hAnsi="仿宋" w:eastAsia="仿宋" w:cs="仿宋"/>
          <w:bCs w:val="0"/>
          <w:color w:val="auto"/>
          <w:sz w:val="28"/>
          <w:szCs w:val="28"/>
          <w:highlight w:val="none"/>
        </w:rPr>
      </w:pPr>
      <w:bookmarkStart w:id="39" w:name="_Toc136770814"/>
      <w:r>
        <w:rPr>
          <w:rFonts w:hint="eastAsia" w:ascii="仿宋" w:hAnsi="仿宋" w:eastAsia="仿宋" w:cs="仿宋"/>
          <w:bCs w:val="0"/>
          <w:color w:val="auto"/>
          <w:sz w:val="28"/>
          <w:szCs w:val="28"/>
          <w:highlight w:val="none"/>
        </w:rPr>
        <w:t>空调设备维保要求</w:t>
      </w:r>
      <w:bookmarkEnd w:id="39"/>
    </w:p>
    <w:p>
      <w:pPr>
        <w:numPr>
          <w:ilvl w:val="1"/>
          <w:numId w:val="2"/>
        </w:numPr>
        <w:tabs>
          <w:tab w:val="left" w:pos="1140"/>
        </w:tabs>
        <w:spacing w:line="360" w:lineRule="auto"/>
        <w:ind w:left="0" w:firstLine="560" w:firstLineChars="200"/>
        <w:rPr>
          <w:rFonts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空调设备的保养标准</w:t>
      </w:r>
    </w:p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风冷螺杆式</w:t>
      </w:r>
      <w:bookmarkStart w:id="78" w:name="_GoBack"/>
      <w:bookmarkEnd w:id="78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机组、多联机主机的保养</w:t>
      </w:r>
    </w:p>
    <w:tbl>
      <w:tblPr>
        <w:tblStyle w:val="6"/>
        <w:tblW w:w="92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4505"/>
        <w:gridCol w:w="40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712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周期</w:t>
            </w:r>
          </w:p>
        </w:tc>
        <w:tc>
          <w:tcPr>
            <w:tcW w:w="4505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4047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712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每月</w:t>
            </w:r>
          </w:p>
        </w:tc>
        <w:tc>
          <w:tcPr>
            <w:tcW w:w="4505" w:type="dxa"/>
            <w:shd w:val="clear" w:color="auto" w:fill="FFFFFF"/>
          </w:tcPr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记录机组运行参数，发现异常参数及时处理故障。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巡视主机正常运行时噪声及振动情况，对异常噪声及振动情况进行处理。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主机停机时巡视油加热器状态是否处于工作状态。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主机外观巡视，对漏水、漏油情况进行处理。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周围环境卫生巡视，视情况进行清扫。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检查主机油位、液位是否在正常范围。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检查主机启动柜或控制箱散热风扇是否工作。</w:t>
            </w:r>
          </w:p>
        </w:tc>
        <w:tc>
          <w:tcPr>
            <w:tcW w:w="4047" w:type="dxa"/>
            <w:shd w:val="clear" w:color="auto" w:fill="FFFFFF"/>
          </w:tcPr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按实际运行参数记录；发现异常及时处理，保证设备运行正常。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每4小时巡视1次，发现异常及时处理，保证设备运行正常。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每4小时巡视1次，发现异常及时处理，保证油加热器正常工作。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每4小时巡视1次，发现异常及时处理，保证设备运行正常。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每4小时巡视1次，发现异常及时清理。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每4小时巡视1次，发现异常及时处理，保证设备运行正常。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每4小时巡视1次，发现异常及时处理，保证启动柜运行正常。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2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六个月</w:t>
            </w:r>
          </w:p>
        </w:tc>
        <w:tc>
          <w:tcPr>
            <w:tcW w:w="4505" w:type="dxa"/>
            <w:shd w:val="clear" w:color="auto" w:fill="FFFFFF"/>
          </w:tcPr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起动柜及控制箱内的检查及清扫清洁。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起动柜或控制箱内接触器的检查，并视需要进行打磨或更换。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各控制元件继电器，PLC，电源模块，及模拟量输入输出模块的检查，对不满足使用要求的进行更换。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电源线接点检查及紧固。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连接螺栓与地脚螺栓的检查，除锈、紧固、抹油。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机组保温效果检查。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主机油油量、色泽及外观检查，并按要求化验。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制冷系统泄漏检查。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检查冷媒循环的压力及温度及液视镜，视需要添加制冷剂。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温度，压力传感器的校验或更换。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水流开关的检验、调整及更换。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安全阀铅封的检查。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电机对地绝缘阻值检测。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压缩机噪声测试。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加卸载测试。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检查半封闭式冷水机组联轴器，视情况进行紧固。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检查半封闭式、开式冷水机组各运转轴承，视情况更换。</w:t>
            </w:r>
          </w:p>
        </w:tc>
        <w:tc>
          <w:tcPr>
            <w:tcW w:w="4047" w:type="dxa"/>
            <w:shd w:val="clear" w:color="auto" w:fill="FFFFFF"/>
          </w:tcPr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按时检查并保养，线路牢固，无积尘或杂物。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按时检查并保养，接触器动作正常，无异常现象。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输入输出正常，无异常现象。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电源线接线准确牢固，无短路、无松动、无开路现象。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螺栓牢固，无松动现象，表面无锈，油亮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保温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层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无破损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提供油品检测报告，保证油品合格，如不合格按要求更换冷冻机油。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机组运行参数与项目投运时的运行参数接近，无泄漏现象。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机组运行参数与项目投运时的运行参数接近，无泄漏现象。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温度偏差不超过2℃，超过2℃需要校正，超过3℃，需要更换。压力传感器偏差不超过1%，超过需要校正，超过2%，需要更换。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流量达到一定临界点水流开关可以正常动作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铅封无脱落。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电机对地绝缘电阻与项目投运时保持一致。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压缩机噪声与项目投运时的噪声偏差在10分贝以内。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根据设定水温的变化可正常加减载。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联轴器无磨损现象，轴封渗油量1年不超过1个油壶。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噪声在正常范围，噪声与项目投运时的噪声偏差在10分贝以内。主机控制功能正常。</w:t>
            </w:r>
          </w:p>
          <w:p>
            <w:pPr>
              <w:pStyle w:val="9"/>
              <w:rPr>
                <w:rFonts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2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每年</w:t>
            </w:r>
          </w:p>
        </w:tc>
        <w:tc>
          <w:tcPr>
            <w:tcW w:w="4505" w:type="dxa"/>
            <w:shd w:val="clear" w:color="auto" w:fill="FFFFFF"/>
          </w:tcPr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控制程序测试。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手动加载满负荷，记录机组冷媒循环压力，视情况添加制冷剂。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每两年对主机油进行抽测，根据检测结果视情况更换机油对油过滤器检查及更换。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导叶阀或滑阀检查，加卸载平滑顺畅。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机组及附件表面防锈油漆处理。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热交换器铜管内部积垢清洁，清洗后传热温差低于3度。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电气安全性能检查（包括压缩机相间、对地绝缘与线圈内阻等）。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机组外壳保温层的修补。</w:t>
            </w:r>
          </w:p>
          <w:p>
            <w:pPr>
              <w:numPr>
                <w:ilvl w:val="0"/>
                <w:numId w:val="3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压力容器（冷凝器、蒸发器）及其附件（安全阀、压力表）检查。</w:t>
            </w:r>
          </w:p>
        </w:tc>
        <w:tc>
          <w:tcPr>
            <w:tcW w:w="4047" w:type="dxa"/>
            <w:shd w:val="clear" w:color="auto" w:fill="FFFFFF"/>
          </w:tcPr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满负荷运行时，机组运行参数与项目投运时的运行参数接近。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对油品进行分析，提供油品检测报告，油品必须合格，过滤器两侧的油压差在厂家指导值范围内。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正常加减载，加减载过程无异常。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表面无锈迹。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蒸发器小温差低于2.5℃, 按系统EER指标动态保养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相间电阻及对地绝缘电阻与项目投运时的阻值一致。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保温完好。</w:t>
            </w:r>
          </w:p>
          <w:p>
            <w:pPr>
              <w:numPr>
                <w:ilvl w:val="0"/>
                <w:numId w:val="4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外观完好，无泄漏现象，且必须合格，如不合格，需整改。</w:t>
            </w: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离心式冷水机组的保养</w:t>
      </w:r>
    </w:p>
    <w:tbl>
      <w:tblPr>
        <w:tblStyle w:val="6"/>
        <w:tblW w:w="92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4279"/>
        <w:gridCol w:w="4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周期</w:t>
            </w:r>
          </w:p>
        </w:tc>
        <w:tc>
          <w:tcPr>
            <w:tcW w:w="4279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4276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每月</w:t>
            </w:r>
          </w:p>
        </w:tc>
        <w:tc>
          <w:tcPr>
            <w:tcW w:w="4279" w:type="dxa"/>
            <w:shd w:val="clear" w:color="auto" w:fill="FFFFFF"/>
          </w:tcPr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记录冷水机组运行参数，具体见参数记录表，对参数异常进行处理。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巡视主机正常运行时噪声及振动情况，对异常噪声及振动情况进行处理。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主机停机时巡视油加热器状态是否处于工作状态，油温是否高于40度。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主机外观巡视，对漏水漏油情况进行处理。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周围环境卫生巡视，视情况进行清扫。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检查冷水机油位、液位是否在正常范围。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检查冷水机启动柜或控制箱散热风扇是否工作</w:t>
            </w:r>
          </w:p>
        </w:tc>
        <w:tc>
          <w:tcPr>
            <w:tcW w:w="4276" w:type="dxa"/>
            <w:shd w:val="clear" w:color="auto" w:fill="FFFFFF"/>
          </w:tcPr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1.按实际运行参数记录。发现异常及时处理，保证设备运行正常。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2.按实际运行参数记录。发现异常及时处理，保证设备运行正常。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3.按实际运行参数记录。发现异常及时处理，保证油加热器正常工作。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4.按实际运行参数记录。发现异常及时处理，保证设备运行正常。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5.按实际运行参数记录。发现异常及时清理。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6.按实际运行参数记录。发现异常及时处理，保证设备运行正常。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7.按实际运行参数记录。发现异常及时处理，保证启动柜运行正常。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六个月</w:t>
            </w:r>
          </w:p>
        </w:tc>
        <w:tc>
          <w:tcPr>
            <w:tcW w:w="4279" w:type="dxa"/>
            <w:shd w:val="clear" w:color="auto" w:fill="FFFFFF"/>
          </w:tcPr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起动柜及控制箱内的检查及清扫清洁及除锈。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起动柜或控制箱内接触器的检查，并视需要进行打磨或更换。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各控制元件继电器，PLC，电源模块，及模拟量输入输出模块的检查，对不满足使用要求的进行更换。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电源线接点检查及紧固。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连接螺栓与地脚螺栓的检查，除锈与紧固。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机组保温效果检查。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冷冻机油油量、色泽及外观检查，并按要求化验。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制冷系统泄漏检查。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检查冷媒循环的压力及温度及液视镜，视需要添加制冷剂。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温度，压力传感器的校验或更换。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水流开关的检验、调整及更换。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安全阀铅封的检查。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电机对地绝缘阻值检测。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压缩机噪声测试。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加卸载测试。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检查半封闭式离心机组联轴器，视情况进行紧固。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检查电机、压缩机内部轴承，对磨损，噪声增大，窜动的进行更换。</w:t>
            </w:r>
          </w:p>
        </w:tc>
        <w:tc>
          <w:tcPr>
            <w:tcW w:w="4276" w:type="dxa"/>
            <w:shd w:val="clear" w:color="auto" w:fill="FFFFFF"/>
          </w:tcPr>
          <w:p>
            <w:pPr>
              <w:numPr>
                <w:ilvl w:val="0"/>
                <w:numId w:val="6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按时检查并保养，线路牢固，无积尘或杂物。</w:t>
            </w:r>
          </w:p>
          <w:p>
            <w:pPr>
              <w:numPr>
                <w:ilvl w:val="0"/>
                <w:numId w:val="6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按时检查并保养，接触器动作正常，无异常现象。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10.输入输出正常，无异常现象。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11.电源线接线准确牢固，无短路、无松动、无开路现象。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12.螺栓牢固，无松动现象，表面无锈，油亮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13.保温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层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无破损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14.提供油品检测报告，保证油品合格，如不合格按要求更换冷冻机油。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15.机组运行参数与项目投运时的运行参数接近，无泄漏现象。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16.机组运行参数与项目投运时的运行参数接近，无泄漏现象。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17.温度偏差不超过2℃，超过2℃需要校正，超过3℃，需要更换。压力传感器偏差不超过1%，超过需要校正，超过2%，需要更换。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18.流量达到一定临界点水流开关可以正常动作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19.铅封无脱落。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20.电机对地绝缘电阻与项目投运时保持一致。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21.压缩机噪声与项目投运时的噪声偏差在10分贝以内。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22.根据设定水温的变化可正常加减载。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23.联轴器无磨损现象，轴封渗油量1年不超过1个油壶。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24.噪声在正常范围，噪声与项目投运时的噪声偏差在10分贝以内。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</w:t>
            </w:r>
          </w:p>
        </w:tc>
        <w:tc>
          <w:tcPr>
            <w:tcW w:w="4279" w:type="dxa"/>
            <w:shd w:val="clear" w:color="auto" w:fill="FFFFFF"/>
          </w:tcPr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控制程序测试，具体见年检工单。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手动加载满负荷，记录机组冷媒压力，视情况添加制冷剂。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每两年对冷冻机油进行抽测，根据检测结果视情况更换机油，并对油过滤器检查及更换。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调节马达检查，加卸载平滑顺畅。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机组及附件表面防锈油漆处理。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热交换器铜管内部积垢清洁，清洗后传热温差低于3度。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电气安全性能检查（包括压缩机相间、对地绝缘与线圈内阻等）。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机组外壳保温层的修补。</w:t>
            </w:r>
          </w:p>
          <w:p>
            <w:pPr>
              <w:numPr>
                <w:ilvl w:val="0"/>
                <w:numId w:val="5"/>
              </w:num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压力容器（冷凝器、蒸发器）及其附件（安全阀、压力表）检查。</w:t>
            </w:r>
          </w:p>
        </w:tc>
        <w:tc>
          <w:tcPr>
            <w:tcW w:w="4276" w:type="dxa"/>
            <w:shd w:val="clear" w:color="auto" w:fill="FFFFFF"/>
          </w:tcPr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25.主机控制功能正常，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26.满负荷运行时，机组运行参数与项目投运时的运行参数接近，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27.对油品进行分析，提供油品检测报告，油品必须合格，过滤器两侧的油压差在厂家指导值范围内。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28.正常加减载，加减载过程无异常。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29.表面无锈迹。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30.冷凝器小温差低于3.5℃，蒸发器小温差低于2.5℃，按系统EER指标动态保养。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31.相间电阻及对地绝缘电阻与项目投运时的阻值一致。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32.保温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功能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完好。</w:t>
            </w:r>
          </w:p>
          <w:p>
            <w:pPr>
              <w:tabs>
                <w:tab w:val="left" w:pos="502"/>
              </w:tabs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33.外观完好，无泄漏现象，且必须合格，如不合格，需整改。</w:t>
            </w: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冷却塔的保养</w:t>
      </w:r>
    </w:p>
    <w:tbl>
      <w:tblPr>
        <w:tblStyle w:val="6"/>
        <w:tblW w:w="92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4288"/>
        <w:gridCol w:w="42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698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周期</w:t>
            </w:r>
          </w:p>
        </w:tc>
        <w:tc>
          <w:tcPr>
            <w:tcW w:w="4288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4279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8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每月</w:t>
            </w:r>
          </w:p>
        </w:tc>
        <w:tc>
          <w:tcPr>
            <w:tcW w:w="4288" w:type="dxa"/>
            <w:tcBorders>
              <w:bottom w:val="single" w:color="auto" w:sz="4" w:space="0"/>
            </w:tcBorders>
            <w:shd w:val="clear" w:color="auto" w:fill="FFFFFF"/>
          </w:tcPr>
          <w:p>
            <w:pPr>
              <w:numPr>
                <w:ilvl w:val="0"/>
                <w:numId w:val="7"/>
              </w:numPr>
              <w:ind w:left="357" w:hanging="357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控制箱显示状态巡视，控制箱设置在远程位。</w:t>
            </w:r>
          </w:p>
          <w:p>
            <w:pPr>
              <w:numPr>
                <w:ilvl w:val="0"/>
                <w:numId w:val="7"/>
              </w:numPr>
              <w:ind w:left="357" w:hanging="357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补水浮球及手动补水阀的巡视，手动测试补水浮球功能正常。</w:t>
            </w:r>
          </w:p>
          <w:p>
            <w:pPr>
              <w:numPr>
                <w:ilvl w:val="0"/>
                <w:numId w:val="7"/>
              </w:numPr>
              <w:ind w:left="357" w:hanging="357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风机运转振动正常，无异常噪声。</w:t>
            </w:r>
          </w:p>
          <w:p>
            <w:pPr>
              <w:numPr>
                <w:ilvl w:val="0"/>
                <w:numId w:val="7"/>
              </w:numPr>
              <w:ind w:left="357" w:hanging="357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播水系统巡视，管道阀门开启正确，布水均匀。</w:t>
            </w:r>
          </w:p>
          <w:p>
            <w:pPr>
              <w:numPr>
                <w:ilvl w:val="0"/>
                <w:numId w:val="7"/>
              </w:numPr>
              <w:ind w:left="357" w:hanging="357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接水盘巡视，不得出现溢流、漏水情况。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风机皮带松紧度巡视，视情况进行调整或更换。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巡视冷却塔（接水盘、洒水盘与填料）及周围环境，无异物堵塞风路，并视情况进行清洁。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巡视补水箱水位是否正常，水流量及压力是否足够。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检查填料是否有下沉，检查冷却塔周围是否有非正常水迹。</w:t>
            </w:r>
          </w:p>
        </w:tc>
        <w:tc>
          <w:tcPr>
            <w:tcW w:w="4279" w:type="dxa"/>
            <w:tcBorders>
              <w:bottom w:val="single" w:color="auto" w:sz="4" w:space="0"/>
            </w:tcBorders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1.控制箱显示状态正常，控制箱设置在远程位。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2.手动测试补水浮球功能正常。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3.风机运转振动正常，无异常噪声。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4.管道阀门开启正确，布水均匀。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5.无溢流、漏水现象。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6.风机皮带松紧度合理，皮带无打滑或断裂现象。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7.无异物堵塞风路，无漂浮物或其他微生物。</w:t>
            </w:r>
          </w:p>
          <w:p>
            <w:pPr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8.补水箱水位正常，水流量及压力足够。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9.填料无下沉现象，检查冷却塔周围水迹正常。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8" w:type="dxa"/>
            <w:tcBorders>
              <w:bottom w:val="single" w:color="auto" w:sz="4" w:space="0"/>
            </w:tcBorders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六个月</w:t>
            </w:r>
          </w:p>
        </w:tc>
        <w:tc>
          <w:tcPr>
            <w:tcW w:w="4288" w:type="dxa"/>
            <w:tcBorders>
              <w:bottom w:val="single" w:color="auto" w:sz="4" w:space="0"/>
            </w:tcBorders>
            <w:shd w:val="clear" w:color="auto" w:fill="FFFFFF"/>
          </w:tcPr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清洁填料，表面无碳酸钙及黏泥藻类附着。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对松脱填料进行加固。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对补水浮球阀进行检查调整，对不满足使用要求的进行更换。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电机传动系统等转动部位的润滑油进行检查及添加，风机轮毂、皮带箱、叶片固定构件（U形码）、叶片等坚固的检查。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电机绝缘和运行电流的检查和测量。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冷却塔周围环境的清洁。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接水盘及洒水盘、播水头的清洁。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检查接水盘漏水情况，对漏水点进行补漏。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冷却塔外表百叶的检查与修补。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对钢索进行检查，并进行螺栓紧固。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对冷却塔进水量进行检查，调整冷却塔水量平衡。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电机、风机轴承的检查、加油或更换。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风机皮带松紧度检查，视情况进行调整或更换。</w:t>
            </w:r>
          </w:p>
        </w:tc>
        <w:tc>
          <w:tcPr>
            <w:tcW w:w="4279" w:type="dxa"/>
            <w:tcBorders>
              <w:bottom w:val="single" w:color="auto" w:sz="4" w:space="0"/>
            </w:tcBorders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10.填料表面无碳酸钙及黏泥藻类附着。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11.填料牢固无松脱。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12.补水浮球阀动作正常。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13.电机运行正常，无异常震动及噪声。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14.电机绝缘和运行电流与项目投运时的值接近。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15.冷却塔周围环境整洁。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16.接水盘及洒水盘、播水头干净无附着物。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17.接水盘无漏水现象。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18.冷却塔外表百叶完好无损。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19.钢索及螺栓牢固。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20.冷却塔进水量合理，冷却塔水量平衡。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21.冷却塔电机及风机无异常震动及噪声。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22.风机皮带松紧度合理，皮带无打滑或断裂现象。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8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</w:t>
            </w:r>
          </w:p>
        </w:tc>
        <w:tc>
          <w:tcPr>
            <w:tcW w:w="4288" w:type="dxa"/>
            <w:tcBorders>
              <w:top w:val="nil"/>
            </w:tcBorders>
            <w:shd w:val="clear" w:color="auto" w:fill="FFFFFF"/>
          </w:tcPr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同半年检查保养全部内容。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对外表框架、爬梯进行检查，并做好加固和防锈处理。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对塔体结构进行检查，并做好加固和防锈处理。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对水管及水箱进行检查，并做好防锈及油漆工作，对锈蚀严重，漏水严重的不合格管段局部更换。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接水盘补漏。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检查扇叶有无歪斜及裂纹，对不满足使用要求的扇叶进行更换。</w:t>
            </w:r>
          </w:p>
          <w:p>
            <w:pPr>
              <w:numPr>
                <w:ilvl w:val="0"/>
                <w:numId w:val="7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对电机、风机轴承进行检查，对存在异响或不满足使用要求的轴承进行更换。</w:t>
            </w:r>
          </w:p>
        </w:tc>
        <w:tc>
          <w:tcPr>
            <w:tcW w:w="4279" w:type="dxa"/>
            <w:tcBorders>
              <w:top w:val="nil"/>
            </w:tcBorders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23.与半年检保养标准一致。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24.外表框架及爬梯牢固无锈迹。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25.塔体结构牢固无锈迹。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26.水管及水箱无漏水现象，无锈迹，防腐防锈层完好。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27.接水盘无漏水现象。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28.扇叶无歪斜或裂纹。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29.无异常震动或异响。</w:t>
            </w: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水泵的保养</w:t>
      </w:r>
    </w:p>
    <w:tbl>
      <w:tblPr>
        <w:tblStyle w:val="6"/>
        <w:tblW w:w="92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4280"/>
        <w:gridCol w:w="42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周期</w:t>
            </w:r>
          </w:p>
        </w:tc>
        <w:tc>
          <w:tcPr>
            <w:tcW w:w="4280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4279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每日</w:t>
            </w:r>
          </w:p>
        </w:tc>
        <w:tc>
          <w:tcPr>
            <w:tcW w:w="4280" w:type="dxa"/>
            <w:shd w:val="clear" w:color="auto" w:fill="FFFFFF"/>
          </w:tcPr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水泵控制箱及变频器状态显示的巡视，需设置在自动状态。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水泵运行无异常噪声及振动，运行在正常压力范围内。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巡视电机温升情况。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巡视水泵有无漏水，漏油。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巡视水泵及周围环境，并视情况进行清洁。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巡视联轴器下方是否有缓冲胶碎片粉末及铁削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变频控制柜的显示信号巡视。</w:t>
            </w:r>
          </w:p>
        </w:tc>
        <w:tc>
          <w:tcPr>
            <w:tcW w:w="4279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1.水泵控制箱及变频器状态显示正常，设置在自动状态。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2.水泵运行无异常噪声及振动，运行压力与项目投运时的压力接近。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3.电机温升项目投运时的温升接近。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4.水泵无漏水，漏油现象。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5.水泵及周围环境整洁。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6.联轴器下方无缓冲胶碎片粉末及铁削，如有需检查维修。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7.变频控制柜的显示信号正常。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六个月</w:t>
            </w:r>
          </w:p>
        </w:tc>
        <w:tc>
          <w:tcPr>
            <w:tcW w:w="4280" w:type="dxa"/>
            <w:shd w:val="clear" w:color="auto" w:fill="FFFFFF"/>
          </w:tcPr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轴承润滑情况的检查，视情况添加润滑油。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检查并紧固地脚螺栓。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检查机械密封，对不满足使用的机械密封进行更换。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检查与调整联轴器的同轴度与轴向间隙。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检查电机绝缘性能及三相运行电流，并对不符合绝缘要求的电机进行处理。</w:t>
            </w:r>
          </w:p>
        </w:tc>
        <w:tc>
          <w:tcPr>
            <w:tcW w:w="4279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8.轴承润滑油油品良好。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9.地脚螺栓牢固无松动。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10.机械密封无漏水现象。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11.联轴器的同轴度与轴向间隙合理，水泵无异常震动及噪声。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12.电机绝缘及三相运行电流与项目投运时的值接近。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</w:t>
            </w:r>
          </w:p>
        </w:tc>
        <w:tc>
          <w:tcPr>
            <w:tcW w:w="4280" w:type="dxa"/>
            <w:shd w:val="clear" w:color="auto" w:fill="FFFFFF"/>
          </w:tcPr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检查密封，对有损坏的进行更换。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表面防锈、补漆处理。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检查并视情况调整或更换叶轮密封环，轴套，压盖，轴封等部件。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检查更换润滑油脂（对非含油密封）。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检查并视情况更换轴承、减震器。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检查水泵联轴器，磨损严重的需要更换。</w:t>
            </w:r>
          </w:p>
          <w:p>
            <w:pPr>
              <w:numPr>
                <w:ilvl w:val="0"/>
                <w:numId w:val="8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检查水泵联轴器橡胶减震块或胶圈，根据磨损情况更换。</w:t>
            </w:r>
          </w:p>
        </w:tc>
        <w:tc>
          <w:tcPr>
            <w:tcW w:w="4279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13.机械密封良好，无漏水现象。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14.表面无锈、防腐防锈层完好。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15.无漏水现象，无异常震动及异常噪声。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16.更换润滑油脂，无异常震动及噪声。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17.无漏水现象，无异常震动及异常噪声。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18.联轴器下方无缓冲胶碎片粉末及铁屑。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19.联轴器下方无缓冲胶碎片粉末及铁屑。</w:t>
            </w: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新风机、空调处理机组的保养</w:t>
      </w:r>
    </w:p>
    <w:tbl>
      <w:tblPr>
        <w:tblStyle w:val="6"/>
        <w:tblW w:w="92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4273"/>
        <w:gridCol w:w="4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周期</w:t>
            </w:r>
          </w:p>
        </w:tc>
        <w:tc>
          <w:tcPr>
            <w:tcW w:w="4273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4271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每季</w:t>
            </w:r>
          </w:p>
        </w:tc>
        <w:tc>
          <w:tcPr>
            <w:tcW w:w="4273" w:type="dxa"/>
            <w:shd w:val="clear" w:color="auto" w:fill="FFFFFF"/>
          </w:tcPr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风机运行情况有无异常振动与噪声。</w:t>
            </w:r>
          </w:p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巡视风机进出风软接头及其紧固部件。</w:t>
            </w:r>
          </w:p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巡视风机吊架，支架及减震器固定螺栓情况。</w:t>
            </w:r>
          </w:p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巡视设备及周围环境，并视情况进行清洁。</w:t>
            </w:r>
          </w:p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清洗过滤网；</w:t>
            </w:r>
          </w:p>
        </w:tc>
        <w:tc>
          <w:tcPr>
            <w:tcW w:w="4271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1.风机无异常振动与噪声。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2.风机进出风软接头无开裂现象，紧固件无松动。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3.风机吊架，支架及减震器固定螺栓牢固无松动。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4.设备及周围环境整洁。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5.过滤网无积尘，无脏堵现象。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</w:t>
            </w:r>
          </w:p>
        </w:tc>
        <w:tc>
          <w:tcPr>
            <w:tcW w:w="4273" w:type="dxa"/>
            <w:shd w:val="clear" w:color="auto" w:fill="FFFFFF"/>
          </w:tcPr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检查紧固地脚螺丝或吊杆螺丝，对不满足使用要求的进行更换。</w:t>
            </w:r>
          </w:p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检查风机外壳有无变形破损。</w:t>
            </w:r>
          </w:p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检查并视情况调整或更换减振器（15KW以上风机）。</w:t>
            </w:r>
          </w:p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电气安全性能检查（包括电机绝缘与运行电流的检测）。</w:t>
            </w:r>
          </w:p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检查风机轴承润滑与磨损情况，视需要更换润滑油脂或轴承。</w:t>
            </w:r>
          </w:p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根据风机运行电流分析风机运行情况，如有电流超过额定电流或偏小的需要查明原因。</w:t>
            </w:r>
          </w:p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机壳的检查，框架锈蚀严重、变形，失去支撑能力，需要更换。</w:t>
            </w:r>
          </w:p>
          <w:p>
            <w:pPr>
              <w:numPr>
                <w:ilvl w:val="0"/>
                <w:numId w:val="9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检查风机叶轮、轮毂及紧固螺栓。</w:t>
            </w:r>
          </w:p>
        </w:tc>
        <w:tc>
          <w:tcPr>
            <w:tcW w:w="4271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6.地脚螺丝或吊杆螺丝牢固无松动；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7.风机外壳无变形或破损。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8.减振器减震效果良好（15KW以上风机）。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9.电气安全性能达到厂家或行业标准。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10.风机无异常震动及噪声。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11.风机运行电流不超过额定电流，不存在过小现象。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12.机壳完好，防腐防锈层完好。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13.螺栓牢固无松动，风机运行时无异常震动及噪声。</w:t>
            </w: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风机盘管、分体空调的保养</w:t>
      </w:r>
    </w:p>
    <w:tbl>
      <w:tblPr>
        <w:tblStyle w:val="6"/>
        <w:tblW w:w="92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4274"/>
        <w:gridCol w:w="42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周期</w:t>
            </w:r>
          </w:p>
        </w:tc>
        <w:tc>
          <w:tcPr>
            <w:tcW w:w="4274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4264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季度</w:t>
            </w:r>
          </w:p>
        </w:tc>
        <w:tc>
          <w:tcPr>
            <w:tcW w:w="4274" w:type="dxa"/>
            <w:shd w:val="clear" w:color="auto" w:fill="FFFFFF"/>
          </w:tcPr>
          <w:p>
            <w:pPr>
              <w:numPr>
                <w:ilvl w:val="0"/>
                <w:numId w:val="10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清洗过滤网，清洁风口及面板</w:t>
            </w:r>
          </w:p>
        </w:tc>
        <w:tc>
          <w:tcPr>
            <w:tcW w:w="4264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shd w:val="clear" w:color="auto" w:fill="FFFFFF"/>
              </w:rPr>
              <w:t>1.过滤网无积尘现象，风口及面板无积尘，无油污。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</w:t>
            </w:r>
          </w:p>
        </w:tc>
        <w:tc>
          <w:tcPr>
            <w:tcW w:w="4274" w:type="dxa"/>
            <w:shd w:val="clear" w:color="auto" w:fill="FFFFFF"/>
          </w:tcPr>
          <w:p>
            <w:pPr>
              <w:numPr>
                <w:ilvl w:val="0"/>
                <w:numId w:val="10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风机轴承运行情况检查，对噪声大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的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轴承进行更换。</w:t>
            </w:r>
          </w:p>
          <w:p>
            <w:pPr>
              <w:numPr>
                <w:ilvl w:val="0"/>
                <w:numId w:val="10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对风轮上的积尘进行铲除，对变形的叶片进行校正或更换。</w:t>
            </w:r>
          </w:p>
          <w:p>
            <w:pPr>
              <w:numPr>
                <w:ilvl w:val="0"/>
                <w:numId w:val="10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电气安全性能检查（包括电机绝缘与运行电流的检测）。</w:t>
            </w:r>
          </w:p>
          <w:p>
            <w:pPr>
              <w:numPr>
                <w:ilvl w:val="0"/>
                <w:numId w:val="10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接水盘检查清洗，检查排水是否顺畅，对失效保温进行更换。</w:t>
            </w:r>
          </w:p>
          <w:p>
            <w:pPr>
              <w:numPr>
                <w:ilvl w:val="0"/>
                <w:numId w:val="10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换热器表面清洁。</w:t>
            </w:r>
          </w:p>
          <w:p>
            <w:pPr>
              <w:numPr>
                <w:ilvl w:val="0"/>
                <w:numId w:val="10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机体及支吊架防锈补漆处理。</w:t>
            </w:r>
          </w:p>
          <w:p>
            <w:pPr>
              <w:numPr>
                <w:ilvl w:val="0"/>
                <w:numId w:val="10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视换热器集尘情况，如集尘表面可看到较明显积尘，则需要清洗换热器。</w:t>
            </w:r>
          </w:p>
        </w:tc>
        <w:tc>
          <w:tcPr>
            <w:tcW w:w="4264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2.风机盘管风机轴承无异常振动及噪声。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3.风轮无积尘，叶片完好无变形现象。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4.电气安全性能符合厂家标准或行业标准。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5.接水盘无异物，排水顺畅，无漏水现象。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6.换热器无异物。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7.机体及支吊架防腐防锈层完好，无锈迹。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shd w:val="clear" w:color="auto" w:fill="FFFFFF"/>
              </w:rPr>
              <w:t>8.换热器无积尘，干净。</w:t>
            </w: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水处理</w:t>
      </w:r>
    </w:p>
    <w:tbl>
      <w:tblPr>
        <w:tblStyle w:val="6"/>
        <w:tblW w:w="92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4271"/>
        <w:gridCol w:w="4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周期</w:t>
            </w:r>
          </w:p>
        </w:tc>
        <w:tc>
          <w:tcPr>
            <w:tcW w:w="4271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4266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726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每月</w:t>
            </w:r>
          </w:p>
        </w:tc>
        <w:tc>
          <w:tcPr>
            <w:tcW w:w="4271" w:type="dxa"/>
            <w:shd w:val="clear" w:color="auto" w:fill="FFFFFF"/>
          </w:tcPr>
          <w:p>
            <w:pPr>
              <w:numPr>
                <w:ilvl w:val="0"/>
                <w:numId w:val="11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水质取样、化验与分析。</w:t>
            </w:r>
          </w:p>
          <w:p>
            <w:pPr>
              <w:numPr>
                <w:ilvl w:val="0"/>
                <w:numId w:val="11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冷冻冷却水加药，杀菌防腐处理。</w:t>
            </w:r>
          </w:p>
          <w:p>
            <w:pPr>
              <w:numPr>
                <w:ilvl w:val="0"/>
                <w:numId w:val="11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冷却塔排污、清洗。</w:t>
            </w:r>
          </w:p>
          <w:p>
            <w:pPr>
              <w:numPr>
                <w:ilvl w:val="0"/>
                <w:numId w:val="11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表冷器集水盘加药杀菌处理。</w:t>
            </w:r>
          </w:p>
          <w:p>
            <w:pPr>
              <w:numPr>
                <w:ilvl w:val="0"/>
                <w:numId w:val="11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清除水管Y型过滤器中的杂物。</w:t>
            </w:r>
          </w:p>
        </w:tc>
        <w:tc>
          <w:tcPr>
            <w:tcW w:w="4266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1.按时提交水质检测分析及报告，水质良好，水质符合行业标准。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2.按时足量投药。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3.冷却塔无污物，无漂浮物，无微生物。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4.每周按时足量投药。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5.水管Y型过滤器无杂物，两侧无压差。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</w:t>
            </w:r>
          </w:p>
        </w:tc>
        <w:tc>
          <w:tcPr>
            <w:tcW w:w="4271" w:type="dxa"/>
            <w:shd w:val="clear" w:color="auto" w:fill="FFFFFF"/>
          </w:tcPr>
          <w:p>
            <w:pPr>
              <w:numPr>
                <w:ilvl w:val="0"/>
                <w:numId w:val="11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管道清洗剂预膜或湿保处理。</w:t>
            </w:r>
          </w:p>
          <w:p>
            <w:pPr>
              <w:numPr>
                <w:ilvl w:val="0"/>
                <w:numId w:val="11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对水系统进行加药杀菌。</w:t>
            </w:r>
          </w:p>
          <w:p>
            <w:pPr>
              <w:numPr>
                <w:ilvl w:val="0"/>
                <w:numId w:val="11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系统换水</w:t>
            </w:r>
          </w:p>
        </w:tc>
        <w:tc>
          <w:tcPr>
            <w:tcW w:w="4266" w:type="dxa"/>
            <w:shd w:val="clear" w:color="auto" w:fill="FFFFFF"/>
          </w:tcPr>
          <w:p>
            <w:pPr>
              <w:numPr>
                <w:ilvl w:val="0"/>
                <w:numId w:val="12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冷凝器小温差小于3.5℃，蒸发器小温差小于3.5℃。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7.符合行业标准。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8.水质良好，水质符合行业标准。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宋体" w:hAnsi="宋体" w:cs="宋体"/>
          <w:color w:val="auto"/>
          <w:sz w:val="24"/>
          <w:highlight w:val="none"/>
        </w:rPr>
      </w:pPr>
      <w:bookmarkStart w:id="40" w:name="_Toc417554054"/>
      <w:bookmarkStart w:id="41" w:name="_Toc400632315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管道及附件</w:t>
      </w:r>
      <w:bookmarkEnd w:id="40"/>
      <w:bookmarkEnd w:id="41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的保养</w:t>
      </w:r>
    </w:p>
    <w:tbl>
      <w:tblPr>
        <w:tblStyle w:val="6"/>
        <w:tblW w:w="92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3"/>
        <w:gridCol w:w="4280"/>
        <w:gridCol w:w="4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713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周期</w:t>
            </w:r>
          </w:p>
        </w:tc>
        <w:tc>
          <w:tcPr>
            <w:tcW w:w="4280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4271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每日（除特殊列明外，区间管道为每月）</w:t>
            </w:r>
          </w:p>
        </w:tc>
        <w:tc>
          <w:tcPr>
            <w:tcW w:w="4280" w:type="dxa"/>
            <w:shd w:val="clear" w:color="auto" w:fill="FFFFFF"/>
          </w:tcPr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巡视管路及阀门是否泄漏、管路上仪器仪表巡视。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管路保温是否严密，视需要进行局部修补或更换保温棉。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管路、阀门、风口及支吊架是否有异常振动或松动，视需要进行相应处理。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阀门开度与操作器及执行器指示的巡视，视情况修理、更换操作器、执行器。（环控电控室巡视阀门状态是否正常）。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风道、风管、风口、散流器表面及周围环境，并视情况进行清洁。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巡视外部表面锈蚀情况，视需要进行防锈、补漆。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风机、管线、管路支架等是否有异常振动。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检查风管、回风口、轨顶风管插板阀是否有开裂、松脱、变形等（金属风管周期为每季）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检查支架、紧固螺丝是否生锈、松脱现象（金属风管周期为每季）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风管与支架压片固定是否有错位、不牢固情况。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巡视旁流水处理器水质，如果较浑浊，则需要清洗，排出的废渣进行清理。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电气安全性能检查，包括电机相间、对地绝缘检查，控制柜内各接线检查与紧固（旁流装置每季）。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水流开关的检验、调整及更换（旁流装置每季）。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刮片传动轴及密封检查，视情况更换（旁流装置每季）。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开机后通过手动设定系统运行参数，检查微处理器执行情况（旁流装置每季）。</w:t>
            </w:r>
          </w:p>
          <w:p>
            <w:pPr>
              <w:numPr>
                <w:ilvl w:val="0"/>
                <w:numId w:val="13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电气部分：清洁、紧固配电箱内各接线；检查箱内漏电开关、镇流器，视情况进行更换。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  <w:tc>
          <w:tcPr>
            <w:tcW w:w="4271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1.管路及阀门无泄漏、管路上仪器仪表显示正常。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2.管路保温严密。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3.管路、阀门、风口及支吊架无异常振动或松动。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4.阀门开度与操作器及执行器指示正常。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5.风道、风管、风口、散流器表面及周围环境整洁。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6.外部表面防腐防锈层完好，无锈迹。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7.风机、管线、管路支架无异常振动。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8.风管、回风口、轨顶风管插板阀无开裂、松脱、变形等现象。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9.支架、紧固螺丝无生锈、松脱现象；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10.风管与支架压片固定无错位、不牢固现象。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11.旁流水处理器水质良好。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12.电气安全性能与厂家或行业标准相符。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13.水流开关动作正常。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14.刮片传动轴转动顺畅，密封良好，阀门可关死。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15.微处理器执行正常。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16.接线牢固，无松动，无开路，无短路现象，电子元器件牢固，无积尘。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</w:t>
            </w:r>
          </w:p>
        </w:tc>
        <w:tc>
          <w:tcPr>
            <w:tcW w:w="4280" w:type="dxa"/>
            <w:shd w:val="clear" w:color="auto" w:fill="FFFFFF"/>
          </w:tcPr>
          <w:p>
            <w:pPr>
              <w:numPr>
                <w:ilvl w:val="0"/>
                <w:numId w:val="14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视需要对管路水箱进行补漏或加固。</w:t>
            </w:r>
          </w:p>
          <w:p>
            <w:pPr>
              <w:numPr>
                <w:ilvl w:val="0"/>
                <w:numId w:val="14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外表防锈处理。</w:t>
            </w:r>
          </w:p>
          <w:p>
            <w:pPr>
              <w:numPr>
                <w:ilvl w:val="0"/>
                <w:numId w:val="14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更换变形、损坏的Y型过滤器过滤网。</w:t>
            </w:r>
          </w:p>
          <w:p>
            <w:pPr>
              <w:numPr>
                <w:ilvl w:val="0"/>
                <w:numId w:val="14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清理阀门（含水阀、风阀、组合风阀）各活动件的污垢，涂适量润滑脂润滑防锈，并作松紧度调整。</w:t>
            </w:r>
          </w:p>
          <w:p>
            <w:pPr>
              <w:numPr>
                <w:ilvl w:val="0"/>
                <w:numId w:val="14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检查阀体或密封件，视情况更换。</w:t>
            </w:r>
          </w:p>
          <w:p>
            <w:pPr>
              <w:numPr>
                <w:ilvl w:val="0"/>
                <w:numId w:val="14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防火阀易熔片的检查及动作测试，视需要进行更换。</w:t>
            </w:r>
          </w:p>
          <w:p>
            <w:pPr>
              <w:numPr>
                <w:ilvl w:val="0"/>
                <w:numId w:val="14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执行器内部控制电路检查。（包括各风机联动风阀执行器）</w:t>
            </w:r>
          </w:p>
          <w:p>
            <w:pPr>
              <w:numPr>
                <w:ilvl w:val="0"/>
                <w:numId w:val="14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检查管路、阀门、风口及支吊架是否有异常振动或松动并加固。</w:t>
            </w:r>
          </w:p>
          <w:p>
            <w:pPr>
              <w:numPr>
                <w:ilvl w:val="0"/>
                <w:numId w:val="14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检查水管伸缩节拉伸情况。并检查其支架是否变型，移位，对变形情况进行处理。</w:t>
            </w:r>
          </w:p>
          <w:p>
            <w:pPr>
              <w:numPr>
                <w:ilvl w:val="0"/>
                <w:numId w:val="14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对风系统管路（主要指风管内部）进行清洁（每二年）。</w:t>
            </w:r>
          </w:p>
          <w:p>
            <w:pPr>
              <w:numPr>
                <w:ilvl w:val="0"/>
                <w:numId w:val="14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检查风管、回风口、轨顶风管插板阀是否有开裂、松脱、变形等、并对其进行加固；</w:t>
            </w:r>
          </w:p>
          <w:p>
            <w:pPr>
              <w:numPr>
                <w:ilvl w:val="0"/>
                <w:numId w:val="14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检查风管百叶是否出现螺栓松脱、百叶脱落、框架变形开裂，并对其进行加固或更换。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  <w:tc>
          <w:tcPr>
            <w:tcW w:w="4271" w:type="dxa"/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1.管路水箱牢固，无漏水现象。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2.外表防腐防锈层完好，无锈迹。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3.Y型过滤器过滤网完好无变形。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4.阀门（含水阀、风阀、组合风阀）各活动件无污垢，转动顺畅，活动组件表面抹油。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5.阀体或密封件良好。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6.防火阀易熔片动作正常。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7.执行器内部控制电路牢固，无积尘。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8.管路、阀门、风口及支吊架无异常振动或松动。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9.水管伸缩节拉伸无异常。支架无变形，移位。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10.风系统管路整洁清洁。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11.风管、回风口、轨顶风管插板阀无开裂、松脱、变形等现象。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12.风管百叶螺栓无松脱、百叶无脱落、框架无变形开裂等现象。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bookmarkStart w:id="42" w:name="_Toc400632318"/>
      <w:bookmarkStart w:id="43" w:name="_Toc417554057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补水系统、水处理装置（真空排气定压机组等）</w:t>
      </w:r>
      <w:bookmarkEnd w:id="42"/>
      <w:bookmarkEnd w:id="43"/>
    </w:p>
    <w:tbl>
      <w:tblPr>
        <w:tblStyle w:val="6"/>
        <w:tblW w:w="92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4271"/>
        <w:gridCol w:w="4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周期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4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每月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设备电源状态巡视，控制箱及设备电源是否正常。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控制箱显示状态巡视，控制箱设置在自动位，控制箱故障显示灯是否报故障。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检查常压罐罐体外观是否变形。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检查连接管道和附件是否松动、漏水。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检查阀门开关是否正常完好，阀门处是否有生锈。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检查压力表显示是否正常，检验标签是否在检验周期内。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检查水泵运行是否正常，是否有异响。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检查真空排气罐压力值是否正常。</w:t>
            </w:r>
          </w:p>
        </w:tc>
        <w:tc>
          <w:tcPr>
            <w:tcW w:w="4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1.设备电源状态正常，控制箱及设备电源正常。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2.控制箱显示状态正常，控制箱设置在自动位，控制箱故障显示灯显示正常。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3.常压罐罐体外观无变形，防腐防锈层完好。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4.连接管道和附件无松动、漏水。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5.阀门开关正常完好，阀门处无生锈。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6.压力表显示正常，检验标签在检验周期内。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7.水泵运行正常，无异响，无异常振动。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8.真空排气罐压力值正常。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六个月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检查电气部分的控制、保护、显示功能是否正常。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检查系统参数设置是否异常。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清洗过滤器。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检查过滤器密封是否损坏，视情况更换。</w:t>
            </w:r>
          </w:p>
        </w:tc>
        <w:tc>
          <w:tcPr>
            <w:tcW w:w="4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numPr>
                <w:ilvl w:val="0"/>
                <w:numId w:val="16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电气部分的控制、保护、显示功能正常。</w:t>
            </w:r>
          </w:p>
          <w:p>
            <w:pPr>
              <w:numPr>
                <w:ilvl w:val="0"/>
                <w:numId w:val="16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系统参数设置合理。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11.过滤器无脏堵现象。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12.过滤器密封完好无损。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一年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同半年检查保养全部内容。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检查罐体是否变形、倾斜。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对管道、支架外表进行检查，并做好加固和防锈处理。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对水管及水管附件如阀门、软接进行检查，并做好防锈及油漆工作，对锈蚀严重，漏水严重的不合格管段局部更换。</w:t>
            </w:r>
          </w:p>
          <w:p>
            <w:pPr>
              <w:numPr>
                <w:ilvl w:val="0"/>
                <w:numId w:val="15"/>
              </w:num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测试排气、定压、补水功能是否与设定值一致。</w:t>
            </w:r>
          </w:p>
        </w:tc>
        <w:tc>
          <w:tcPr>
            <w:tcW w:w="4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13.同半年检保养标准一致。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14.罐体无变形、倾斜，防腐防锈层完好。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15.管道、支架外表牢固，防腐防锈层完好。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16.水管及水管附件无漏水生锈现象。</w:t>
            </w:r>
          </w:p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17.排气、定压、补水功能与设定值一致。</w:t>
            </w: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空调群控系统的维护 </w:t>
      </w:r>
    </w:p>
    <w:p>
      <w:pPr>
        <w:spacing w:line="360" w:lineRule="auto"/>
        <w:ind w:firstLine="490" w:firstLineChars="175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4.1.10.1软件维护</w:t>
      </w:r>
    </w:p>
    <w:tbl>
      <w:tblPr>
        <w:tblStyle w:val="6"/>
        <w:tblW w:w="92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4271"/>
        <w:gridCol w:w="4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周期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4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每季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1.在中央操作站上检查网络控制器/主控制器各设定点；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2.检查相应软件有无损坏、缺陷，各数据存放路径是否正确；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3.检查整个系统的控制器是否正常；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4.检查各设备各环节是否正常，如有联动关系的点位检查联动是否完成；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5.检查及优化群控及连动运行程序；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6.上载网络控制器、主控制器数据备份；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7.依据实际的使用情况适当调整中央操作站平台软件操作；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8.对记录数据进行分析，故障的发生进行判断。</w:t>
            </w:r>
          </w:p>
          <w:p>
            <w:pPr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4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1.设定点合理；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2.相应软件无损坏、缺陷，各数据存放路径正确；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3.整个系统的控制器正常；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4.各设备各环节正常；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5.优化群控及连动运行程序；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6.上载网络控制器、主控制器数据备份；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7.依据实际的使用情况适当调整中央操作站平台软件操作；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8.对记录数据进行分析，故障的发生进行判断。</w:t>
            </w:r>
          </w:p>
          <w:p>
            <w:pPr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</w:p>
        </w:tc>
      </w:tr>
    </w:tbl>
    <w:p>
      <w:pPr>
        <w:numPr>
          <w:ilvl w:val="1"/>
          <w:numId w:val="2"/>
        </w:numPr>
        <w:tabs>
          <w:tab w:val="left" w:pos="1140"/>
        </w:tabs>
        <w:spacing w:line="360" w:lineRule="auto"/>
        <w:ind w:left="0" w:firstLine="560" w:firstLineChars="200"/>
        <w:rPr>
          <w:rFonts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设备维修标准</w:t>
      </w:r>
    </w:p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主机的维修标准</w:t>
      </w:r>
    </w:p>
    <w:tbl>
      <w:tblPr>
        <w:tblStyle w:val="6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8"/>
        <w:gridCol w:w="75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7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主机维修</w:t>
            </w:r>
          </w:p>
        </w:tc>
        <w:tc>
          <w:tcPr>
            <w:tcW w:w="7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1.机组完成维修后，机组所有运行参数与项目投运时的运行参数接近；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2.所有运行参数均在设备厂家标准参数的范围内；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3.可以正常加减载；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3.无异常震动及噪声，系统无泄漏现象，无异常气味；</w:t>
            </w:r>
          </w:p>
          <w:p>
            <w:p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4.更换的电子元器件无异常气味或痕迹；</w:t>
            </w:r>
          </w:p>
          <w:p>
            <w:pPr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5.半天内完成消缺，最长不得超过两天。</w:t>
            </w: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水泵的维修标准</w:t>
      </w:r>
    </w:p>
    <w:tbl>
      <w:tblPr>
        <w:tblStyle w:val="6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8"/>
        <w:gridCol w:w="75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7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水泵维修</w:t>
            </w:r>
          </w:p>
        </w:tc>
        <w:tc>
          <w:tcPr>
            <w:tcW w:w="7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/>
              <w:keepLines/>
              <w:numPr>
                <w:ilvl w:val="0"/>
                <w:numId w:val="17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水泵完成维修后，电机温升符合厂家或行业标准；</w:t>
            </w:r>
          </w:p>
          <w:p>
            <w:pPr>
              <w:keepNext/>
              <w:keepLines/>
              <w:numPr>
                <w:ilvl w:val="0"/>
                <w:numId w:val="17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电机温升、流量、扬程等所有运行参数与项目投运时的运行参数接近；</w:t>
            </w:r>
          </w:p>
          <w:p>
            <w:pPr>
              <w:keepNext/>
              <w:keepLines/>
              <w:numPr>
                <w:ilvl w:val="0"/>
                <w:numId w:val="17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无异常震动及噪声，无漏水现象，无异常气味；</w:t>
            </w:r>
          </w:p>
          <w:p>
            <w:pPr>
              <w:jc w:val="left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4.半天内完成消缺，最长不得超过两天。</w:t>
            </w: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冷却塔的维修标准</w:t>
      </w:r>
    </w:p>
    <w:tbl>
      <w:tblPr>
        <w:tblStyle w:val="6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5"/>
        <w:gridCol w:w="76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7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冷却塔维修</w:t>
            </w:r>
          </w:p>
        </w:tc>
        <w:tc>
          <w:tcPr>
            <w:tcW w:w="7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/>
              <w:keepLines/>
              <w:numPr>
                <w:ilvl w:val="0"/>
                <w:numId w:val="18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冷却塔完成维修后，电机温升符合厂家或行业标准；2.电机温升等所有运行参数与项目投运时的运行参数接近；</w:t>
            </w:r>
          </w:p>
          <w:p>
            <w:pPr>
              <w:keepNext/>
              <w:keepLines/>
              <w:numPr>
                <w:ilvl w:val="0"/>
                <w:numId w:val="18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无异常震动及噪声，无异常气味，无漏水现象；</w:t>
            </w:r>
          </w:p>
          <w:p>
            <w:pPr>
              <w:keepNext/>
              <w:keepLines/>
              <w:numPr>
                <w:ilvl w:val="0"/>
                <w:numId w:val="18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布水均匀，补水正常；</w:t>
            </w:r>
          </w:p>
          <w:p>
            <w:pPr>
              <w:keepNext/>
              <w:keepLines/>
              <w:numPr>
                <w:ilvl w:val="0"/>
                <w:numId w:val="18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散热效果良好，在标准工况下冷却水进出水温差不低于5℃，或在同等情况下，运行参数与项目投运时的运行参数接近；</w:t>
            </w:r>
          </w:p>
          <w:p>
            <w:pPr>
              <w:jc w:val="left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5.半天内完成消缺，最长不得超过两天。</w:t>
            </w: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管道及阀门的维修标准</w:t>
      </w:r>
    </w:p>
    <w:tbl>
      <w:tblPr>
        <w:tblStyle w:val="6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8"/>
        <w:gridCol w:w="75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7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管道及阀门维修</w:t>
            </w:r>
          </w:p>
        </w:tc>
        <w:tc>
          <w:tcPr>
            <w:tcW w:w="7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/>
              <w:keepLines/>
              <w:numPr>
                <w:ilvl w:val="0"/>
                <w:numId w:val="19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管道及阀门完成维修后，无泄漏现象；</w:t>
            </w:r>
          </w:p>
          <w:p>
            <w:pPr>
              <w:keepNext/>
              <w:keepLines/>
              <w:numPr>
                <w:ilvl w:val="0"/>
                <w:numId w:val="19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防腐防锈层保温层与项目投运时保持一致，或高于行业标准一致；</w:t>
            </w:r>
          </w:p>
          <w:p>
            <w:pPr>
              <w:keepNext/>
              <w:keepLines/>
              <w:numPr>
                <w:ilvl w:val="0"/>
                <w:numId w:val="19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阀门可以正常开启，阀门开关转动顺畅；</w:t>
            </w:r>
          </w:p>
          <w:p>
            <w:pPr>
              <w:keepNext/>
              <w:keepLines/>
              <w:numPr>
                <w:ilvl w:val="0"/>
                <w:numId w:val="19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电动阀门手自动功能均可正常使用；</w:t>
            </w:r>
          </w:p>
          <w:p>
            <w:pPr>
              <w:keepNext/>
              <w:keepLines/>
              <w:numPr>
                <w:ilvl w:val="0"/>
                <w:numId w:val="19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无异常震动或噪声，无异常气味。</w:t>
            </w:r>
          </w:p>
          <w:p>
            <w:pPr>
              <w:jc w:val="left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6.半天内完成消缺，最长不得超过两天。</w:t>
            </w: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末端的维修标准</w:t>
      </w:r>
    </w:p>
    <w:tbl>
      <w:tblPr>
        <w:tblStyle w:val="6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2"/>
        <w:gridCol w:w="75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7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末端维修</w:t>
            </w:r>
          </w:p>
        </w:tc>
        <w:tc>
          <w:tcPr>
            <w:tcW w:w="7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/>
              <w:keepLines/>
              <w:numPr>
                <w:ilvl w:val="0"/>
                <w:numId w:val="20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末端完成维修后，末端性能与项目投运时保持一致，制冷效果良好；</w:t>
            </w:r>
          </w:p>
          <w:p>
            <w:pPr>
              <w:keepNext/>
              <w:keepLines/>
              <w:numPr>
                <w:ilvl w:val="0"/>
                <w:numId w:val="20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无异常震动及噪声；</w:t>
            </w:r>
          </w:p>
          <w:p>
            <w:pPr>
              <w:keepNext/>
              <w:keepLines/>
              <w:numPr>
                <w:ilvl w:val="0"/>
                <w:numId w:val="20"/>
              </w:numPr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无结露现象，无滴水现象，无漏水现象，无异常气味；</w:t>
            </w:r>
          </w:p>
          <w:p>
            <w:pPr>
              <w:jc w:val="left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4.半天内完成消缺，最长不得超过两天。</w:t>
            </w:r>
          </w:p>
        </w:tc>
      </w:tr>
    </w:tbl>
    <w:p>
      <w:pPr>
        <w:numPr>
          <w:ilvl w:val="2"/>
          <w:numId w:val="2"/>
        </w:numPr>
        <w:tabs>
          <w:tab w:val="left" w:pos="1140"/>
        </w:tabs>
        <w:spacing w:line="360" w:lineRule="auto"/>
        <w:ind w:hanging="229"/>
        <w:rPr>
          <w:rFonts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群控系统的维修标准</w:t>
      </w:r>
    </w:p>
    <w:tbl>
      <w:tblPr>
        <w:tblStyle w:val="6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2"/>
        <w:gridCol w:w="75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工作内容</w:t>
            </w:r>
          </w:p>
        </w:tc>
        <w:tc>
          <w:tcPr>
            <w:tcW w:w="7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highlight w:val="none"/>
              </w:rPr>
              <w:t>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群控系统维修</w:t>
            </w:r>
          </w:p>
        </w:tc>
        <w:tc>
          <w:tcPr>
            <w:tcW w:w="7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/>
              <w:keepLines/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1.群控系统完成维修后，系统可正常自动运行；</w:t>
            </w:r>
          </w:p>
          <w:p>
            <w:pPr>
              <w:keepNext/>
              <w:keepLines/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2.系统同步正常，反馈正常，系统各项性能、界面显示及反应速度与项目投运时保持一致；</w:t>
            </w:r>
          </w:p>
          <w:p>
            <w:pPr>
              <w:keepNext/>
              <w:keepLines/>
              <w:spacing w:line="360" w:lineRule="auto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3.电子元器件无异常气味或痕迹；</w:t>
            </w:r>
          </w:p>
          <w:p>
            <w:pPr>
              <w:jc w:val="left"/>
              <w:rPr>
                <w:rFonts w:ascii="仿宋" w:hAnsi="仿宋" w:eastAsia="仿宋" w:cs="仿宋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highlight w:val="none"/>
              </w:rPr>
              <w:t>4.半天内完成消缺，最长不得超过两天。</w:t>
            </w:r>
          </w:p>
        </w:tc>
      </w:tr>
    </w:tbl>
    <w:p>
      <w:pPr>
        <w:pStyle w:val="4"/>
        <w:keepNext w:val="0"/>
        <w:keepLines w:val="0"/>
        <w:numPr>
          <w:ilvl w:val="0"/>
          <w:numId w:val="2"/>
        </w:numPr>
        <w:autoSpaceDE w:val="0"/>
        <w:autoSpaceDN w:val="0"/>
        <w:adjustRightInd w:val="0"/>
        <w:snapToGrid w:val="0"/>
        <w:spacing w:before="120" w:after="60" w:line="360" w:lineRule="auto"/>
        <w:rPr>
          <w:rFonts w:ascii="仿宋" w:hAnsi="仿宋" w:eastAsia="仿宋" w:cs="仿宋"/>
          <w:bCs w:val="0"/>
          <w:color w:val="auto"/>
          <w:sz w:val="28"/>
          <w:szCs w:val="28"/>
          <w:highlight w:val="none"/>
        </w:rPr>
      </w:pPr>
      <w:bookmarkStart w:id="44" w:name="_Toc259701779"/>
      <w:bookmarkEnd w:id="44"/>
      <w:bookmarkStart w:id="45" w:name="_Toc259702030"/>
      <w:bookmarkEnd w:id="45"/>
      <w:bookmarkStart w:id="46" w:name="_Toc259702037"/>
      <w:bookmarkEnd w:id="46"/>
      <w:bookmarkStart w:id="47" w:name="_Toc259701782"/>
      <w:bookmarkEnd w:id="47"/>
      <w:bookmarkStart w:id="48" w:name="_Toc259701992"/>
      <w:bookmarkEnd w:id="48"/>
      <w:bookmarkStart w:id="49" w:name="_Toc259701747"/>
      <w:bookmarkEnd w:id="49"/>
      <w:bookmarkStart w:id="50" w:name="_Toc259701734"/>
      <w:bookmarkEnd w:id="50"/>
      <w:bookmarkStart w:id="51" w:name="_Toc259702060"/>
      <w:bookmarkEnd w:id="51"/>
      <w:bookmarkStart w:id="52" w:name="_Toc259702029"/>
      <w:bookmarkEnd w:id="52"/>
      <w:bookmarkStart w:id="53" w:name="_Toc259702028"/>
      <w:bookmarkEnd w:id="53"/>
      <w:bookmarkStart w:id="54" w:name="_Toc259701780"/>
      <w:bookmarkEnd w:id="54"/>
      <w:bookmarkStart w:id="55" w:name="_Toc259701751"/>
      <w:bookmarkEnd w:id="55"/>
      <w:bookmarkStart w:id="56" w:name="_Toc259701781"/>
      <w:bookmarkEnd w:id="56"/>
      <w:bookmarkStart w:id="57" w:name="_Toc259701814"/>
      <w:bookmarkEnd w:id="57"/>
      <w:bookmarkStart w:id="58" w:name="_Toc259701735"/>
      <w:bookmarkEnd w:id="58"/>
      <w:bookmarkStart w:id="59" w:name="_Toc259702058"/>
      <w:bookmarkEnd w:id="59"/>
      <w:bookmarkStart w:id="60" w:name="_Toc259702024"/>
      <w:bookmarkEnd w:id="60"/>
      <w:bookmarkStart w:id="61" w:name="_Toc259702025"/>
      <w:bookmarkEnd w:id="61"/>
      <w:bookmarkStart w:id="62" w:name="_Toc259702027"/>
      <w:bookmarkEnd w:id="62"/>
      <w:bookmarkStart w:id="63" w:name="_Toc259701785"/>
      <w:bookmarkEnd w:id="63"/>
      <w:bookmarkStart w:id="64" w:name="_Toc259702059"/>
      <w:bookmarkEnd w:id="64"/>
      <w:bookmarkStart w:id="65" w:name="_Toc259702026"/>
      <w:bookmarkEnd w:id="65"/>
      <w:bookmarkStart w:id="66" w:name="_Toc259701784"/>
      <w:bookmarkEnd w:id="66"/>
      <w:bookmarkStart w:id="67" w:name="_Toc259701813"/>
      <w:bookmarkEnd w:id="67"/>
      <w:bookmarkStart w:id="68" w:name="_Toc259701815"/>
      <w:bookmarkEnd w:id="68"/>
      <w:bookmarkStart w:id="69" w:name="_Toc259701981"/>
      <w:bookmarkEnd w:id="69"/>
      <w:bookmarkStart w:id="70" w:name="_Toc259701980"/>
      <w:bookmarkEnd w:id="70"/>
      <w:bookmarkStart w:id="71" w:name="_Toc259701792"/>
      <w:bookmarkEnd w:id="71"/>
      <w:bookmarkStart w:id="72" w:name="_Toc259701979"/>
      <w:bookmarkEnd w:id="72"/>
      <w:bookmarkStart w:id="73" w:name="_Toc259701736"/>
      <w:bookmarkEnd w:id="73"/>
      <w:bookmarkStart w:id="74" w:name="_Toc259701996"/>
      <w:bookmarkEnd w:id="74"/>
      <w:bookmarkStart w:id="75" w:name="_Toc259701783"/>
      <w:bookmarkEnd w:id="75"/>
      <w:bookmarkStart w:id="76" w:name="_Toc136770611"/>
      <w:bookmarkStart w:id="77" w:name="_Toc136770815"/>
      <w:r>
        <w:rPr>
          <w:rFonts w:hint="eastAsia" w:ascii="仿宋" w:hAnsi="仿宋" w:eastAsia="仿宋" w:cs="仿宋"/>
          <w:bCs w:val="0"/>
          <w:color w:val="auto"/>
          <w:sz w:val="28"/>
          <w:szCs w:val="28"/>
          <w:highlight w:val="none"/>
        </w:rPr>
        <w:t>考核评价</w:t>
      </w:r>
      <w:bookmarkEnd w:id="76"/>
      <w:bookmarkEnd w:id="77"/>
    </w:p>
    <w:p>
      <w:pPr>
        <w:pStyle w:val="9"/>
        <w:ind w:left="425"/>
        <w:jc w:val="center"/>
        <w:rPr>
          <w:rFonts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  <w:t>空调维保服务商评价表</w:t>
      </w:r>
    </w:p>
    <w:tbl>
      <w:tblPr>
        <w:tblStyle w:val="7"/>
        <w:tblW w:w="91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774"/>
        <w:gridCol w:w="431"/>
        <w:gridCol w:w="2454"/>
        <w:gridCol w:w="1264"/>
        <w:gridCol w:w="1258"/>
        <w:gridCol w:w="1040"/>
        <w:gridCol w:w="11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9114" w:type="dxa"/>
            <w:gridSpan w:val="8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需求单位：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9114" w:type="dxa"/>
            <w:gridSpan w:val="8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维保单位：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1909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维保单位负责人</w:t>
            </w:r>
          </w:p>
        </w:tc>
        <w:tc>
          <w:tcPr>
            <w:tcW w:w="245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  <w:tc>
          <w:tcPr>
            <w:tcW w:w="126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联系电话</w:t>
            </w:r>
          </w:p>
        </w:tc>
        <w:tc>
          <w:tcPr>
            <w:tcW w:w="3487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909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评价时间</w:t>
            </w:r>
          </w:p>
        </w:tc>
        <w:tc>
          <w:tcPr>
            <w:tcW w:w="7205" w:type="dxa"/>
            <w:gridSpan w:val="5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20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评价项目</w:t>
            </w:r>
          </w:p>
        </w:tc>
        <w:tc>
          <w:tcPr>
            <w:tcW w:w="4976" w:type="dxa"/>
            <w:gridSpan w:val="3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评价内容</w:t>
            </w:r>
          </w:p>
        </w:tc>
        <w:tc>
          <w:tcPr>
            <w:tcW w:w="104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分值</w:t>
            </w:r>
          </w:p>
        </w:tc>
        <w:tc>
          <w:tcPr>
            <w:tcW w:w="1189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业主评价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jc w:val="center"/>
        </w:trPr>
        <w:tc>
          <w:tcPr>
            <w:tcW w:w="704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205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履约情况</w:t>
            </w:r>
          </w:p>
        </w:tc>
        <w:tc>
          <w:tcPr>
            <w:tcW w:w="4976" w:type="dxa"/>
            <w:gridSpan w:val="3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按合同规定项目、次数、周期完成巡检、保养服务。</w:t>
            </w:r>
          </w:p>
        </w:tc>
        <w:tc>
          <w:tcPr>
            <w:tcW w:w="104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20分</w:t>
            </w:r>
          </w:p>
        </w:tc>
        <w:tc>
          <w:tcPr>
            <w:tcW w:w="1189" w:type="dxa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04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  <w:tc>
          <w:tcPr>
            <w:tcW w:w="1205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  <w:tc>
          <w:tcPr>
            <w:tcW w:w="4976" w:type="dxa"/>
            <w:gridSpan w:val="3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按合同要求完成故障处理服务。</w:t>
            </w:r>
          </w:p>
        </w:tc>
        <w:tc>
          <w:tcPr>
            <w:tcW w:w="104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10分</w:t>
            </w:r>
          </w:p>
        </w:tc>
        <w:tc>
          <w:tcPr>
            <w:tcW w:w="1189" w:type="dxa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  <w:jc w:val="center"/>
        </w:trPr>
        <w:tc>
          <w:tcPr>
            <w:tcW w:w="704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1205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服务质量</w:t>
            </w:r>
          </w:p>
        </w:tc>
        <w:tc>
          <w:tcPr>
            <w:tcW w:w="4976" w:type="dxa"/>
            <w:gridSpan w:val="3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服务专业化、能及时处理问题，无违反用户方的相关规定。</w:t>
            </w:r>
          </w:p>
        </w:tc>
        <w:tc>
          <w:tcPr>
            <w:tcW w:w="104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15分</w:t>
            </w:r>
          </w:p>
        </w:tc>
        <w:tc>
          <w:tcPr>
            <w:tcW w:w="1189" w:type="dxa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704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  <w:tc>
          <w:tcPr>
            <w:tcW w:w="1205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  <w:tc>
          <w:tcPr>
            <w:tcW w:w="4976" w:type="dxa"/>
            <w:gridSpan w:val="3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维修、保养后的设备性能、功能等达到预期效果，无返修、无缺陷、无用户投诉。</w:t>
            </w:r>
          </w:p>
        </w:tc>
        <w:tc>
          <w:tcPr>
            <w:tcW w:w="104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15分</w:t>
            </w:r>
          </w:p>
        </w:tc>
        <w:tc>
          <w:tcPr>
            <w:tcW w:w="1189" w:type="dxa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120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服务态度</w:t>
            </w:r>
          </w:p>
        </w:tc>
        <w:tc>
          <w:tcPr>
            <w:tcW w:w="4976" w:type="dxa"/>
            <w:gridSpan w:val="3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积极与设备管理员沟通项目实施情况，与用户及时反馈维修进度，不瞒报、谎报设备信息、报价等。</w:t>
            </w:r>
          </w:p>
        </w:tc>
        <w:tc>
          <w:tcPr>
            <w:tcW w:w="104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10分</w:t>
            </w:r>
          </w:p>
        </w:tc>
        <w:tc>
          <w:tcPr>
            <w:tcW w:w="1189" w:type="dxa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4</w:t>
            </w:r>
          </w:p>
        </w:tc>
        <w:tc>
          <w:tcPr>
            <w:tcW w:w="120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紧急响应及处置</w:t>
            </w:r>
          </w:p>
        </w:tc>
        <w:tc>
          <w:tcPr>
            <w:tcW w:w="4976" w:type="dxa"/>
            <w:gridSpan w:val="3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能对紧急故障及时作出快速响应，提出解决方案、处置解决。</w:t>
            </w:r>
          </w:p>
        </w:tc>
        <w:tc>
          <w:tcPr>
            <w:tcW w:w="104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10分</w:t>
            </w:r>
          </w:p>
        </w:tc>
        <w:tc>
          <w:tcPr>
            <w:tcW w:w="1189" w:type="dxa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5</w:t>
            </w:r>
          </w:p>
        </w:tc>
        <w:tc>
          <w:tcPr>
            <w:tcW w:w="120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故障率及预见性</w:t>
            </w:r>
          </w:p>
        </w:tc>
        <w:tc>
          <w:tcPr>
            <w:tcW w:w="4976" w:type="dxa"/>
            <w:gridSpan w:val="3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设备经维修保养后，故障率小，巡检未及时发现的故障隐患，如实记录、反馈、上报等，并提出解决方案及时处理。</w:t>
            </w:r>
          </w:p>
        </w:tc>
        <w:tc>
          <w:tcPr>
            <w:tcW w:w="104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10分</w:t>
            </w:r>
          </w:p>
        </w:tc>
        <w:tc>
          <w:tcPr>
            <w:tcW w:w="1189" w:type="dxa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6</w:t>
            </w:r>
          </w:p>
        </w:tc>
        <w:tc>
          <w:tcPr>
            <w:tcW w:w="120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存档资料</w:t>
            </w:r>
          </w:p>
        </w:tc>
        <w:tc>
          <w:tcPr>
            <w:tcW w:w="4976" w:type="dxa"/>
            <w:gridSpan w:val="3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按照业主方相关规定整理存档资料，资料完整性符合业主要求。</w:t>
            </w:r>
          </w:p>
        </w:tc>
        <w:tc>
          <w:tcPr>
            <w:tcW w:w="104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10分</w:t>
            </w:r>
          </w:p>
        </w:tc>
        <w:tc>
          <w:tcPr>
            <w:tcW w:w="1189" w:type="dxa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6885" w:type="dxa"/>
            <w:gridSpan w:val="6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合计</w:t>
            </w:r>
          </w:p>
        </w:tc>
        <w:tc>
          <w:tcPr>
            <w:tcW w:w="104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100分</w:t>
            </w:r>
          </w:p>
        </w:tc>
        <w:tc>
          <w:tcPr>
            <w:tcW w:w="1189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1" w:hRule="atLeast"/>
          <w:jc w:val="center"/>
        </w:trPr>
        <w:tc>
          <w:tcPr>
            <w:tcW w:w="1478" w:type="dxa"/>
            <w:gridSpan w:val="2"/>
            <w:vAlign w:val="center"/>
          </w:tcPr>
          <w:p>
            <w:pPr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需求单位意见及建议</w:t>
            </w:r>
          </w:p>
        </w:tc>
        <w:tc>
          <w:tcPr>
            <w:tcW w:w="7636" w:type="dxa"/>
            <w:gridSpan w:val="6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 xml:space="preserve">                 </w:t>
            </w:r>
          </w:p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</w:p>
          <w:p>
            <w:pPr>
              <w:ind w:firstLine="1920" w:firstLineChars="800"/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负责人：     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  <w:jc w:val="center"/>
        </w:trPr>
        <w:tc>
          <w:tcPr>
            <w:tcW w:w="1478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备注</w:t>
            </w:r>
          </w:p>
        </w:tc>
        <w:tc>
          <w:tcPr>
            <w:tcW w:w="7636" w:type="dxa"/>
            <w:gridSpan w:val="6"/>
            <w:vAlign w:val="center"/>
          </w:tcPr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1、未完成每次扣1分，未做到每次扣1分，发现一次不符合每次每项扣0.5分，没响应的每次扣1分，响应超时的每次扣0.5分；每项超出该项扣分值的，从当次评估总得分中扣除相应分值。</w:t>
            </w:r>
          </w:p>
          <w:p>
            <w:pPr>
              <w:jc w:val="left"/>
              <w:rPr>
                <w:rFonts w:ascii="仿宋" w:hAnsi="仿宋" w:eastAsia="仿宋" w:cs="仿宋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2、总分值为100分，及格分为90分，90分以下为不及格。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3、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对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维保单位每月进行一次评价，60分（含）至80分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eastAsia="zh-CN"/>
              </w:rPr>
              <w:t>的</w:t>
            </w: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</w:rPr>
              <w:t>，扣除季度结算款的百分之五；60分以下的，扣除季度结算款的百分之十。</w:t>
            </w:r>
          </w:p>
        </w:tc>
      </w:tr>
    </w:tbl>
    <w:p>
      <w:pPr>
        <w:pStyle w:val="5"/>
        <w:rPr>
          <w:rFonts w:ascii="黑体" w:hAnsi="宋体"/>
          <w:color w:val="auto"/>
          <w:sz w:val="21"/>
          <w:szCs w:val="21"/>
          <w:highlight w:val="none"/>
        </w:rPr>
      </w:pPr>
    </w:p>
    <w:p>
      <w:pPr>
        <w:pStyle w:val="4"/>
        <w:keepNext w:val="0"/>
        <w:keepLines w:val="0"/>
        <w:numPr>
          <w:ilvl w:val="2"/>
          <w:numId w:val="0"/>
        </w:numPr>
        <w:autoSpaceDE w:val="0"/>
        <w:autoSpaceDN w:val="0"/>
        <w:adjustRightInd w:val="0"/>
        <w:snapToGrid w:val="0"/>
        <w:spacing w:before="120" w:after="60" w:line="360" w:lineRule="auto"/>
        <w:rPr>
          <w:color w:val="auto"/>
          <w:highlight w:val="non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6ECE32"/>
    <w:multiLevelType w:val="singleLevel"/>
    <w:tmpl w:val="AC6ECE3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EE71A04B"/>
    <w:multiLevelType w:val="multilevel"/>
    <w:tmpl w:val="EE71A04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15E93F9D"/>
    <w:multiLevelType w:val="singleLevel"/>
    <w:tmpl w:val="15E93F9D"/>
    <w:lvl w:ilvl="0" w:tentative="0">
      <w:start w:val="1"/>
      <w:numFmt w:val="decimal"/>
      <w:suff w:val="nothing"/>
      <w:lvlText w:val="%1."/>
      <w:lvlJc w:val="left"/>
      <w:pPr>
        <w:ind w:left="0" w:firstLine="0"/>
      </w:pPr>
      <w:rPr>
        <w:rFonts w:hint="eastAsia"/>
      </w:rPr>
    </w:lvl>
  </w:abstractNum>
  <w:abstractNum w:abstractNumId="3">
    <w:nsid w:val="1EFA246A"/>
    <w:multiLevelType w:val="multilevel"/>
    <w:tmpl w:val="1EFA246A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42"/>
      <w:numFmt w:val="decimal"/>
      <w:lvlText w:val="%2．"/>
      <w:lvlJc w:val="left"/>
      <w:pPr>
        <w:tabs>
          <w:tab w:val="left" w:pos="780"/>
        </w:tabs>
        <w:ind w:left="78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2F9760C7"/>
    <w:multiLevelType w:val="multilevel"/>
    <w:tmpl w:val="2F9760C7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306841E8"/>
    <w:multiLevelType w:val="multilevel"/>
    <w:tmpl w:val="306841E8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decimal"/>
      <w:lvlText w:val="%2、"/>
      <w:lvlJc w:val="left"/>
      <w:pPr>
        <w:ind w:left="780" w:hanging="360"/>
      </w:pPr>
      <w:rPr>
        <w:rFonts w:cs="宋体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ABB4D23"/>
    <w:multiLevelType w:val="singleLevel"/>
    <w:tmpl w:val="3ABB4D23"/>
    <w:lvl w:ilvl="0" w:tentative="0">
      <w:start w:val="1"/>
      <w:numFmt w:val="decimal"/>
      <w:suff w:val="nothing"/>
      <w:lvlText w:val="%1."/>
      <w:lvlJc w:val="left"/>
      <w:pPr>
        <w:ind w:left="0" w:firstLine="0"/>
      </w:pPr>
      <w:rPr>
        <w:rFonts w:hint="eastAsia"/>
      </w:rPr>
    </w:lvl>
  </w:abstractNum>
  <w:abstractNum w:abstractNumId="7">
    <w:nsid w:val="40AB2703"/>
    <w:multiLevelType w:val="multilevel"/>
    <w:tmpl w:val="40AB270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abstractNum w:abstractNumId="8">
    <w:nsid w:val="4A736F95"/>
    <w:multiLevelType w:val="multilevel"/>
    <w:tmpl w:val="4A736F95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519E60B2"/>
    <w:multiLevelType w:val="multilevel"/>
    <w:tmpl w:val="519E60B2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0">
    <w:nsid w:val="5CB544B4"/>
    <w:multiLevelType w:val="multilevel"/>
    <w:tmpl w:val="5CB544B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 w:asciiTheme="minorEastAsia" w:hAnsiTheme="minorEastAsia" w:eastAsiaTheme="minorEastAsia" w:cstheme="minorEastAsia"/>
      </w:rPr>
    </w:lvl>
    <w:lvl w:ilvl="2" w:tentative="0">
      <w:start w:val="1"/>
      <w:numFmt w:val="decimal"/>
      <w:lvlText w:val="%1.%2.%3."/>
      <w:lvlJc w:val="left"/>
      <w:pPr>
        <w:ind w:left="859" w:hanging="709"/>
      </w:pPr>
      <w:rPr>
        <w:rFonts w:hint="default"/>
        <w:sz w:val="28"/>
        <w:szCs w:val="28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1">
    <w:nsid w:val="5D5D15CC"/>
    <w:multiLevelType w:val="singleLevel"/>
    <w:tmpl w:val="5D5D15CC"/>
    <w:lvl w:ilvl="0" w:tentative="0">
      <w:start w:val="1"/>
      <w:numFmt w:val="decimal"/>
      <w:suff w:val="nothing"/>
      <w:lvlText w:val="%1."/>
      <w:lvlJc w:val="left"/>
      <w:pPr>
        <w:ind w:left="0" w:firstLine="0"/>
      </w:pPr>
      <w:rPr>
        <w:rFonts w:hint="eastAsia"/>
      </w:rPr>
    </w:lvl>
  </w:abstractNum>
  <w:abstractNum w:abstractNumId="12">
    <w:nsid w:val="5D5E1E96"/>
    <w:multiLevelType w:val="singleLevel"/>
    <w:tmpl w:val="5D5E1E96"/>
    <w:lvl w:ilvl="0" w:tentative="0">
      <w:start w:val="8"/>
      <w:numFmt w:val="decimal"/>
      <w:suff w:val="nothing"/>
      <w:lvlText w:val="%1."/>
      <w:lvlJc w:val="left"/>
    </w:lvl>
  </w:abstractNum>
  <w:abstractNum w:abstractNumId="13">
    <w:nsid w:val="5D5E4265"/>
    <w:multiLevelType w:val="singleLevel"/>
    <w:tmpl w:val="5D5E4265"/>
    <w:lvl w:ilvl="0" w:tentative="0">
      <w:start w:val="6"/>
      <w:numFmt w:val="decimal"/>
      <w:suff w:val="nothing"/>
      <w:lvlText w:val="%1."/>
      <w:lvlJc w:val="left"/>
    </w:lvl>
  </w:abstractNum>
  <w:abstractNum w:abstractNumId="14">
    <w:nsid w:val="5D5E4EC3"/>
    <w:multiLevelType w:val="singleLevel"/>
    <w:tmpl w:val="5D5E4EC3"/>
    <w:lvl w:ilvl="0" w:tentative="0">
      <w:start w:val="9"/>
      <w:numFmt w:val="decimal"/>
      <w:suff w:val="nothing"/>
      <w:lvlText w:val="%1."/>
      <w:lvlJc w:val="left"/>
    </w:lvl>
  </w:abstractNum>
  <w:abstractNum w:abstractNumId="15">
    <w:nsid w:val="5D5E5D56"/>
    <w:multiLevelType w:val="singleLevel"/>
    <w:tmpl w:val="5D5E5D56"/>
    <w:lvl w:ilvl="0" w:tentative="0">
      <w:start w:val="1"/>
      <w:numFmt w:val="decimal"/>
      <w:suff w:val="nothing"/>
      <w:lvlText w:val="%1."/>
      <w:lvlJc w:val="left"/>
    </w:lvl>
  </w:abstractNum>
  <w:abstractNum w:abstractNumId="16">
    <w:nsid w:val="5D5E5DAD"/>
    <w:multiLevelType w:val="singleLevel"/>
    <w:tmpl w:val="5D5E5DAD"/>
    <w:lvl w:ilvl="0" w:tentative="0">
      <w:start w:val="1"/>
      <w:numFmt w:val="decimal"/>
      <w:suff w:val="nothing"/>
      <w:lvlText w:val="%1."/>
      <w:lvlJc w:val="left"/>
    </w:lvl>
  </w:abstractNum>
  <w:abstractNum w:abstractNumId="17">
    <w:nsid w:val="5D5E5E0D"/>
    <w:multiLevelType w:val="singleLevel"/>
    <w:tmpl w:val="5D5E5E0D"/>
    <w:lvl w:ilvl="0" w:tentative="0">
      <w:start w:val="1"/>
      <w:numFmt w:val="decimal"/>
      <w:suff w:val="nothing"/>
      <w:lvlText w:val="%1."/>
      <w:lvlJc w:val="left"/>
    </w:lvl>
  </w:abstractNum>
  <w:abstractNum w:abstractNumId="18">
    <w:nsid w:val="5D5E5E58"/>
    <w:multiLevelType w:val="singleLevel"/>
    <w:tmpl w:val="5D5E5E58"/>
    <w:lvl w:ilvl="0" w:tentative="0">
      <w:start w:val="1"/>
      <w:numFmt w:val="decimal"/>
      <w:suff w:val="nothing"/>
      <w:lvlText w:val="%1."/>
      <w:lvlJc w:val="left"/>
    </w:lvl>
  </w:abstractNum>
  <w:abstractNum w:abstractNumId="19">
    <w:nsid w:val="738F061C"/>
    <w:multiLevelType w:val="multilevel"/>
    <w:tmpl w:val="738F061C"/>
    <w:lvl w:ilvl="0" w:tentative="0">
      <w:start w:val="1"/>
      <w:numFmt w:val="decimal"/>
      <w:lvlText w:val="%1"/>
      <w:lvlJc w:val="left"/>
      <w:pPr>
        <w:ind w:left="432" w:hanging="432"/>
      </w:pPr>
      <w:rPr>
        <w:sz w:val="21"/>
        <w:szCs w:val="21"/>
      </w:rPr>
    </w:lvl>
    <w:lvl w:ilvl="1" w:tentative="0">
      <w:start w:val="1"/>
      <w:numFmt w:val="decimal"/>
      <w:lvlText w:val="%1.%2"/>
      <w:lvlJc w:val="left"/>
      <w:pPr>
        <w:ind w:left="576" w:hanging="576"/>
      </w:p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  <w:rPr>
        <w:rFonts w:ascii="宋体" w:hAnsi="宋体" w:eastAsia="宋体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9"/>
  </w:num>
  <w:num w:numId="2">
    <w:abstractNumId w:val="10"/>
  </w:num>
  <w:num w:numId="3">
    <w:abstractNumId w:val="11"/>
  </w:num>
  <w:num w:numId="4">
    <w:abstractNumId w:val="6"/>
  </w:num>
  <w:num w:numId="5">
    <w:abstractNumId w:val="2"/>
  </w:num>
  <w:num w:numId="6">
    <w:abstractNumId w:val="12"/>
  </w:num>
  <w:num w:numId="7">
    <w:abstractNumId w:val="4"/>
  </w:num>
  <w:num w:numId="8">
    <w:abstractNumId w:val="7"/>
  </w:num>
  <w:num w:numId="9">
    <w:abstractNumId w:val="9"/>
  </w:num>
  <w:num w:numId="10">
    <w:abstractNumId w:val="1"/>
  </w:num>
  <w:num w:numId="11">
    <w:abstractNumId w:val="3"/>
  </w:num>
  <w:num w:numId="12">
    <w:abstractNumId w:val="13"/>
  </w:num>
  <w:num w:numId="13">
    <w:abstractNumId w:val="5"/>
  </w:num>
  <w:num w:numId="14">
    <w:abstractNumId w:val="0"/>
  </w:num>
  <w:num w:numId="15">
    <w:abstractNumId w:val="8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7F7F56"/>
    <w:rsid w:val="32CD6F61"/>
    <w:rsid w:val="777F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cs="宋体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/>
      <w:sz w:val="24"/>
      <w:szCs w:val="22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_Style 3"/>
    <w:next w:val="1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10">
    <w:name w:val="List Paragraph1"/>
    <w:basedOn w:val="1"/>
    <w:qFormat/>
    <w:uiPriority w:val="0"/>
    <w:pPr>
      <w:ind w:firstLine="420" w:firstLineChars="200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2026-06-04T06:03:00Z</dcterms:created>
  <dc:creator>郑冲</dc:creator>
  <cp:lastModifiedBy>郑冲</cp:lastModifiedBy>
  <dcterms:modified xsi:type="dcterms:W3CDTF">2026-06-04T06:22:47Z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9E53D7D4056741B1A2F803FCCF5EF577</vt:lpwstr>
  </property>
</Properties>
</file>