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p>
    <w:p>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r>
        <w:rPr>
          <w:rFonts w:hint="eastAsia" w:asciiTheme="minorEastAsia" w:hAnsiTheme="minorEastAsia" w:eastAsiaTheme="minorEastAsia" w:cstheme="minorEastAsia"/>
          <w:b/>
          <w:bCs/>
          <w:snapToGrid w:val="0"/>
          <w:color w:val="auto"/>
          <w:kern w:val="0"/>
          <w:sz w:val="32"/>
          <w:szCs w:val="32"/>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2026年主网工程建设领域行业标准技术服务项目</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top"/>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top"/>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top"/>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可研批复(项目立项)文号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基纪〔2025〕154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资金落实情况</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广电规〔2023〕129 号</w:t>
            </w:r>
          </w:p>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广供电资〔2024〕28号</w:t>
            </w:r>
          </w:p>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广供电资〔2025〕26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服务期/框架有效期</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合同签订之日起至2026年12月30日，实际服务期以委托函上载明的时间为准。</w:t>
            </w:r>
          </w:p>
        </w:tc>
      </w:tr>
    </w:tbl>
    <w:p>
      <w:pPr>
        <w:keepNext w:val="0"/>
        <w:keepLines w:val="0"/>
        <w:pageBreakBefore w:val="0"/>
        <w:widowControl w:val="0"/>
        <w:numPr>
          <w:ilvl w:val="0"/>
          <w:numId w:val="0"/>
        </w:numPr>
        <w:kinsoku/>
        <w:wordWrap/>
        <w:overflowPunct/>
        <w:topLinePunct w:val="0"/>
        <w:bidi w:val="0"/>
        <w:snapToGrid/>
        <w:spacing w:before="157" w:beforeLines="50" w:after="157" w:afterLines="50" w:line="480" w:lineRule="auto"/>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bCs/>
          <w:i w:val="0"/>
          <w:iCs/>
          <w:color w:val="auto"/>
          <w:kern w:val="2"/>
          <w:sz w:val="24"/>
          <w:szCs w:val="24"/>
          <w:highlight w:val="none"/>
          <w:u w:val="none"/>
          <w:lang w:val="en-US" w:eastAsia="zh-CN" w:bidi="ar-SA"/>
        </w:rPr>
        <w:t>（一）500千伏华厦阳西电厂二期7、8号机组项目接入系统工程（广州段）：</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1.阳西电厂5、6号机组～五邑500千伏双回线路解口接入阳东开关站线路工程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将阳西电厂5、6号机组～五邑500千伏双回线路解口接入阳东开关站，形成阳西电厂5、6号机组～阳东开关站、阳东开关站～五邑 500 千伏双回线路。新建线路2×1.0千米，其中阳西电厂侧2×0.6千米、五邑站侧2×0.4千米，同塔双回架设。新建导线截面采用4×720平方毫米，导线允许温度按80摄氏度设计。</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2.阳西电厂7、8号机组～阳东开关站500千伏双回线路工程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拆除已退运蝶岭～五邑500千伏乙线17.4千米，利用其线行新建阳西电厂7、8号机组～阳东开关站500千伏双回线路，局部与阳西电厂5、6号机组～阳东开关站500千伏双回线路交换线行以减少交叉跨越。新建线路2×111.5千米，同塔双回架设。新建导线截面采用4×720平方毫米，导线允许温度按80摄氏度设计。</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3.阳东开关站～圭峰500千伏双回线路工程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新建阳东开关站～圭峰500千伏双回线路，新建线路2×152.9千米，同塔双回架设。新建导线截面采用4×720平方毫米，导线允许温度按80摄氏度设计。</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4.铜鼓电厂～番南500千伏双回线路工程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szCs w:val="24"/>
          <w:u w:val="none"/>
          <w:lang w:val="en-US" w:eastAsia="zh-CN"/>
        </w:rPr>
      </w:pPr>
      <w:r>
        <w:rPr>
          <w:rFonts w:hint="eastAsia" w:ascii="宋体" w:hAnsi="宋体" w:cs="宋体"/>
          <w:b w:val="0"/>
          <w:bCs w:val="0"/>
          <w:i w:val="0"/>
          <w:iCs/>
          <w:color w:val="auto"/>
          <w:kern w:val="2"/>
          <w:sz w:val="24"/>
          <w:szCs w:val="24"/>
          <w:highlight w:val="none"/>
          <w:u w:val="none"/>
          <w:lang w:val="en-US" w:eastAsia="zh-CN" w:bidi="ar-SA"/>
        </w:rPr>
        <w:t>将铜鼓电厂～圭峰 500 千伏丙丁线在圭峰站侧开断并改接至500千伏番南站，形成铜鼓电厂～番南500千伏双回线路。新建线路2×121.6千米，其中同塔双回架设2×118.4千米，500千伏/220千伏混压同塔四回架设2×1.8千米，500千伏/110千伏混压同塔四回架设2×1.4千米。新建500千伏导线截面采用4×720平方毫米，导线允许温度按80摄氏度设计</w:t>
      </w:r>
      <w:r>
        <w:rPr>
          <w:rFonts w:hint="eastAsia" w:ascii="宋体" w:hAnsi="宋体" w:eastAsia="宋体" w:cs="宋体"/>
          <w:b w:val="0"/>
          <w:bCs w:val="0"/>
          <w:i w:val="0"/>
          <w:iCs/>
          <w:color w:val="auto"/>
          <w:kern w:val="2"/>
          <w:sz w:val="24"/>
          <w:szCs w:val="24"/>
          <w:highlight w:val="none"/>
          <w:u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bCs/>
          <w:i w:val="0"/>
          <w:iCs/>
          <w:color w:val="auto"/>
          <w:kern w:val="2"/>
          <w:sz w:val="24"/>
          <w:szCs w:val="24"/>
          <w:highlight w:val="none"/>
          <w:u w:val="none"/>
          <w:lang w:val="en-US" w:eastAsia="zh-CN" w:bidi="ar-SA"/>
        </w:rPr>
        <w:t>（二）220千伏棠下柔直背靠背工程：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1.直流部分：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直流输电容量：1×700MW+3×450MW，直流额定电压暂按±120kV；</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直流主接线方式：直流侧采用对称单极接线,每一端直流母线处设置直流高速并列开关(HSS)、隔离开关；</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换流变配置：三相双绕组(带平衡绕组)变压器，(1+1)×770MVA、3×495MVA，强油循环水冷方式；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启动电阻采用单相，共12台，每台暂按5000Ω；</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桥臂电抗器采用干式(对应 770MVA 换流变共6+1台、每台暂按24mH，对应495MVA换流变共18+1台、每台暂按37mH)；</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功率器件(IGBT)暂按4500V/3000A、4500V/2000A件考虑，功率器件(IGCT)暂按6500V/2000A器件考虑。</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2.交流部分：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交流采用双母线双分段接线。220kV交流配电装置采用户内GIS母线经启动回路与换流变压器相连；</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换流变进线回路暂按双断路器考虑；</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szCs w:val="24"/>
          <w:u w:val="none"/>
          <w:lang w:val="en-US" w:eastAsia="zh-CN"/>
        </w:rPr>
      </w:pPr>
      <w:r>
        <w:rPr>
          <w:rFonts w:hint="eastAsia" w:ascii="宋体" w:hAnsi="宋体" w:cs="宋体"/>
          <w:b w:val="0"/>
          <w:bCs w:val="0"/>
          <w:i w:val="0"/>
          <w:iCs/>
          <w:color w:val="auto"/>
          <w:kern w:val="2"/>
          <w:sz w:val="24"/>
          <w:szCs w:val="24"/>
          <w:highlight w:val="none"/>
          <w:u w:val="none"/>
          <w:lang w:val="en-US" w:eastAsia="zh-CN" w:bidi="ar-SA"/>
        </w:rPr>
        <w:t>交流220kV母线侧电气设备短路电流水平按50kA考虑。</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i w:val="0"/>
          <w:iCs/>
          <w:color w:val="auto"/>
          <w:kern w:val="2"/>
          <w:sz w:val="24"/>
          <w:szCs w:val="24"/>
          <w:highlight w:val="none"/>
          <w:u w:val="none"/>
          <w:lang w:val="en-US" w:eastAsia="zh-CN" w:bidi="ar-SA"/>
        </w:rPr>
      </w:pPr>
      <w:r>
        <w:rPr>
          <w:rFonts w:hint="eastAsia" w:ascii="宋体" w:hAnsi="宋体" w:cs="宋体"/>
          <w:b/>
          <w:bCs/>
          <w:i w:val="0"/>
          <w:iCs/>
          <w:color w:val="auto"/>
          <w:kern w:val="2"/>
          <w:sz w:val="24"/>
          <w:szCs w:val="24"/>
          <w:highlight w:val="none"/>
          <w:u w:val="none"/>
          <w:lang w:val="en-US" w:eastAsia="zh-CN" w:bidi="ar-SA"/>
        </w:rPr>
        <w:t>（三）傍海（番南）站配套220千伏线路工程（第一分册）：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隧道工程：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棠琶项目#5井至沙儒线解口点之间新建电力隧道，隧道单线总长度680米。</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eastAsia" w:asciiTheme="minorEastAsia" w:hAnsiTheme="minorEastAsia" w:eastAsiaTheme="minorEastAsia" w:cstheme="minorEastAsia"/>
          <w:b/>
          <w:bCs/>
          <w:i w:val="0"/>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二、采购范围</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一）依托500千伏华厦阳西电厂二期7、8号机组项目接入系统工程（广州段），开展架空线路铁塔拆除的技术咨询，总结架空线路铁塔拆除在一般条件下、大跨越条件下以及受限地形条件下的施工工艺方面的差异化要求，提炼具有行业代表性的关键工艺控制方法，并制定施工工艺，主要工作包括：</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1）编制标准草案；</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2）编制征求意见稿；</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3）编制送审报批稿；</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4）编制正式发布稿。</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二）依托220千伏棠下柔直背靠背工程，开展断路器选相控制器技术咨询，总结断路器选相控制器在控制程序、检验、调试等方面的差异化要求，提炼具有行业代表性的技术要求，并制定标准化、规范化的指导，主要工作包括：</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1）编制标准草案；</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2）编制征求意见稿；</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3）编制送审报批稿；</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4）编制正式发布稿。</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三）依托傍海（番南）站配套220千伏线路工程（第一分册），开展水平定向钻敷设电力管线技术咨询，总结水平定向钻在勘探、设计、施工等方面差异化要求，提炼具有行业代表性的关键工艺控制方法，提升水平定向钻施工标准化水平，并制定标准化、规范化的指导，主要工作包括：</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1）编制标准草案；</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2）编制征求意见稿；</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3）编制送审报批稿；</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i w:val="0"/>
          <w:iCs/>
          <w:color w:val="auto"/>
          <w:kern w:val="2"/>
          <w:sz w:val="24"/>
          <w:szCs w:val="24"/>
          <w:highlight w:val="none"/>
          <w:u w:val="none"/>
          <w:lang w:val="en-US" w:eastAsia="zh-CN" w:bidi="ar-SA"/>
        </w:rPr>
      </w:pPr>
      <w:r>
        <w:rPr>
          <w:rFonts w:hint="eastAsia" w:ascii="宋体" w:hAnsi="宋体" w:cs="宋体"/>
          <w:b w:val="0"/>
          <w:bCs w:val="0"/>
          <w:i w:val="0"/>
          <w:iCs/>
          <w:color w:val="auto"/>
          <w:kern w:val="2"/>
          <w:sz w:val="24"/>
          <w:szCs w:val="24"/>
          <w:highlight w:val="none"/>
          <w:u w:val="none"/>
          <w:lang w:val="en-US" w:eastAsia="zh-CN" w:bidi="ar-SA"/>
        </w:rPr>
        <w:t>4）编制正式发布稿。</w:t>
      </w:r>
    </w:p>
    <w:p>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仿宋_GB2312"/>
          <w:kern w:val="0"/>
          <w:sz w:val="24"/>
          <w:szCs w:val="24"/>
          <w:highlight w:val="none"/>
          <w:lang w:val="en-US" w:eastAsia="zh-CN"/>
        </w:rPr>
      </w:pPr>
      <w:r>
        <w:rPr>
          <w:rFonts w:hint="eastAsia" w:hAnsi="宋体" w:cs="宋体"/>
          <w:b w:val="0"/>
          <w:bCs w:val="0"/>
          <w:i w:val="0"/>
          <w:iCs/>
          <w:color w:val="auto"/>
          <w:kern w:val="2"/>
          <w:sz w:val="24"/>
          <w:szCs w:val="24"/>
          <w:highlight w:val="none"/>
          <w:u w:val="none"/>
          <w:lang w:val="en-US" w:eastAsia="zh-CN" w:bidi="ar-SA"/>
        </w:rPr>
        <w:t>（四）</w:t>
      </w:r>
      <w:r>
        <w:rPr>
          <w:rFonts w:hint="eastAsia" w:ascii="宋体" w:hAnsi="宋体" w:eastAsia="宋体" w:cs="仿宋_GB2312"/>
          <w:kern w:val="0"/>
          <w:sz w:val="24"/>
          <w:szCs w:val="24"/>
          <w:highlight w:val="none"/>
          <w:lang w:val="en-US" w:eastAsia="zh-CN"/>
        </w:rPr>
        <w:t>本项目采购范围包括但不限于：编制标准任务书、标准答辩文件、标准编制说明文件、标准修改建议文件、标准文本。</w:t>
      </w:r>
    </w:p>
    <w:p>
      <w:pPr>
        <w:pStyle w:val="2"/>
        <w:rPr>
          <w:rFonts w:hint="default"/>
          <w:lang w:val="en-US" w:eastAsia="zh-CN"/>
        </w:rPr>
      </w:pPr>
    </w:p>
    <w:p>
      <w:pPr>
        <w:pStyle w:val="4"/>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三、报价表及报价要求</w:t>
      </w:r>
    </w:p>
    <w:p>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jc w:val="both"/>
        <w:rPr>
          <w:rFonts w:hint="eastAsia"/>
          <w:highlight w:val="none"/>
          <w:lang w:val="en-US" w:eastAsia="zh-CN"/>
        </w:rPr>
      </w:pPr>
    </w:p>
    <w:tbl>
      <w:tblPr>
        <w:tblStyle w:val="12"/>
        <w:tblpPr w:leftFromText="180" w:rightFromText="180" w:vertAnchor="text" w:horzAnchor="page" w:tblpX="1352" w:tblpY="66"/>
        <w:tblOverlap w:val="never"/>
        <w:tblW w:w="90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1"/>
        <w:gridCol w:w="2232"/>
        <w:gridCol w:w="691"/>
        <w:gridCol w:w="1139"/>
        <w:gridCol w:w="1125"/>
        <w:gridCol w:w="675"/>
        <w:gridCol w:w="931"/>
        <w:gridCol w:w="831"/>
        <w:gridCol w:w="7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651"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序号</w:t>
            </w:r>
          </w:p>
        </w:tc>
        <w:tc>
          <w:tcPr>
            <w:tcW w:w="2232"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工程或费用名称</w:t>
            </w:r>
          </w:p>
        </w:tc>
        <w:tc>
          <w:tcPr>
            <w:tcW w:w="691"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预计</w:t>
            </w:r>
          </w:p>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数量</w:t>
            </w:r>
          </w:p>
        </w:tc>
        <w:tc>
          <w:tcPr>
            <w:tcW w:w="22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最高投标限价</w:t>
            </w:r>
          </w:p>
        </w:tc>
        <w:tc>
          <w:tcPr>
            <w:tcW w:w="6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投标下浮率</w:t>
            </w:r>
          </w:p>
        </w:tc>
        <w:tc>
          <w:tcPr>
            <w:tcW w:w="176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投标报价</w:t>
            </w:r>
          </w:p>
        </w:tc>
        <w:tc>
          <w:tcPr>
            <w:tcW w:w="791" w:type="dxa"/>
            <w:vMerge w:val="restart"/>
            <w:tcBorders>
              <w:top w:val="single" w:color="000000" w:sz="4" w:space="0"/>
              <w:left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备  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651"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highlight w:val="none"/>
              </w:rPr>
            </w:pPr>
          </w:p>
        </w:tc>
        <w:tc>
          <w:tcPr>
            <w:tcW w:w="2232" w:type="dxa"/>
            <w:vMerge w:val="continue"/>
            <w:tcBorders>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highlight w:val="none"/>
              </w:rPr>
            </w:pPr>
          </w:p>
        </w:tc>
        <w:tc>
          <w:tcPr>
            <w:tcW w:w="691"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highlight w:val="none"/>
              </w:rPr>
            </w:pP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cs="宋体"/>
                <w:i w:val="0"/>
                <w:iCs w:val="0"/>
                <w:color w:val="000000"/>
                <w:kern w:val="0"/>
                <w:sz w:val="20"/>
                <w:szCs w:val="20"/>
                <w:highlight w:val="none"/>
                <w:u w:val="none"/>
                <w:lang w:val="en-US" w:eastAsia="zh-CN" w:bidi="ar"/>
              </w:rPr>
              <w:t>单价</w:t>
            </w:r>
            <w:r>
              <w:rPr>
                <w:rFonts w:hint="eastAsia" w:ascii="宋体" w:hAnsi="宋体" w:eastAsia="宋体" w:cs="宋体"/>
                <w:i w:val="0"/>
                <w:iCs w:val="0"/>
                <w:color w:val="000000"/>
                <w:kern w:val="0"/>
                <w:sz w:val="20"/>
                <w:szCs w:val="20"/>
                <w:highlight w:val="none"/>
                <w:u w:val="none"/>
                <w:lang w:val="en-US" w:eastAsia="zh-CN" w:bidi="ar"/>
              </w:rPr>
              <w:t>（元）</w:t>
            </w:r>
          </w:p>
        </w:tc>
        <w:tc>
          <w:tcPr>
            <w:tcW w:w="112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合计</w:t>
            </w:r>
            <w:r>
              <w:rPr>
                <w:rFonts w:hint="eastAsia" w:ascii="宋体" w:hAnsi="宋体" w:eastAsia="宋体" w:cs="宋体"/>
                <w:i w:val="0"/>
                <w:iCs w:val="0"/>
                <w:color w:val="000000"/>
                <w:kern w:val="0"/>
                <w:sz w:val="20"/>
                <w:szCs w:val="20"/>
                <w:highlight w:val="none"/>
                <w:u w:val="none"/>
                <w:lang w:val="en-US" w:eastAsia="zh-CN" w:bidi="ar"/>
              </w:rPr>
              <w:t>（元）</w:t>
            </w:r>
          </w:p>
        </w:tc>
        <w:tc>
          <w:tcPr>
            <w:tcW w:w="675"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9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单价</w:t>
            </w:r>
            <w:r>
              <w:rPr>
                <w:rFonts w:hint="eastAsia" w:ascii="宋体" w:hAnsi="宋体" w:eastAsia="宋体" w:cs="宋体"/>
                <w:i w:val="0"/>
                <w:iCs w:val="0"/>
                <w:color w:val="000000"/>
                <w:kern w:val="0"/>
                <w:sz w:val="20"/>
                <w:szCs w:val="20"/>
                <w:highlight w:val="none"/>
                <w:u w:val="none"/>
                <w:lang w:val="en-US" w:eastAsia="zh-CN" w:bidi="ar"/>
              </w:rPr>
              <w:t>（元）</w:t>
            </w:r>
          </w:p>
        </w:tc>
        <w:tc>
          <w:tcPr>
            <w:tcW w:w="83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合计</w:t>
            </w:r>
            <w:r>
              <w:rPr>
                <w:rFonts w:hint="eastAsia" w:ascii="宋体" w:hAnsi="宋体" w:eastAsia="宋体" w:cs="宋体"/>
                <w:i w:val="0"/>
                <w:iCs w:val="0"/>
                <w:color w:val="000000"/>
                <w:kern w:val="0"/>
                <w:sz w:val="20"/>
                <w:szCs w:val="20"/>
                <w:highlight w:val="none"/>
                <w:u w:val="none"/>
                <w:lang w:val="en-US" w:eastAsia="zh-CN" w:bidi="ar"/>
              </w:rPr>
              <w:t>（元）</w:t>
            </w:r>
          </w:p>
        </w:tc>
        <w:tc>
          <w:tcPr>
            <w:tcW w:w="791" w:type="dxa"/>
            <w:vMerge w:val="continue"/>
            <w:tcBorders>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1"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rPr>
              <w:t>500千伏华厦阳西电厂二期7、8号机组项目接入系统工程（广州段）架空线路铁塔在一般条件下、大跨越条件下以及受限地形条件下的施工技术服务</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1</w:t>
            </w:r>
          </w:p>
        </w:tc>
        <w:tc>
          <w:tcPr>
            <w:tcW w:w="1139" w:type="dxa"/>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1489000</w:t>
            </w:r>
          </w:p>
        </w:tc>
        <w:tc>
          <w:tcPr>
            <w:tcW w:w="1125" w:type="dxa"/>
            <w:tcBorders>
              <w:top w:val="single" w:color="auto" w:sz="4" w:space="0"/>
              <w:left w:val="single" w:color="auto" w:sz="4" w:space="0"/>
              <w:bottom w:val="single" w:color="auto" w:sz="4" w:space="0"/>
              <w:right w:val="single" w:color="000000" w:sz="4" w:space="0"/>
            </w:tcBorders>
            <w:shd w:val="clear" w:color="auto" w:fill="auto"/>
            <w:vAlign w:val="center"/>
          </w:tcPr>
          <w:p>
            <w:pPr>
              <w:jc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1489000</w:t>
            </w:r>
          </w:p>
        </w:tc>
        <w:tc>
          <w:tcPr>
            <w:tcW w:w="6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single"/>
                <w:lang w:val="en-US" w:eastAsia="zh-CN" w:bidi="ar"/>
              </w:rPr>
              <w:t xml:space="preserve">   </w:t>
            </w:r>
            <w:r>
              <w:rPr>
                <w:rFonts w:hint="eastAsia" w:ascii="宋体" w:hAnsi="宋体" w:eastAsia="宋体" w:cs="宋体"/>
                <w:i w:val="0"/>
                <w:iCs w:val="0"/>
                <w:color w:val="000000"/>
                <w:kern w:val="0"/>
                <w:sz w:val="20"/>
                <w:szCs w:val="20"/>
                <w:highlight w:val="none"/>
                <w:u w:val="none"/>
                <w:lang w:val="en-US" w:eastAsia="zh-CN" w:bidi="ar"/>
              </w:rPr>
              <w:t>%</w:t>
            </w:r>
          </w:p>
        </w:tc>
        <w:tc>
          <w:tcPr>
            <w:tcW w:w="931" w:type="dxa"/>
            <w:tcBorders>
              <w:top w:val="single" w:color="auto" w:sz="4" w:space="0"/>
              <w:left w:val="single" w:color="000000"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0"/>
                <w:szCs w:val="20"/>
                <w:highlight w:val="none"/>
                <w:u w:val="none"/>
              </w:rPr>
            </w:pPr>
          </w:p>
        </w:tc>
        <w:tc>
          <w:tcPr>
            <w:tcW w:w="831" w:type="dxa"/>
            <w:tcBorders>
              <w:top w:val="single" w:color="auto" w:sz="4" w:space="0"/>
              <w:left w:val="single" w:color="auto"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3"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2</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220千伏棠下柔直背靠背工程</w:t>
            </w:r>
            <w:r>
              <w:rPr>
                <w:rFonts w:hint="eastAsia" w:ascii="宋体" w:hAnsi="宋体" w:cs="宋体"/>
                <w:i w:val="0"/>
                <w:iCs w:val="0"/>
                <w:color w:val="000000"/>
                <w:sz w:val="20"/>
                <w:szCs w:val="20"/>
                <w:highlight w:val="none"/>
                <w:u w:val="none"/>
                <w:lang w:val="en-US" w:eastAsia="zh-CN"/>
              </w:rPr>
              <w:t>断路器选相控制器</w:t>
            </w:r>
            <w:r>
              <w:rPr>
                <w:rFonts w:hint="eastAsia" w:ascii="宋体" w:hAnsi="宋体" w:eastAsia="宋体" w:cs="宋体"/>
                <w:i w:val="0"/>
                <w:iCs w:val="0"/>
                <w:color w:val="000000"/>
                <w:sz w:val="20"/>
                <w:szCs w:val="20"/>
                <w:highlight w:val="none"/>
                <w:u w:val="none"/>
                <w:lang w:val="en-US" w:eastAsia="zh-CN"/>
              </w:rPr>
              <w:t>技术服务</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1</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500000</w:t>
            </w:r>
          </w:p>
        </w:tc>
        <w:tc>
          <w:tcPr>
            <w:tcW w:w="1125" w:type="dxa"/>
            <w:tcBorders>
              <w:top w:val="single" w:color="auto"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500000</w:t>
            </w:r>
          </w:p>
        </w:tc>
        <w:tc>
          <w:tcPr>
            <w:tcW w:w="675" w:type="dxa"/>
            <w:vMerge w:val="continue"/>
            <w:tcBorders>
              <w:top w:val="single" w:color="auto" w:sz="4" w:space="0"/>
              <w:left w:val="single" w:color="000000" w:sz="4" w:space="0"/>
              <w:right w:val="single" w:color="000000" w:sz="4" w:space="0"/>
            </w:tcBorders>
            <w:shd w:val="clear" w:color="auto" w:fill="auto"/>
            <w:vAlign w:val="center"/>
          </w:tcPr>
          <w:p>
            <w:pPr>
              <w:jc w:val="center"/>
              <w:rPr>
                <w:rFonts w:hint="eastAsia" w:ascii="宋体" w:hAnsi="宋体" w:cs="宋体"/>
                <w:i w:val="0"/>
                <w:iCs w:val="0"/>
                <w:color w:val="000000"/>
                <w:kern w:val="0"/>
                <w:sz w:val="20"/>
                <w:szCs w:val="20"/>
                <w:highlight w:val="none"/>
                <w:u w:val="single"/>
                <w:lang w:val="en-US" w:eastAsia="zh-CN" w:bidi="ar"/>
              </w:rPr>
            </w:pPr>
          </w:p>
        </w:tc>
        <w:tc>
          <w:tcPr>
            <w:tcW w:w="931" w:type="dxa"/>
            <w:tcBorders>
              <w:top w:val="single" w:color="auto"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highlight w:val="none"/>
                <w:u w:val="none"/>
              </w:rPr>
            </w:pPr>
          </w:p>
        </w:tc>
        <w:tc>
          <w:tcPr>
            <w:tcW w:w="831"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5"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3</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傍海（番南）站配套220千伏线路工程（第一分册）水平定向钻敷设电力管线施工技术服务</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1</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500000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500000</w:t>
            </w:r>
          </w:p>
        </w:tc>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cs="宋体"/>
                <w:i w:val="0"/>
                <w:iCs w:val="0"/>
                <w:color w:val="000000"/>
                <w:kern w:val="0"/>
                <w:sz w:val="20"/>
                <w:szCs w:val="20"/>
                <w:highlight w:val="none"/>
                <w:u w:val="single"/>
                <w:lang w:val="en-US" w:eastAsia="zh-CN" w:bidi="ar"/>
              </w:rPr>
            </w:pPr>
          </w:p>
        </w:tc>
        <w:tc>
          <w:tcPr>
            <w:tcW w:w="931" w:type="dxa"/>
            <w:tcBorders>
              <w:top w:val="single" w:color="auto"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highlight w:val="none"/>
                <w:u w:val="none"/>
              </w:rPr>
            </w:pPr>
          </w:p>
        </w:tc>
        <w:tc>
          <w:tcPr>
            <w:tcW w:w="831"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合计（小写）：</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lang w:val="en-US" w:eastAsia="zh-CN"/>
              </w:rPr>
            </w:pP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2489000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000000"/>
                <w:sz w:val="18"/>
                <w:szCs w:val="18"/>
                <w:highlight w:val="none"/>
                <w:u w:val="none"/>
                <w:lang w:val="en-US" w:eastAsia="zh-CN"/>
              </w:rPr>
            </w:pPr>
            <w:r>
              <w:rPr>
                <w:rFonts w:hint="eastAsia" w:ascii="宋体" w:hAnsi="宋体" w:cs="宋体"/>
                <w:i w:val="0"/>
                <w:iCs w:val="0"/>
                <w:color w:val="000000"/>
                <w:sz w:val="18"/>
                <w:szCs w:val="18"/>
                <w:highlight w:val="none"/>
                <w:u w:val="none"/>
                <w:lang w:val="en-US" w:eastAsia="zh-CN"/>
              </w:rPr>
              <w:t>2489000</w:t>
            </w:r>
          </w:p>
        </w:tc>
        <w:tc>
          <w:tcPr>
            <w:tcW w:w="67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highlight w:val="none"/>
                <w:u w:val="none"/>
              </w:rPr>
            </w:pPr>
          </w:p>
        </w:tc>
        <w:tc>
          <w:tcPr>
            <w:tcW w:w="9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highlight w:val="none"/>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0"/>
                <w:szCs w:val="20"/>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0"/>
                <w:szCs w:val="20"/>
                <w:highlight w:val="none"/>
                <w:u w:val="none"/>
              </w:rPr>
            </w:pPr>
          </w:p>
        </w:tc>
      </w:tr>
    </w:tbl>
    <w:p>
      <w:pPr>
        <w:pStyle w:val="2"/>
        <w:rPr>
          <w:rFonts w:hint="eastAsia"/>
          <w:highlight w:val="none"/>
          <w:lang w:val="en-US" w:eastAsia="zh-CN"/>
        </w:rPr>
      </w:pPr>
    </w:p>
    <w:p>
      <w:pPr>
        <w:pStyle w:val="8"/>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报价要求：</w:t>
      </w:r>
    </w:p>
    <w:p>
      <w:pPr>
        <w:pStyle w:val="8"/>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1.按固定金额报价，同时填报投标下浮率。投标下浮率＝[1－(投标报价/最高投标限价）]×100%（保留两位小数，如：8.88%）。当投标报价金额与投标下浮率计算结果不一致时，以投标报价金额为准，按公式修正投标下浮率。</w:t>
      </w:r>
    </w:p>
    <w:p>
      <w:pPr>
        <w:pStyle w:val="8"/>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2.报价不得高于最高投标限价，报价低于最高限价85%的需提供成本分析报告时应附成本分析报告，充分说明单价和费用的组成、降低成本的合理措施及在其他工程中应用过的经验等，经评审通过后方可视为有效报价。</w:t>
      </w:r>
    </w:p>
    <w:p>
      <w:pPr>
        <w:rPr>
          <w:rFonts w:hint="eastAsia"/>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结算方式：本工程合同价总价包干。结算时总价包干部分，除合同约定可调整的情况外，结算不予调整，中标合同价款中的漏项、错项结算时视为已包括在其他子项的报价中，不予调整。</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bookmarkStart w:id="1" w:name="_GoBack"/>
      <w:bookmarkEnd w:id="1"/>
    </w:p>
    <w:p>
      <w:pPr>
        <w:pStyle w:val="11"/>
        <w:keepNext w:val="0"/>
        <w:keepLines w:val="0"/>
        <w:pageBreakBefore w:val="0"/>
        <w:widowControl w:val="0"/>
        <w:numPr>
          <w:ilvl w:val="0"/>
          <w:numId w:val="0"/>
        </w:numPr>
        <w:kinsoku/>
        <w:wordWrap/>
        <w:overflowPunct/>
        <w:topLinePunct w:val="0"/>
        <w:autoSpaceDE/>
        <w:autoSpaceDN/>
        <w:bidi w:val="0"/>
        <w:adjustRightInd/>
        <w:snapToGrid/>
        <w:spacing w:beforeLines="0" w:after="0" w:afterLines="0" w:line="400" w:lineRule="exact"/>
        <w:textAlignment w:val="auto"/>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11"/>
        <w:keepNext w:val="0"/>
        <w:keepLines w:val="0"/>
        <w:pageBreakBefore w:val="0"/>
        <w:widowControl w:val="0"/>
        <w:numPr>
          <w:ilvl w:val="0"/>
          <w:numId w:val="0"/>
        </w:numPr>
        <w:kinsoku/>
        <w:wordWrap/>
        <w:overflowPunct/>
        <w:topLinePunct w:val="0"/>
        <w:autoSpaceDE/>
        <w:autoSpaceDN/>
        <w:bidi w:val="0"/>
        <w:adjustRightInd/>
        <w:snapToGrid/>
        <w:spacing w:beforeLines="0" w:after="0" w:afterLines="0" w:line="400" w:lineRule="exact"/>
        <w:textAlignment w:val="auto"/>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Wingdings" w:hAnsi="Wingdings" w:cs="Wingdings" w:eastAsiaTheme="minorEastAsia"/>
          <w:b/>
          <w:bCs/>
          <w:i w:val="0"/>
          <w:iCs/>
          <w:color w:val="auto"/>
          <w:kern w:val="2"/>
          <w:sz w:val="24"/>
          <w:szCs w:val="24"/>
          <w:highlight w:val="none"/>
          <w:u w:val="single"/>
          <w:lang w:val="en-US" w:eastAsia="zh-CN" w:bidi="ar-SA"/>
        </w:rPr>
      </w:pPr>
      <w:r>
        <w:rPr>
          <w:rFonts w:hint="eastAsia" w:ascii="Wingdings" w:hAnsi="Wingdings" w:cs="Wingdings" w:eastAsiaTheme="minorEastAsia"/>
          <w:b w:val="0"/>
          <w:bCs w:val="0"/>
          <w:i w:val="0"/>
          <w:iCs/>
          <w:color w:val="auto"/>
          <w:kern w:val="2"/>
          <w:sz w:val="24"/>
          <w:szCs w:val="24"/>
          <w:highlight w:val="none"/>
          <w:u w:val="single"/>
          <w:lang w:val="en-US" w:eastAsia="zh-CN" w:bidi="ar-SA"/>
        </w:rPr>
        <w:t>技术服务单位不具备全部专业技术资质的，经受托人书面申请，委托人可允许该技术服务单位将有关专业技术工作分包给具备相关专业资质和能力的服务单位，受托人具备相应资质的除外。</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default"/>
          <w:highlight w:val="none"/>
          <w:lang w:val="en-US" w:eastAsia="zh-CN"/>
        </w:rPr>
        <w:br w:type="page"/>
      </w:r>
    </w:p>
    <w:p>
      <w:pPr>
        <w:pStyle w:val="2"/>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p>
    <w:p>
      <w:pPr>
        <w:pStyle w:val="2"/>
        <w:rPr>
          <w:rFonts w:hint="eastAsia" w:asciiTheme="minorEastAsia" w:hAnsiTheme="minorEastAsia" w:eastAsiaTheme="minorEastAsia" w:cstheme="minorEastAsia"/>
          <w:i w:val="0"/>
          <w:iCs/>
          <w:color w:val="auto"/>
          <w:sz w:val="24"/>
          <w:szCs w:val="24"/>
          <w:highlight w:val="none"/>
        </w:rPr>
      </w:pP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p>
    <w:p>
      <w:pPr>
        <w:keepNext w:val="0"/>
        <w:keepLines w:val="0"/>
        <w:pageBreakBefore w:val="0"/>
        <w:widowControl w:val="0"/>
        <w:kinsoku/>
        <w:wordWrap/>
        <w:overflowPunct/>
        <w:topLinePunct w:val="0"/>
        <w:autoSpaceDE w:val="0"/>
        <w:autoSpaceDN w:val="0"/>
        <w:bidi w:val="0"/>
        <w:adjustRightInd w:val="0"/>
        <w:snapToGrid/>
        <w:spacing w:line="400" w:lineRule="exact"/>
        <w:textAlignment w:val="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（一）满足南方电网公司基建管理制度、建设单位的质量、环境和职业健康安全管理体系文件、其他有关制度和规定。</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400" w:lineRule="exact"/>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（二）符合图纸及技术文件的要求（如有，详见招标文件附件）。</w:t>
      </w:r>
    </w:p>
    <w:p>
      <w:pPr>
        <w:pStyle w:val="2"/>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p>
    <w:p>
      <w:pPr>
        <w:rPr>
          <w:rFonts w:hint="eastAsia" w:ascii="宋体" w:hAnsi="宋体" w:eastAsia="宋体" w:cs="宋体"/>
          <w:color w:val="auto"/>
          <w:sz w:val="24"/>
          <w:szCs w:val="24"/>
          <w:highlight w:val="none"/>
          <w:u w:val="single"/>
          <w:vertAlign w:val="baseline"/>
          <w:lang w:val="en-US" w:eastAsia="zh-CN"/>
        </w:rPr>
      </w:pPr>
    </w:p>
    <w:p>
      <w:pPr>
        <w:pStyle w:val="2"/>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7A4AD7"/>
    <w:rsid w:val="007D161F"/>
    <w:rsid w:val="008D5CF2"/>
    <w:rsid w:val="012C4699"/>
    <w:rsid w:val="01EC4E13"/>
    <w:rsid w:val="020770AD"/>
    <w:rsid w:val="02704DBB"/>
    <w:rsid w:val="02CF4F13"/>
    <w:rsid w:val="037F67D2"/>
    <w:rsid w:val="04A24F71"/>
    <w:rsid w:val="04AF1814"/>
    <w:rsid w:val="076F3B3B"/>
    <w:rsid w:val="07B64EF2"/>
    <w:rsid w:val="07CA37DF"/>
    <w:rsid w:val="0A863386"/>
    <w:rsid w:val="0BAD1A87"/>
    <w:rsid w:val="0BC07002"/>
    <w:rsid w:val="0BC31E36"/>
    <w:rsid w:val="0BE66663"/>
    <w:rsid w:val="0E0F0B6C"/>
    <w:rsid w:val="0E2F4C02"/>
    <w:rsid w:val="0E3616E0"/>
    <w:rsid w:val="0E394169"/>
    <w:rsid w:val="0E6A669B"/>
    <w:rsid w:val="0E793144"/>
    <w:rsid w:val="0EA62722"/>
    <w:rsid w:val="0F440713"/>
    <w:rsid w:val="0F81532F"/>
    <w:rsid w:val="107144D2"/>
    <w:rsid w:val="116419AD"/>
    <w:rsid w:val="11DF6CFE"/>
    <w:rsid w:val="127D1234"/>
    <w:rsid w:val="13383335"/>
    <w:rsid w:val="134F6128"/>
    <w:rsid w:val="14440D4B"/>
    <w:rsid w:val="14781EB9"/>
    <w:rsid w:val="14B666F3"/>
    <w:rsid w:val="15056A61"/>
    <w:rsid w:val="17722603"/>
    <w:rsid w:val="17734FB8"/>
    <w:rsid w:val="18E57496"/>
    <w:rsid w:val="1A386933"/>
    <w:rsid w:val="1A4F176B"/>
    <w:rsid w:val="1B5D4814"/>
    <w:rsid w:val="1B663F82"/>
    <w:rsid w:val="1C0D0793"/>
    <w:rsid w:val="1C2D4629"/>
    <w:rsid w:val="1C43636C"/>
    <w:rsid w:val="1C8618B6"/>
    <w:rsid w:val="1D904223"/>
    <w:rsid w:val="1F653C49"/>
    <w:rsid w:val="1FF914D4"/>
    <w:rsid w:val="203121E2"/>
    <w:rsid w:val="20735046"/>
    <w:rsid w:val="214D012B"/>
    <w:rsid w:val="216F4D5B"/>
    <w:rsid w:val="21C11DC8"/>
    <w:rsid w:val="21E57A3D"/>
    <w:rsid w:val="232B7B7A"/>
    <w:rsid w:val="23B738BA"/>
    <w:rsid w:val="24E67795"/>
    <w:rsid w:val="24F737D8"/>
    <w:rsid w:val="2525523D"/>
    <w:rsid w:val="25380B7B"/>
    <w:rsid w:val="259A7C12"/>
    <w:rsid w:val="26EB3B6A"/>
    <w:rsid w:val="271A6D80"/>
    <w:rsid w:val="287958EB"/>
    <w:rsid w:val="291D5E51"/>
    <w:rsid w:val="29354ED8"/>
    <w:rsid w:val="2A916E63"/>
    <w:rsid w:val="2BE07E0A"/>
    <w:rsid w:val="2CA17C08"/>
    <w:rsid w:val="2D326CFE"/>
    <w:rsid w:val="2DDF66E3"/>
    <w:rsid w:val="2E747304"/>
    <w:rsid w:val="2E790E17"/>
    <w:rsid w:val="2E947092"/>
    <w:rsid w:val="2FF65FF8"/>
    <w:rsid w:val="2FF85887"/>
    <w:rsid w:val="300D195C"/>
    <w:rsid w:val="30127FB2"/>
    <w:rsid w:val="30BF37B5"/>
    <w:rsid w:val="31301A76"/>
    <w:rsid w:val="313B0851"/>
    <w:rsid w:val="31C955A9"/>
    <w:rsid w:val="33B200AF"/>
    <w:rsid w:val="33C75702"/>
    <w:rsid w:val="33E61BE2"/>
    <w:rsid w:val="34291EF7"/>
    <w:rsid w:val="34DE0872"/>
    <w:rsid w:val="34E15227"/>
    <w:rsid w:val="35506D58"/>
    <w:rsid w:val="361736AD"/>
    <w:rsid w:val="363E07F1"/>
    <w:rsid w:val="365F1F17"/>
    <w:rsid w:val="368A119E"/>
    <w:rsid w:val="36D200CF"/>
    <w:rsid w:val="37261906"/>
    <w:rsid w:val="373A5E3B"/>
    <w:rsid w:val="379951F8"/>
    <w:rsid w:val="383218E6"/>
    <w:rsid w:val="38382DC3"/>
    <w:rsid w:val="38A23ED7"/>
    <w:rsid w:val="38DE045C"/>
    <w:rsid w:val="3987396D"/>
    <w:rsid w:val="39C60C6F"/>
    <w:rsid w:val="3A70215B"/>
    <w:rsid w:val="3AA1633F"/>
    <w:rsid w:val="3B595AEE"/>
    <w:rsid w:val="3B67270D"/>
    <w:rsid w:val="3BF24D81"/>
    <w:rsid w:val="3BFE7BEA"/>
    <w:rsid w:val="3C4750A3"/>
    <w:rsid w:val="3C4A35F1"/>
    <w:rsid w:val="3D757E71"/>
    <w:rsid w:val="3E99313C"/>
    <w:rsid w:val="3EA736D1"/>
    <w:rsid w:val="3F780BF5"/>
    <w:rsid w:val="40DF167D"/>
    <w:rsid w:val="417328DE"/>
    <w:rsid w:val="420455E6"/>
    <w:rsid w:val="42E73C50"/>
    <w:rsid w:val="44982260"/>
    <w:rsid w:val="44D414C9"/>
    <w:rsid w:val="44F02DD1"/>
    <w:rsid w:val="46472D5E"/>
    <w:rsid w:val="49155636"/>
    <w:rsid w:val="495629FA"/>
    <w:rsid w:val="496A657E"/>
    <w:rsid w:val="49843C09"/>
    <w:rsid w:val="4AD77089"/>
    <w:rsid w:val="4B3A1BDA"/>
    <w:rsid w:val="4B4D1E16"/>
    <w:rsid w:val="4B86686C"/>
    <w:rsid w:val="4BF83760"/>
    <w:rsid w:val="4C5B4768"/>
    <w:rsid w:val="4C8349B8"/>
    <w:rsid w:val="4D24093E"/>
    <w:rsid w:val="4EB63F49"/>
    <w:rsid w:val="504766FD"/>
    <w:rsid w:val="50941952"/>
    <w:rsid w:val="50CF061B"/>
    <w:rsid w:val="53312866"/>
    <w:rsid w:val="54AE60C6"/>
    <w:rsid w:val="552A0C96"/>
    <w:rsid w:val="55BB16B6"/>
    <w:rsid w:val="55C3156A"/>
    <w:rsid w:val="560A4CB8"/>
    <w:rsid w:val="5623267F"/>
    <w:rsid w:val="56E2048C"/>
    <w:rsid w:val="5782183A"/>
    <w:rsid w:val="57BD355E"/>
    <w:rsid w:val="581B0298"/>
    <w:rsid w:val="587600DE"/>
    <w:rsid w:val="58D21C48"/>
    <w:rsid w:val="59172716"/>
    <w:rsid w:val="59886B03"/>
    <w:rsid w:val="5B0320E2"/>
    <w:rsid w:val="5B8B11A7"/>
    <w:rsid w:val="5B9E2EC4"/>
    <w:rsid w:val="5C7434FD"/>
    <w:rsid w:val="5CBF651E"/>
    <w:rsid w:val="5CD10D7E"/>
    <w:rsid w:val="5EC449F5"/>
    <w:rsid w:val="60002310"/>
    <w:rsid w:val="600645BB"/>
    <w:rsid w:val="60533A3D"/>
    <w:rsid w:val="608606DE"/>
    <w:rsid w:val="610E324A"/>
    <w:rsid w:val="6131441C"/>
    <w:rsid w:val="61F31EFD"/>
    <w:rsid w:val="63066BC7"/>
    <w:rsid w:val="63D0487B"/>
    <w:rsid w:val="64550EC5"/>
    <w:rsid w:val="64672037"/>
    <w:rsid w:val="64911DA0"/>
    <w:rsid w:val="650657F5"/>
    <w:rsid w:val="65945D8D"/>
    <w:rsid w:val="66B66D9B"/>
    <w:rsid w:val="66C35559"/>
    <w:rsid w:val="67692315"/>
    <w:rsid w:val="67D57489"/>
    <w:rsid w:val="68570F93"/>
    <w:rsid w:val="6936532B"/>
    <w:rsid w:val="6A287B5E"/>
    <w:rsid w:val="6B303A1A"/>
    <w:rsid w:val="6C704794"/>
    <w:rsid w:val="6D953167"/>
    <w:rsid w:val="6DA819BB"/>
    <w:rsid w:val="6DAA2FDF"/>
    <w:rsid w:val="6DF95579"/>
    <w:rsid w:val="6E121228"/>
    <w:rsid w:val="6E4B3731"/>
    <w:rsid w:val="70101595"/>
    <w:rsid w:val="70D1495F"/>
    <w:rsid w:val="70ED510D"/>
    <w:rsid w:val="70F47355"/>
    <w:rsid w:val="712F63C0"/>
    <w:rsid w:val="72190F11"/>
    <w:rsid w:val="72717CD1"/>
    <w:rsid w:val="727B2DB4"/>
    <w:rsid w:val="732C3097"/>
    <w:rsid w:val="743022D7"/>
    <w:rsid w:val="743E1546"/>
    <w:rsid w:val="74614F7E"/>
    <w:rsid w:val="74695E39"/>
    <w:rsid w:val="746A1E3C"/>
    <w:rsid w:val="74C043AF"/>
    <w:rsid w:val="754C6F3B"/>
    <w:rsid w:val="75B11AFF"/>
    <w:rsid w:val="75D32619"/>
    <w:rsid w:val="765A056E"/>
    <w:rsid w:val="768D126A"/>
    <w:rsid w:val="780B6A75"/>
    <w:rsid w:val="78503EE4"/>
    <w:rsid w:val="78C918CA"/>
    <w:rsid w:val="790C3269"/>
    <w:rsid w:val="79F83E18"/>
    <w:rsid w:val="7A2C1AAF"/>
    <w:rsid w:val="7A905722"/>
    <w:rsid w:val="7CED7DC5"/>
    <w:rsid w:val="7D0F76D8"/>
    <w:rsid w:val="7D7F33FD"/>
    <w:rsid w:val="7DB70B54"/>
    <w:rsid w:val="7DD41A95"/>
    <w:rsid w:val="7E3420E0"/>
    <w:rsid w:val="7F1B3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目录 21"/>
    <w:basedOn w:val="1"/>
    <w:next w:val="1"/>
    <w:qFormat/>
    <w:uiPriority w:val="0"/>
    <w:pPr>
      <w:spacing w:before="100" w:beforeAutospacing="1" w:after="100" w:afterAutospacing="1"/>
      <w:ind w:left="420" w:leftChars="200"/>
    </w:pPr>
  </w:style>
  <w:style w:type="paragraph" w:customStyle="1" w:styleId="16">
    <w:name w:val="正文首行缩进1"/>
    <w:basedOn w:val="1"/>
    <w:qFormat/>
    <w:uiPriority w:val="0"/>
    <w:pPr>
      <w:spacing w:line="360" w:lineRule="auto"/>
      <w:ind w:firstLine="200" w:firstLineChars="200"/>
    </w:pPr>
    <w:rPr>
      <w:kern w:val="2"/>
      <w:sz w:val="24"/>
      <w:szCs w:val="24"/>
    </w:rPr>
  </w:style>
  <w:style w:type="character" w:customStyle="1" w:styleId="17">
    <w:name w:val="font11"/>
    <w:basedOn w:val="1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2540</Words>
  <Characters>2841</Characters>
  <Lines>0</Lines>
  <Paragraphs>0</Paragraphs>
  <TotalTime>19</TotalTime>
  <ScaleCrop>false</ScaleCrop>
  <LinksUpToDate>false</LinksUpToDate>
  <CharactersWithSpaces>3021</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龙思妤</cp:lastModifiedBy>
  <cp:lastPrinted>2023-12-22T08:40:00Z</cp:lastPrinted>
  <dcterms:modified xsi:type="dcterms:W3CDTF">2026-07-02T03:33:45Z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49C723CD22774A6B89E1E856F222CEE5</vt:lpwstr>
  </property>
  <property fmtid="{D5CDD505-2E9C-101B-9397-08002B2CF9AE}" pid="4" name="KSOTemplateDocerSaveRecord">
    <vt:lpwstr>eyJoZGlkIjoiNGQxZGUyZmQ5MDU5MjhiNzUxNWY4N2Q0ZGU2Y2VhOTgiLCJ1c2VySWQiOiI3MDM5OTYzMzMifQ==</vt:lpwstr>
  </property>
</Properties>
</file>