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line="360" w:lineRule="auto"/>
        <w:jc w:val="left"/>
        <w:rPr>
          <w:rFonts w:asciiTheme="minorEastAsia" w:hAnsiTheme="minorEastAsia" w:eastAsiaTheme="minorEastAsia" w:cstheme="minorEastAsia"/>
          <w:b/>
          <w:bCs/>
          <w:snapToGrid w:val="0"/>
          <w:sz w:val="32"/>
          <w:szCs w:val="32"/>
        </w:rPr>
      </w:pPr>
      <w:bookmarkStart w:id="0" w:name="_Toc8445"/>
      <w:r>
        <w:rPr>
          <w:rFonts w:hint="eastAsia" w:asciiTheme="minorEastAsia" w:hAnsiTheme="minorEastAsia" w:eastAsiaTheme="minorEastAsia" w:cstheme="minorEastAsia"/>
          <w:b/>
          <w:bCs/>
          <w:snapToGrid w:val="0"/>
          <w:sz w:val="32"/>
          <w:szCs w:val="32"/>
        </w:rPr>
        <w:t>附件A.项目信息清单</w:t>
      </w:r>
      <w:r>
        <w:rPr>
          <w:rFonts w:hint="eastAsia" w:asciiTheme="minorEastAsia" w:hAnsiTheme="minorEastAsia" w:eastAsiaTheme="minorEastAsia" w:cstheme="minorEastAsia"/>
          <w:b/>
          <w:bCs/>
          <w:snapToGrid w:val="0"/>
          <w:sz w:val="28"/>
          <w:szCs w:val="28"/>
        </w:rPr>
        <w:t>（</w:t>
      </w:r>
      <w:r>
        <w:rPr>
          <w:rFonts w:hint="eastAsia" w:asciiTheme="minorEastAsia" w:hAnsiTheme="minorEastAsia" w:eastAsiaTheme="minorEastAsia" w:cstheme="minorEastAsia"/>
          <w:b/>
          <w:bCs/>
          <w:snapToGrid w:val="0"/>
          <w:color w:val="auto"/>
          <w:sz w:val="28"/>
          <w:szCs w:val="28"/>
          <w:u w:val="single"/>
        </w:rPr>
        <w:t>自主可控IGCT功率模块的控制板卡可靠性测评与寿命评估技术研究项目</w:t>
      </w:r>
      <w:r>
        <w:rPr>
          <w:rFonts w:hint="eastAsia" w:asciiTheme="minorEastAsia" w:hAnsiTheme="minorEastAsia" w:eastAsiaTheme="minorEastAsia" w:cstheme="minorEastAsia"/>
          <w:b/>
          <w:bCs/>
          <w:snapToGrid w:val="0"/>
          <w:sz w:val="28"/>
          <w:szCs w:val="28"/>
        </w:rPr>
        <w:t>）</w:t>
      </w:r>
    </w:p>
    <w:bookmarkEnd w:id="0"/>
    <w:p>
      <w:pPr>
        <w:pStyle w:val="10"/>
        <w:numPr>
          <w:ilvl w:val="0"/>
          <w:numId w:val="1"/>
        </w:numPr>
        <w:spacing w:line="360" w:lineRule="auto"/>
        <w:jc w:val="left"/>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napToGrid w:val="0"/>
          <w:sz w:val="28"/>
          <w:szCs w:val="28"/>
        </w:rPr>
        <w:t>项目信息</w:t>
      </w:r>
    </w:p>
    <w:p>
      <w:pPr>
        <w:pStyle w:val="10"/>
        <w:spacing w:line="360" w:lineRule="auto"/>
        <w:jc w:val="center"/>
        <w:rPr>
          <w:rFonts w:asciiTheme="minorEastAsia" w:hAnsiTheme="minorEastAsia" w:eastAsiaTheme="minorEastAsia" w:cstheme="minorEastAsia"/>
          <w:b/>
          <w:bCs/>
          <w:sz w:val="24"/>
          <w:szCs w:val="24"/>
        </w:rPr>
      </w:pPr>
      <w:r>
        <w:rPr>
          <w:rFonts w:hint="eastAsia" w:hAnsi="宋体" w:cs="宋体"/>
          <w:b/>
          <w:bCs/>
          <w:snapToGrid w:val="0"/>
          <w:sz w:val="24"/>
          <w:szCs w:val="24"/>
        </w:rPr>
        <w:t>招标前期资料</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3840"/>
        <w:gridCol w:w="5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exact"/>
          <w:jc w:val="center"/>
        </w:trPr>
        <w:tc>
          <w:tcPr>
            <w:tcW w:w="396" w:type="pct"/>
          </w:tcPr>
          <w:p>
            <w:pPr>
              <w:pStyle w:val="10"/>
              <w:spacing w:line="360" w:lineRule="auto"/>
              <w:jc w:val="center"/>
              <w:rPr>
                <w:rFonts w:asciiTheme="minorEastAsia" w:hAnsiTheme="minorEastAsia" w:eastAsiaTheme="minorEastAsia" w:cstheme="minorEastAsia"/>
                <w:snapToGrid w:val="0"/>
                <w:sz w:val="24"/>
                <w:szCs w:val="24"/>
              </w:rPr>
            </w:pPr>
            <w:r>
              <w:rPr>
                <w:rFonts w:hint="eastAsia" w:hAnsi="宋体" w:cs="宋体"/>
                <w:b/>
                <w:bCs/>
                <w:snapToGrid w:val="0"/>
                <w:sz w:val="24"/>
                <w:szCs w:val="24"/>
              </w:rPr>
              <w:t>序号</w:t>
            </w:r>
          </w:p>
        </w:tc>
        <w:tc>
          <w:tcPr>
            <w:tcW w:w="1927" w:type="pct"/>
          </w:tcPr>
          <w:p>
            <w:pPr>
              <w:pStyle w:val="10"/>
              <w:spacing w:line="360" w:lineRule="auto"/>
              <w:jc w:val="center"/>
              <w:rPr>
                <w:rFonts w:asciiTheme="minorEastAsia" w:hAnsiTheme="minorEastAsia" w:eastAsiaTheme="minorEastAsia" w:cstheme="minorEastAsia"/>
                <w:snapToGrid w:val="0"/>
                <w:sz w:val="24"/>
                <w:szCs w:val="24"/>
              </w:rPr>
            </w:pPr>
            <w:r>
              <w:rPr>
                <w:rFonts w:hint="eastAsia" w:hAnsi="宋体" w:cs="宋体"/>
                <w:b/>
                <w:bCs/>
                <w:snapToGrid w:val="0"/>
                <w:sz w:val="24"/>
                <w:szCs w:val="24"/>
              </w:rPr>
              <w:t>文件名称</w:t>
            </w:r>
          </w:p>
        </w:tc>
        <w:tc>
          <w:tcPr>
            <w:tcW w:w="2676" w:type="pct"/>
          </w:tcPr>
          <w:p>
            <w:pPr>
              <w:pStyle w:val="10"/>
              <w:spacing w:line="360" w:lineRule="auto"/>
              <w:jc w:val="center"/>
              <w:rPr>
                <w:rFonts w:asciiTheme="minorEastAsia" w:hAnsiTheme="minorEastAsia" w:eastAsiaTheme="minorEastAsia" w:cstheme="minorEastAsia"/>
                <w:snapToGrid w:val="0"/>
                <w:sz w:val="24"/>
                <w:szCs w:val="24"/>
              </w:rPr>
            </w:pPr>
            <w:r>
              <w:rPr>
                <w:rFonts w:hint="eastAsia" w:hAnsi="宋体" w:cs="宋体"/>
                <w:b/>
                <w:bCs/>
                <w:snapToGrid w:val="0"/>
                <w:sz w:val="24"/>
                <w:szCs w:val="24"/>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exact"/>
          <w:jc w:val="center"/>
        </w:trPr>
        <w:tc>
          <w:tcPr>
            <w:tcW w:w="396"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1</w:t>
            </w:r>
          </w:p>
        </w:tc>
        <w:tc>
          <w:tcPr>
            <w:tcW w:w="1927"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项目立项(可研批复)文号</w:t>
            </w:r>
          </w:p>
        </w:tc>
        <w:tc>
          <w:tcPr>
            <w:tcW w:w="2676"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广供电基〔2024〕66号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exact"/>
          <w:jc w:val="center"/>
        </w:trPr>
        <w:tc>
          <w:tcPr>
            <w:tcW w:w="396"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2</w:t>
            </w:r>
          </w:p>
        </w:tc>
        <w:tc>
          <w:tcPr>
            <w:tcW w:w="1927"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资金落实情况</w:t>
            </w:r>
          </w:p>
        </w:tc>
        <w:tc>
          <w:tcPr>
            <w:tcW w:w="2676" w:type="pct"/>
            <w:vAlign w:val="center"/>
          </w:tcPr>
          <w:p>
            <w:pPr>
              <w:pStyle w:val="10"/>
              <w:spacing w:line="480" w:lineRule="exact"/>
              <w:jc w:val="center"/>
              <w:rPr>
                <w:rFonts w:hint="eastAsia"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广供电资〔2024〕28号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96"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3</w:t>
            </w:r>
          </w:p>
        </w:tc>
        <w:tc>
          <w:tcPr>
            <w:tcW w:w="1927"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项目建设单位</w:t>
            </w:r>
          </w:p>
        </w:tc>
        <w:tc>
          <w:tcPr>
            <w:tcW w:w="2676"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396"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4</w:t>
            </w:r>
          </w:p>
        </w:tc>
        <w:tc>
          <w:tcPr>
            <w:tcW w:w="1927"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项目建设地点</w:t>
            </w:r>
          </w:p>
        </w:tc>
        <w:tc>
          <w:tcPr>
            <w:tcW w:w="2676"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广州市天河区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exact"/>
          <w:jc w:val="center"/>
        </w:trPr>
        <w:tc>
          <w:tcPr>
            <w:tcW w:w="396" w:type="pct"/>
            <w:vAlign w:val="center"/>
          </w:tcPr>
          <w:p>
            <w:pPr>
              <w:pStyle w:val="10"/>
              <w:spacing w:line="480" w:lineRule="exact"/>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5</w:t>
            </w:r>
          </w:p>
        </w:tc>
        <w:tc>
          <w:tcPr>
            <w:tcW w:w="1927" w:type="pct"/>
            <w:vAlign w:val="center"/>
          </w:tcPr>
          <w:p>
            <w:pPr>
              <w:pStyle w:val="10"/>
              <w:snapToGrid w:val="0"/>
              <w:jc w:val="center"/>
              <w:rPr>
                <w:rFonts w:asciiTheme="minorEastAsia" w:hAnsiTheme="minorEastAsia" w:eastAsiaTheme="minorEastAsia" w:cstheme="minorEastAsia"/>
                <w:snapToGrid w:val="0"/>
                <w:sz w:val="24"/>
                <w:szCs w:val="24"/>
              </w:rPr>
            </w:pPr>
            <w:r>
              <w:rPr>
                <w:rFonts w:hint="eastAsia" w:asciiTheme="minorEastAsia" w:hAnsiTheme="minorEastAsia" w:eastAsiaTheme="minorEastAsia" w:cstheme="minorEastAsia"/>
                <w:snapToGrid w:val="0"/>
                <w:sz w:val="24"/>
                <w:szCs w:val="24"/>
              </w:rPr>
              <w:t>服务期/框架有效期</w:t>
            </w:r>
          </w:p>
        </w:tc>
        <w:tc>
          <w:tcPr>
            <w:tcW w:w="2676" w:type="pct"/>
            <w:vAlign w:val="center"/>
          </w:tcPr>
          <w:p>
            <w:pPr>
              <w:pStyle w:val="10"/>
              <w:snapToGrid w:val="0"/>
              <w:jc w:val="center"/>
              <w:rPr>
                <w:rFonts w:hAnsi="宋体" w:cs="宋体"/>
                <w:bCs/>
                <w:sz w:val="21"/>
                <w:szCs w:val="21"/>
              </w:rPr>
            </w:pPr>
            <w:r>
              <w:rPr>
                <w:rFonts w:hint="eastAsia" w:asciiTheme="minorEastAsia" w:hAnsiTheme="minorEastAsia" w:eastAsiaTheme="minorEastAsia" w:cstheme="minorEastAsia"/>
                <w:snapToGrid w:val="0"/>
                <w:color w:val="auto"/>
                <w:sz w:val="24"/>
                <w:szCs w:val="24"/>
                <w:highlight w:val="none"/>
                <w:u w:val="single"/>
              </w:rPr>
              <w:t>合同签订之日起至</w:t>
            </w:r>
            <w:r>
              <w:rPr>
                <w:rFonts w:hint="eastAsia" w:asciiTheme="minorEastAsia" w:hAnsiTheme="minorEastAsia" w:eastAsiaTheme="minorEastAsia" w:cstheme="minorEastAsia"/>
                <w:snapToGrid w:val="0"/>
                <w:color w:val="auto"/>
                <w:sz w:val="24"/>
                <w:szCs w:val="24"/>
                <w:highlight w:val="none"/>
                <w:u w:val="single"/>
                <w:lang w:val="en-US" w:eastAsia="zh-CN"/>
              </w:rPr>
              <w:t>2027</w:t>
            </w:r>
            <w:r>
              <w:rPr>
                <w:rFonts w:hint="eastAsia" w:asciiTheme="minorEastAsia" w:hAnsiTheme="minorEastAsia" w:eastAsiaTheme="minorEastAsia" w:cstheme="minorEastAsia"/>
                <w:snapToGrid w:val="0"/>
                <w:color w:val="auto"/>
                <w:sz w:val="24"/>
                <w:szCs w:val="24"/>
                <w:highlight w:val="none"/>
                <w:u w:val="single"/>
              </w:rPr>
              <w:t>年</w:t>
            </w:r>
            <w:r>
              <w:rPr>
                <w:rFonts w:hint="eastAsia" w:asciiTheme="minorEastAsia" w:hAnsiTheme="minorEastAsia" w:eastAsiaTheme="minorEastAsia" w:cstheme="minorEastAsia"/>
                <w:snapToGrid w:val="0"/>
                <w:color w:val="auto"/>
                <w:sz w:val="24"/>
                <w:szCs w:val="24"/>
                <w:highlight w:val="none"/>
                <w:u w:val="single"/>
                <w:lang w:val="en-US" w:eastAsia="zh-CN"/>
              </w:rPr>
              <w:t>12</w:t>
            </w:r>
            <w:r>
              <w:rPr>
                <w:rFonts w:hint="eastAsia" w:asciiTheme="minorEastAsia" w:hAnsiTheme="minorEastAsia" w:eastAsiaTheme="minorEastAsia" w:cstheme="minorEastAsia"/>
                <w:snapToGrid w:val="0"/>
                <w:color w:val="auto"/>
                <w:sz w:val="24"/>
                <w:szCs w:val="24"/>
                <w:highlight w:val="none"/>
                <w:u w:val="single"/>
              </w:rPr>
              <w:t>月</w:t>
            </w:r>
            <w:r>
              <w:rPr>
                <w:rFonts w:hint="eastAsia" w:asciiTheme="minorEastAsia" w:hAnsiTheme="minorEastAsia" w:eastAsiaTheme="minorEastAsia" w:cstheme="minorEastAsia"/>
                <w:snapToGrid w:val="0"/>
                <w:color w:val="auto"/>
                <w:sz w:val="24"/>
                <w:szCs w:val="24"/>
                <w:highlight w:val="none"/>
                <w:u w:val="single"/>
                <w:lang w:val="en-US" w:eastAsia="zh-CN"/>
              </w:rPr>
              <w:t>30</w:t>
            </w:r>
            <w:r>
              <w:rPr>
                <w:rFonts w:hint="eastAsia" w:asciiTheme="minorEastAsia" w:hAnsiTheme="minorEastAsia" w:eastAsiaTheme="minorEastAsia" w:cstheme="minorEastAsia"/>
                <w:snapToGrid w:val="0"/>
                <w:color w:val="auto"/>
                <w:sz w:val="24"/>
                <w:szCs w:val="24"/>
                <w:highlight w:val="none"/>
                <w:u w:val="single"/>
              </w:rPr>
              <w:t>日。</w:t>
            </w:r>
          </w:p>
        </w:tc>
      </w:tr>
    </w:tbl>
    <w:p>
      <w:pPr>
        <w:spacing w:before="156" w:beforeLines="50" w:after="156" w:afterLines="50" w:line="48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1.直流部分：</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直流输电容量：1×700MW+3×450MW，直流额定电压±120kV；</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直流主接线方式：直流侧采用对称单极接线,每一端直流母线处设置直流高速并列开关(HSS)、隔离开关；</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换流变配置：三相双绕组(带平衡绕组)变压器，(1+1)×770MVA、3×495MVA，强油循环水冷方式；</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启动电阻采用单相，共12台，每台电阻5000Ω；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桥臂电抗器采用干式(对应 770MVA 换流变共6+1台、每台24mH，对应495MVA换流变共18+1台、每台37mH)；</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2.交流部分：</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交流采用双母线双分段接线。220kV交流配电装置采用户内GIS母线经启动回路与换流变压器相连；</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交流220kV母线侧电气设备短路电流水平按50kA考虑。</w:t>
      </w:r>
    </w:p>
    <w:p>
      <w:pPr>
        <w:spacing w:before="156" w:beforeLines="50" w:after="156" w:afterLines="50" w:line="480" w:lineRule="auto"/>
        <w:rPr>
          <w:rFonts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sz w:val="24"/>
          <w:szCs w:val="24"/>
        </w:rPr>
        <w:t>二、采购范围</w:t>
      </w:r>
    </w:p>
    <w:p>
      <w:pPr>
        <w:keepNext w:val="0"/>
        <w:keepLines w:val="0"/>
        <w:pageBreakBefore w:val="0"/>
        <w:widowControl w:val="0"/>
        <w:kinsoku/>
        <w:wordWrap/>
        <w:overflowPunct/>
        <w:topLinePunct w:val="0"/>
        <w:autoSpaceDE/>
        <w:autoSpaceDN/>
        <w:bidi w:val="0"/>
        <w:adjustRightInd/>
        <w:snapToGrid/>
        <w:spacing w:before="156" w:beforeLines="50" w:after="156" w:afterLines="50" w:line="480" w:lineRule="auto"/>
        <w:textAlignment w:val="auto"/>
        <w:rPr>
          <w:rFonts w:asciiTheme="minorEastAsia" w:hAnsiTheme="minorEastAsia" w:eastAsiaTheme="minorEastAsia" w:cstheme="minorEastAsia"/>
          <w:bCs/>
          <w:color w:val="auto"/>
          <w:sz w:val="24"/>
          <w:szCs w:val="24"/>
          <w:u w:val="single"/>
        </w:rPr>
      </w:pPr>
      <w:r>
        <w:rPr>
          <w:rFonts w:hint="eastAsia" w:asciiTheme="minorEastAsia" w:hAnsiTheme="minorEastAsia" w:eastAsiaTheme="minorEastAsia" w:cstheme="minorEastAsia"/>
          <w:bCs/>
          <w:kern w:val="2"/>
          <w:sz w:val="24"/>
          <w:szCs w:val="24"/>
          <w:highlight w:val="none"/>
          <w:u w:val="none"/>
        </w:rPr>
        <w:t></w:t>
      </w:r>
      <w:r>
        <w:rPr>
          <w:rFonts w:hint="eastAsia" w:asciiTheme="minorEastAsia" w:hAnsiTheme="minorEastAsia" w:eastAsiaTheme="minorEastAsia" w:cstheme="minorEastAsia"/>
          <w:bCs/>
          <w:color w:val="auto"/>
          <w:kern w:val="2"/>
          <w:sz w:val="24"/>
          <w:szCs w:val="24"/>
          <w:highlight w:val="none"/>
          <w:u w:val="none"/>
        </w:rPr>
        <w:t></w:t>
      </w:r>
      <w:r>
        <w:rPr>
          <w:rFonts w:hint="eastAsia" w:asciiTheme="minorEastAsia" w:hAnsiTheme="minorEastAsia" w:eastAsiaTheme="minorEastAsia" w:cstheme="minorEastAsia"/>
          <w:bCs/>
          <w:color w:val="auto"/>
          <w:kern w:val="2"/>
          <w:sz w:val="24"/>
          <w:szCs w:val="24"/>
          <w:highlight w:val="none"/>
          <w:u w:val="single"/>
        </w:rPr>
        <w:t>1</w:t>
      </w:r>
      <w:r>
        <w:rPr>
          <w:rFonts w:hint="eastAsia" w:asciiTheme="minorEastAsia" w:hAnsiTheme="minorEastAsia" w:eastAsiaTheme="minorEastAsia" w:cstheme="minorEastAsia"/>
          <w:bCs/>
          <w:color w:val="auto"/>
          <w:sz w:val="24"/>
          <w:szCs w:val="24"/>
          <w:u w:val="single"/>
        </w:rPr>
        <w:t>.</w:t>
      </w:r>
      <w:r>
        <w:rPr>
          <w:rFonts w:hint="eastAsia" w:asciiTheme="minorEastAsia" w:hAnsiTheme="minorEastAsia" w:eastAsiaTheme="minorEastAsia" w:cstheme="minorEastAsia"/>
          <w:bCs/>
          <w:color w:val="auto"/>
          <w:sz w:val="24"/>
          <w:szCs w:val="24"/>
          <w:u w:val="single"/>
          <w:lang w:val="en-US" w:eastAsia="zh-CN"/>
        </w:rPr>
        <w:t>开展自主可控IGCT功率模块的控制板卡可靠性测评与寿命评估技术研究</w:t>
      </w:r>
      <w:r>
        <w:rPr>
          <w:rFonts w:hint="eastAsia" w:asciiTheme="minorEastAsia" w:hAnsiTheme="minorEastAsia" w:eastAsiaTheme="minorEastAsia" w:cstheme="minorEastAsia"/>
          <w:bCs/>
          <w:color w:val="auto"/>
          <w:sz w:val="24"/>
          <w:szCs w:val="24"/>
          <w:u w:val="single"/>
        </w:rPr>
        <w:t>，本项目聚焦自主可控IGCT-MMC功率模块的控制板卡在柔性直流输电场景下的可靠性与寿命管控痛点</w:t>
      </w:r>
      <w:r>
        <w:rPr>
          <w:rFonts w:hint="eastAsia" w:asciiTheme="minorEastAsia" w:hAnsiTheme="minorEastAsia" w:eastAsiaTheme="minorEastAsia" w:cstheme="minorEastAsia"/>
          <w:bCs/>
          <w:color w:val="auto"/>
          <w:sz w:val="24"/>
          <w:szCs w:val="24"/>
          <w:u w:val="single"/>
          <w:lang w:val="en-US" w:eastAsia="zh-CN"/>
        </w:rPr>
        <w:t>，一是针对自主可控IGCT控制板卡进行可靠性设计分析研究，明确控制板卡可靠性薄弱环节及高风险点，二是开展控制板卡典型失效模式、失效机理的分析工作，形成关键元器件可靠性评估方法，三是基于关键板卡在设计与制造方面的可靠性风险，形成关键板卡的可靠性测试与试验方法，四是依据产品寿命风险及典型退化机理，确定典型寿命件，研究形成基于寿命件的控制板卡寿命评估方法，五是以失效机理为核心、风险识别为手段，构建贯穿产品全生命周期的可靠性协同评估体系，六是开展IGCT-MMC功率模块的控制板卡供应链安全评估。交付物</w:t>
      </w:r>
      <w:r>
        <w:rPr>
          <w:rFonts w:hint="eastAsia" w:asciiTheme="minorEastAsia" w:hAnsiTheme="minorEastAsia" w:eastAsiaTheme="minorEastAsia" w:cstheme="minorEastAsia"/>
          <w:bCs/>
          <w:color w:val="auto"/>
          <w:sz w:val="24"/>
          <w:szCs w:val="24"/>
          <w:u w:val="single"/>
        </w:rPr>
        <w:t>包括但不限于：</w:t>
      </w:r>
      <w:r>
        <w:rPr>
          <w:rFonts w:hint="eastAsia" w:asciiTheme="minorEastAsia" w:hAnsiTheme="minorEastAsia" w:eastAsiaTheme="minorEastAsia" w:cstheme="minorEastAsia"/>
          <w:bCs/>
          <w:color w:val="auto"/>
          <w:sz w:val="24"/>
          <w:szCs w:val="24"/>
          <w:u w:val="single"/>
          <w:lang w:val="en-US" w:eastAsia="zh-CN"/>
        </w:rPr>
        <w:t>相关</w:t>
      </w:r>
      <w:r>
        <w:rPr>
          <w:rFonts w:hint="eastAsia" w:asciiTheme="minorEastAsia" w:hAnsiTheme="minorEastAsia" w:eastAsiaTheme="minorEastAsia" w:cstheme="minorEastAsia"/>
          <w:bCs/>
          <w:color w:val="auto"/>
          <w:sz w:val="24"/>
          <w:szCs w:val="24"/>
          <w:u w:val="single"/>
        </w:rPr>
        <w:t>研究报告、</w:t>
      </w:r>
      <w:r>
        <w:rPr>
          <w:rFonts w:hint="eastAsia" w:asciiTheme="minorEastAsia" w:hAnsiTheme="minorEastAsia" w:eastAsiaTheme="minorEastAsia" w:cstheme="minorEastAsia"/>
          <w:bCs/>
          <w:color w:val="auto"/>
          <w:sz w:val="24"/>
          <w:szCs w:val="24"/>
          <w:u w:val="single"/>
          <w:lang w:val="en-US" w:eastAsia="zh-CN"/>
        </w:rPr>
        <w:t>团体标准草稿</w:t>
      </w:r>
      <w:r>
        <w:rPr>
          <w:rFonts w:hint="eastAsia" w:asciiTheme="minorEastAsia" w:hAnsiTheme="minorEastAsia" w:eastAsiaTheme="minorEastAsia" w:cstheme="minorEastAsia"/>
          <w:bCs/>
          <w:color w:val="auto"/>
          <w:sz w:val="24"/>
          <w:szCs w:val="24"/>
          <w:u w:val="single"/>
        </w:rPr>
        <w:t>、专利申请及论文撰写的协助</w:t>
      </w:r>
      <w:r>
        <w:rPr>
          <w:rFonts w:hint="eastAsia" w:asciiTheme="minorEastAsia" w:hAnsiTheme="minorEastAsia" w:eastAsiaTheme="minorEastAsia" w:cstheme="minorEastAsia"/>
          <w:bCs/>
          <w:color w:val="auto"/>
          <w:sz w:val="24"/>
          <w:szCs w:val="24"/>
          <w:u w:val="single"/>
          <w:lang w:eastAsia="zh-CN"/>
        </w:rPr>
        <w:t>。</w:t>
      </w:r>
      <w:r>
        <w:rPr>
          <w:rFonts w:hint="eastAsia" w:asciiTheme="minorEastAsia" w:hAnsiTheme="minorEastAsia" w:eastAsiaTheme="minorEastAsia" w:cstheme="minorEastAsia"/>
          <w:bCs/>
          <w:color w:val="auto"/>
          <w:sz w:val="24"/>
          <w:szCs w:val="24"/>
          <w:u w:val="single"/>
          <w:lang w:val="en-US" w:eastAsia="zh-CN"/>
        </w:rPr>
        <w:t>具体采购交付物以技术规范书描述为准</w:t>
      </w:r>
      <w:r>
        <w:rPr>
          <w:rFonts w:hint="eastAsia" w:asciiTheme="minorEastAsia" w:hAnsiTheme="minorEastAsia" w:eastAsiaTheme="minorEastAsia" w:cstheme="minorEastAsia"/>
          <w:bCs/>
          <w:color w:val="auto"/>
          <w:sz w:val="24"/>
          <w:szCs w:val="24"/>
          <w:u w:val="single"/>
        </w:rPr>
        <w:t>。</w:t>
      </w:r>
    </w:p>
    <w:p>
      <w:pPr>
        <w:pStyle w:val="4"/>
        <w:numPr>
          <w:ilvl w:val="0"/>
          <w:numId w:val="2"/>
        </w:numPr>
        <w:spacing w:line="360" w:lineRule="auto"/>
        <w:rPr>
          <w:rFonts w:asciiTheme="minorEastAsia" w:hAnsiTheme="minorEastAsia" w:eastAsiaTheme="minorEastAsia" w:cstheme="minorEastAsia"/>
          <w:bCs/>
          <w:i w:val="0"/>
          <w:color w:val="auto"/>
          <w:sz w:val="24"/>
          <w:szCs w:val="24"/>
        </w:rPr>
      </w:pPr>
      <w:r>
        <w:rPr>
          <w:rFonts w:hint="eastAsia" w:asciiTheme="minorEastAsia" w:hAnsiTheme="minorEastAsia" w:eastAsiaTheme="minorEastAsia" w:cstheme="minorEastAsia"/>
          <w:bCs/>
          <w:i w:val="0"/>
          <w:color w:val="auto"/>
          <w:sz w:val="24"/>
          <w:szCs w:val="24"/>
        </w:rPr>
        <w:t>报价表及报价要求</w:t>
      </w:r>
    </w:p>
    <w:p/>
    <w:tbl>
      <w:tblPr>
        <w:tblStyle w:val="14"/>
        <w:tblpPr w:leftFromText="180" w:rightFromText="180" w:vertAnchor="text" w:horzAnchor="page" w:tblpX="1393" w:tblpY="93"/>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3063"/>
        <w:gridCol w:w="1817"/>
        <w:gridCol w:w="1461"/>
        <w:gridCol w:w="1638"/>
        <w:gridCol w:w="1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9" w:hRule="atLeast"/>
          <w:jc w:val="center"/>
        </w:trPr>
        <w:tc>
          <w:tcPr>
            <w:tcW w:w="626" w:type="dxa"/>
            <w:tcBorders>
              <w:bottom w:val="single" w:color="auto" w:sz="4" w:space="0"/>
            </w:tcBorders>
            <w:noWrap w:val="0"/>
            <w:vAlign w:val="center"/>
          </w:tcPr>
          <w:p>
            <w:pPr>
              <w:tabs>
                <w:tab w:val="left" w:pos="900"/>
              </w:tabs>
              <w:snapToGrid w:val="0"/>
              <w:ind w:right="-2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063" w:type="dxa"/>
            <w:tcBorders>
              <w:bottom w:val="single" w:color="auto" w:sz="4" w:space="0"/>
            </w:tcBorders>
            <w:noWrap w:val="0"/>
            <w:vAlign w:val="center"/>
          </w:tcPr>
          <w:p>
            <w:pPr>
              <w:tabs>
                <w:tab w:val="left" w:pos="900"/>
              </w:tabs>
              <w:snapToGrid w:val="0"/>
              <w:ind w:left="282" w:right="-2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名称</w:t>
            </w:r>
          </w:p>
        </w:tc>
        <w:tc>
          <w:tcPr>
            <w:tcW w:w="1817" w:type="dxa"/>
            <w:noWrap w:val="0"/>
            <w:vAlign w:val="top"/>
          </w:tcPr>
          <w:p>
            <w:pPr>
              <w:tabs>
                <w:tab w:val="left" w:pos="900"/>
              </w:tabs>
              <w:snapToGrid w:val="0"/>
              <w:spacing w:before="120" w:after="120"/>
              <w:ind w:right="-2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w:t>
            </w:r>
          </w:p>
          <w:p>
            <w:pPr>
              <w:tabs>
                <w:tab w:val="left" w:pos="900"/>
              </w:tabs>
              <w:snapToGrid w:val="0"/>
              <w:spacing w:before="120" w:after="120"/>
              <w:ind w:right="-2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w:t>
            </w:r>
          </w:p>
        </w:tc>
        <w:tc>
          <w:tcPr>
            <w:tcW w:w="1461" w:type="dxa"/>
            <w:tcBorders>
              <w:bottom w:val="single" w:color="auto" w:sz="4" w:space="0"/>
            </w:tcBorders>
            <w:noWrap w:val="0"/>
            <w:vAlign w:val="center"/>
          </w:tcPr>
          <w:p>
            <w:pPr>
              <w:tabs>
                <w:tab w:val="left" w:pos="900"/>
              </w:tabs>
              <w:snapToGrid w:val="0"/>
              <w:spacing w:before="120" w:after="120"/>
              <w:ind w:right="-24"/>
              <w:jc w:val="center"/>
              <w:rPr>
                <w:rFonts w:hint="eastAsia" w:ascii="宋体" w:hAnsi="宋体" w:eastAsia="宋体" w:cs="宋体"/>
                <w:b/>
                <w:color w:val="auto"/>
                <w:sz w:val="21"/>
                <w:szCs w:val="21"/>
                <w:highlight w:val="none"/>
                <w:lang w:eastAsia="zh-CN"/>
              </w:rPr>
            </w:pPr>
            <w:r>
              <w:rPr>
                <w:rFonts w:hint="eastAsia" w:ascii="宋体" w:hAnsi="宋体" w:eastAsia="宋体" w:cs="宋体"/>
                <w:b w:val="0"/>
                <w:bCs/>
                <w:color w:val="auto"/>
                <w:sz w:val="21"/>
                <w:szCs w:val="21"/>
                <w:highlight w:val="none"/>
              </w:rPr>
              <w:t>投标下浮率</w:t>
            </w:r>
          </w:p>
        </w:tc>
        <w:tc>
          <w:tcPr>
            <w:tcW w:w="1638" w:type="dxa"/>
            <w:tcBorders>
              <w:bottom w:val="single" w:color="auto" w:sz="4" w:space="0"/>
            </w:tcBorders>
            <w:noWrap w:val="0"/>
            <w:vAlign w:val="top"/>
          </w:tcPr>
          <w:p>
            <w:pPr>
              <w:tabs>
                <w:tab w:val="left" w:pos="900"/>
              </w:tabs>
              <w:snapToGrid w:val="0"/>
              <w:spacing w:before="120" w:after="120"/>
              <w:ind w:right="-24"/>
              <w:jc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投标报价</w:t>
            </w:r>
          </w:p>
          <w:p>
            <w:pPr>
              <w:tabs>
                <w:tab w:val="left" w:pos="900"/>
              </w:tabs>
              <w:snapToGrid w:val="0"/>
              <w:spacing w:before="120" w:after="120"/>
              <w:ind w:right="-2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w:t>
            </w:r>
          </w:p>
        </w:tc>
        <w:tc>
          <w:tcPr>
            <w:tcW w:w="1357" w:type="dxa"/>
            <w:tcBorders>
              <w:bottom w:val="single" w:color="auto" w:sz="4" w:space="0"/>
            </w:tcBorders>
            <w:noWrap w:val="0"/>
            <w:vAlign w:val="center"/>
          </w:tcPr>
          <w:p>
            <w:pPr>
              <w:tabs>
                <w:tab w:val="left" w:pos="900"/>
              </w:tabs>
              <w:snapToGrid w:val="0"/>
              <w:spacing w:before="120" w:after="120"/>
              <w:ind w:right="-2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jc w:val="center"/>
        </w:trPr>
        <w:tc>
          <w:tcPr>
            <w:tcW w:w="626" w:type="dxa"/>
            <w:tcBorders>
              <w:top w:val="single" w:color="auto" w:sz="4" w:space="0"/>
              <w:bottom w:val="single" w:color="auto" w:sz="4" w:space="0"/>
            </w:tcBorders>
            <w:noWrap w:val="0"/>
            <w:vAlign w:val="center"/>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3063" w:type="dxa"/>
            <w:tcBorders>
              <w:top w:val="single" w:color="auto" w:sz="4" w:space="0"/>
              <w:bottom w:val="single" w:color="auto" w:sz="4" w:space="0"/>
            </w:tcBorders>
            <w:noWrap w:val="0"/>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自主可控IGCT功率模块的控制板卡可靠性测评与寿命评估技术研究项目</w:t>
            </w:r>
          </w:p>
        </w:tc>
        <w:tc>
          <w:tcPr>
            <w:tcW w:w="1817" w:type="dxa"/>
            <w:noWrap w:val="0"/>
            <w:vAlign w:val="center"/>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3030000.00</w:t>
            </w:r>
          </w:p>
        </w:tc>
        <w:tc>
          <w:tcPr>
            <w:tcW w:w="1461" w:type="dxa"/>
            <w:tcBorders>
              <w:top w:val="single" w:color="auto" w:sz="4" w:space="0"/>
            </w:tcBorders>
            <w:noWrap w:val="0"/>
            <w:vAlign w:val="center"/>
          </w:tcPr>
          <w:p>
            <w:pPr>
              <w:tabs>
                <w:tab w:val="left" w:pos="900"/>
              </w:tabs>
              <w:snapToGrid w:val="0"/>
              <w:spacing w:before="60" w:after="120"/>
              <w:ind w:right="-24"/>
              <w:jc w:val="center"/>
              <w:rPr>
                <w:rFonts w:hint="eastAsia" w:ascii="宋体" w:hAnsi="宋体" w:eastAsia="宋体" w:cs="宋体"/>
                <w:sz w:val="24"/>
                <w:szCs w:val="24"/>
                <w:lang w:val="en-US" w:eastAsia="zh-CN"/>
              </w:rPr>
            </w:pP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w:t>
            </w:r>
          </w:p>
        </w:tc>
        <w:tc>
          <w:tcPr>
            <w:tcW w:w="1638"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hint="eastAsia" w:ascii="宋体" w:hAnsi="宋体" w:eastAsia="宋体" w:cs="宋体"/>
                <w:sz w:val="24"/>
                <w:szCs w:val="24"/>
              </w:rPr>
            </w:pPr>
          </w:p>
        </w:tc>
        <w:tc>
          <w:tcPr>
            <w:tcW w:w="1357" w:type="dxa"/>
            <w:tcBorders>
              <w:top w:val="single" w:color="auto" w:sz="4" w:space="0"/>
              <w:bottom w:val="single" w:color="auto" w:sz="4" w:space="0"/>
            </w:tcBorders>
            <w:noWrap w:val="0"/>
            <w:vAlign w:val="center"/>
          </w:tcPr>
          <w:p>
            <w:pPr>
              <w:tabs>
                <w:tab w:val="left" w:pos="900"/>
              </w:tabs>
              <w:snapToGrid w:val="0"/>
              <w:spacing w:before="60" w:after="120"/>
              <w:ind w:right="-24"/>
              <w:jc w:val="center"/>
              <w:rPr>
                <w:rFonts w:hint="eastAsia" w:ascii="宋体" w:hAnsi="宋体" w:eastAsia="宋体" w:cs="宋体"/>
                <w:color w:val="auto"/>
                <w:sz w:val="21"/>
                <w:szCs w:val="21"/>
                <w:highlight w:val="none"/>
              </w:rPr>
            </w:pPr>
          </w:p>
        </w:tc>
      </w:tr>
    </w:tbl>
    <w:p>
      <w:pPr>
        <w:pStyle w:val="7"/>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sz w:val="24"/>
          <w:szCs w:val="24"/>
        </w:rPr>
      </w:pPr>
      <w:bookmarkStart w:id="1" w:name="_GoBack"/>
      <w:r>
        <w:rPr>
          <w:rFonts w:hint="eastAsia" w:ascii="宋体" w:hAnsi="宋体" w:cs="宋体"/>
          <w:b w:val="0"/>
          <w:bCs w:val="0"/>
          <w:sz w:val="24"/>
          <w:szCs w:val="24"/>
        </w:rPr>
        <w:t>报价要求：</w:t>
      </w:r>
    </w:p>
    <w:p>
      <w:pPr>
        <w:pStyle w:val="7"/>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val="0"/>
          <w:color w:val="auto"/>
          <w:kern w:val="2"/>
          <w:sz w:val="24"/>
          <w:szCs w:val="24"/>
          <w:u w:val="single"/>
        </w:rPr>
      </w:pPr>
      <w:r>
        <w:rPr>
          <w:rFonts w:hint="eastAsia" w:ascii="宋体" w:hAnsi="宋体" w:eastAsia="宋体" w:cs="宋体"/>
          <w:b w:val="0"/>
          <w:bCs w:val="0"/>
          <w:color w:val="auto"/>
          <w:kern w:val="2"/>
          <w:sz w:val="24"/>
          <w:szCs w:val="24"/>
          <w:u w:val="single"/>
        </w:rPr>
        <w:t>1.按固定金额报价，同时填报投标下浮率。投标下浮率＝[1－(投标报价/最高投标限价）</w:t>
      </w:r>
      <w:r>
        <w:rPr>
          <w:rFonts w:hint="eastAsia" w:ascii="宋体" w:hAnsi="宋体" w:cs="宋体"/>
          <w:b w:val="0"/>
          <w:bCs w:val="0"/>
          <w:color w:val="auto"/>
          <w:kern w:val="2"/>
          <w:sz w:val="24"/>
          <w:szCs w:val="24"/>
          <w:u w:val="single"/>
          <w:lang w:val="en-US" w:eastAsia="zh-CN"/>
        </w:rPr>
        <w:t>]</w:t>
      </w:r>
      <w:r>
        <w:rPr>
          <w:rFonts w:hint="eastAsia" w:ascii="宋体" w:hAnsi="宋体" w:eastAsia="宋体" w:cs="宋体"/>
          <w:b w:val="0"/>
          <w:bCs w:val="0"/>
          <w:color w:val="auto"/>
          <w:kern w:val="2"/>
          <w:sz w:val="24"/>
          <w:szCs w:val="24"/>
          <w:u w:val="single"/>
        </w:rPr>
        <w:t>×100%（保留两位小数，如：8.88%）。当投标报价金额与投标下浮率计算结果不一致时，以投标报价金额为准，按公式修正投标下浮率。</w:t>
      </w:r>
    </w:p>
    <w:p>
      <w:pPr>
        <w:pStyle w:val="7"/>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highlight w:val="none"/>
          <w:lang w:val="en-US" w:eastAsia="zh-CN"/>
        </w:rPr>
      </w:pPr>
      <w:r>
        <w:rPr>
          <w:rFonts w:hint="eastAsia" w:ascii="宋体" w:hAnsi="宋体" w:eastAsia="宋体" w:cs="宋体"/>
          <w:b w:val="0"/>
          <w:bCs w:val="0"/>
          <w:color w:val="auto"/>
          <w:kern w:val="2"/>
          <w:sz w:val="24"/>
          <w:szCs w:val="24"/>
          <w:u w:val="single"/>
        </w:rPr>
        <w:t>2.</w:t>
      </w:r>
      <w:r>
        <w:rPr>
          <w:rFonts w:hint="eastAsia" w:ascii="宋体" w:hAnsi="宋体" w:cs="宋体"/>
          <w:b w:val="0"/>
          <w:bCs w:val="0"/>
          <w:color w:val="auto"/>
          <w:kern w:val="2"/>
          <w:sz w:val="24"/>
          <w:szCs w:val="24"/>
          <w:u w:val="single"/>
          <w:lang w:val="en-US" w:eastAsia="zh-CN"/>
        </w:rPr>
        <w:t>报价不得高于最高投标限价，</w:t>
      </w:r>
      <w:r>
        <w:rPr>
          <w:rFonts w:hint="eastAsia" w:ascii="宋体" w:hAnsi="宋体" w:eastAsia="宋体" w:cs="宋体"/>
          <w:b w:val="0"/>
          <w:bCs w:val="0"/>
          <w:color w:val="auto"/>
          <w:kern w:val="2"/>
          <w:sz w:val="24"/>
          <w:szCs w:val="24"/>
          <w:u w:val="single"/>
        </w:rPr>
        <w:t>报价低于最高限价85%的需提供成本分析报告时应附成本分析报告，充分说明单价和费用的组成、降低成本的合理措施及在其他工程中应用过的经验等，经评审通过后方可视为有效报价。</w:t>
      </w:r>
      <w:bookmarkEnd w:id="1"/>
    </w:p>
    <w:p>
      <w:pPr>
        <w:rPr>
          <w:rFonts w:hint="eastAsia"/>
          <w:highlight w:val="none"/>
          <w:lang w:val="en-US" w:eastAsia="zh-CN"/>
        </w:rPr>
      </w:pPr>
    </w:p>
    <w:p>
      <w:pPr>
        <w:pStyle w:val="4"/>
        <w:keepNext w:val="0"/>
        <w:keepLines w:val="0"/>
        <w:pageBreakBefore w:val="0"/>
        <w:numPr>
          <w:ilvl w:val="0"/>
          <w:numId w:val="0"/>
        </w:numPr>
        <w:kinsoku/>
        <w:wordWrap/>
        <w:overflowPunct/>
        <w:topLinePunct w:val="0"/>
        <w:bidi w:val="0"/>
        <w:spacing w:line="360" w:lineRule="auto"/>
        <w:ind w:leftChars="0"/>
        <w:outlineLvl w:val="1"/>
        <w:rPr>
          <w:rFonts w:hint="eastAsia" w:asciiTheme="minorEastAsia" w:hAnsiTheme="minorEastAsia" w:eastAsiaTheme="minorEastAsia" w:cstheme="minorEastAsia"/>
          <w:b/>
          <w:bCs/>
          <w:i w:val="0"/>
          <w:color w:val="auto"/>
          <w:kern w:val="2"/>
          <w:sz w:val="24"/>
          <w:szCs w:val="24"/>
          <w:highlight w:val="none"/>
          <w:lang w:val="en-US" w:eastAsia="zh-CN" w:bidi="ar-SA"/>
        </w:rPr>
      </w:pPr>
      <w:r>
        <w:rPr>
          <w:rFonts w:hint="eastAsia" w:asciiTheme="minorEastAsia" w:hAnsiTheme="minorEastAsia" w:eastAsiaTheme="minorEastAsia" w:cstheme="minorEastAsia"/>
          <w:b/>
          <w:bCs/>
          <w:i w:val="0"/>
          <w:color w:val="auto"/>
          <w:kern w:val="2"/>
          <w:sz w:val="24"/>
          <w:szCs w:val="24"/>
          <w:highlight w:val="none"/>
          <w:lang w:val="en-US" w:eastAsia="zh-CN" w:bidi="ar-SA"/>
        </w:rPr>
        <w:t>四、结算方式</w:t>
      </w:r>
    </w:p>
    <w:p>
      <w:pPr>
        <w:keepNext w:val="0"/>
        <w:keepLines w:val="0"/>
        <w:pageBreakBefore w:val="0"/>
        <w:widowControl w:val="0"/>
        <w:shd w:val="clear" w:color="auto" w:fill="auto"/>
        <w:kinsoku/>
        <w:wordWrap/>
        <w:overflowPunct/>
        <w:topLinePunct w:val="0"/>
        <w:autoSpaceDE/>
        <w:autoSpaceDN/>
        <w:bidi w:val="0"/>
        <w:adjustRightInd/>
        <w:snapToGrid/>
        <w:spacing w:before="157" w:beforeLines="50" w:after="157" w:afterLines="50" w:line="480" w:lineRule="auto"/>
        <w:ind w:firstLine="480" w:firstLineChars="200"/>
        <w:textAlignment w:val="auto"/>
        <w:rPr>
          <w:rFonts w:hint="eastAsia" w:ascii="宋体" w:hAnsi="宋体" w:eastAsia="宋体" w:cs="宋体"/>
          <w:b w:val="0"/>
          <w:bCs w:val="0"/>
          <w:color w:val="auto"/>
          <w:kern w:val="2"/>
          <w:sz w:val="24"/>
          <w:szCs w:val="24"/>
          <w:u w:val="single"/>
          <w:lang w:val="en-US" w:eastAsia="zh-CN" w:bidi="ar-SA"/>
        </w:rPr>
      </w:pPr>
      <w:r>
        <w:rPr>
          <w:rFonts w:hint="eastAsia" w:ascii="宋体" w:hAnsi="宋体" w:eastAsia="宋体" w:cs="宋体"/>
          <w:b w:val="0"/>
          <w:bCs w:val="0"/>
          <w:color w:val="auto"/>
          <w:kern w:val="2"/>
          <w:sz w:val="24"/>
          <w:szCs w:val="24"/>
          <w:highlight w:val="none"/>
          <w:u w:val="single"/>
          <w:lang w:val="en-US" w:eastAsia="zh-CN" w:bidi="ar-SA"/>
        </w:rPr>
        <w:t xml:space="preserve">  </w:t>
      </w:r>
      <w:r>
        <w:rPr>
          <w:rFonts w:hint="eastAsia" w:ascii="宋体" w:hAnsi="宋体" w:eastAsia="宋体" w:cs="宋体"/>
          <w:b w:val="0"/>
          <w:bCs w:val="0"/>
          <w:color w:val="auto"/>
          <w:kern w:val="2"/>
          <w:sz w:val="24"/>
          <w:szCs w:val="24"/>
          <w:u w:val="single"/>
          <w:lang w:val="en-US" w:eastAsia="zh-CN" w:bidi="ar-SA"/>
        </w:rPr>
        <w:t>结算方式：本工程合同价总价包干。结算时总价包干部分，除合同约定可调整的情况外，结算不予调整，中标合同价款中的漏项、错项结算时视为已包括在其他子项的报价中，不予调整。</w:t>
      </w:r>
    </w:p>
    <w:p>
      <w:pPr>
        <w:keepNext w:val="0"/>
        <w:keepLines w:val="0"/>
        <w:pageBreakBefore w:val="0"/>
        <w:widowControl w:val="0"/>
        <w:shd w:val="clear" w:color="auto" w:fill="auto"/>
        <w:kinsoku/>
        <w:wordWrap/>
        <w:overflowPunct/>
        <w:topLinePunct w:val="0"/>
        <w:autoSpaceDE/>
        <w:autoSpaceDN/>
        <w:bidi w:val="0"/>
        <w:adjustRightInd/>
        <w:snapToGrid/>
        <w:spacing w:before="157" w:beforeLines="50" w:after="157" w:afterLines="50" w:line="360" w:lineRule="auto"/>
        <w:textAlignment w:val="auto"/>
        <w:rPr>
          <w:rFonts w:asciiTheme="minorEastAsia" w:hAnsiTheme="minorEastAsia" w:eastAsiaTheme="minorEastAsia" w:cstheme="minorEastAsia"/>
          <w:b/>
          <w:bCs/>
          <w:iCs/>
          <w:sz w:val="24"/>
          <w:szCs w:val="24"/>
        </w:rPr>
      </w:pPr>
      <w:r>
        <w:rPr>
          <w:rFonts w:hint="eastAsia" w:asciiTheme="minorEastAsia" w:hAnsiTheme="minorEastAsia" w:eastAsiaTheme="minorEastAsia" w:cstheme="minorEastAsia"/>
          <w:b/>
          <w:bCs/>
          <w:sz w:val="24"/>
          <w:szCs w:val="24"/>
        </w:rPr>
        <w:t>五、分包要求</w:t>
      </w:r>
    </w:p>
    <w:p>
      <w:pPr>
        <w:pStyle w:val="13"/>
        <w:spacing w:before="156" w:after="156"/>
        <w:ind w:firstLine="0" w:firstLineChars="0"/>
      </w:pPr>
      <w:r>
        <w:rPr>
          <w:rFonts w:ascii="Wingdings" w:hAnsi="Wingdings" w:cs="Wingdings"/>
        </w:rPr>
        <w:sym w:font="Wingdings" w:char="00FE"/>
      </w:r>
      <w:r>
        <w:rPr>
          <w:rFonts w:hint="eastAsia"/>
        </w:rPr>
        <w:t>不允许分包</w:t>
      </w:r>
    </w:p>
    <w:p>
      <w:pPr>
        <w:pStyle w:val="13"/>
        <w:spacing w:before="156" w:after="156"/>
        <w:ind w:firstLine="0" w:firstLineChars="0"/>
        <w:rPr>
          <w:rFonts w:asciiTheme="minorEastAsia" w:hAnsiTheme="minorEastAsia" w:eastAsiaTheme="minorEastAsia" w:cstheme="minorEastAsia"/>
          <w:b/>
          <w:bCs/>
          <w:snapToGrid w:val="0"/>
          <w:kern w:val="0"/>
          <w:sz w:val="28"/>
          <w:szCs w:val="28"/>
        </w:rPr>
      </w:pPr>
      <w:r>
        <w:rPr>
          <w:rFonts w:ascii="Wingdings" w:hAnsi="Wingdings" w:cs="Wingdings"/>
        </w:rPr>
        <w:sym w:font="Wingdings" w:char="00A8"/>
      </w:r>
      <w:r>
        <w:rPr>
          <w:rFonts w:hint="eastAsia"/>
        </w:rPr>
        <w:t>允许分包，但必须符合以下要求：</w:t>
      </w:r>
      <w:r>
        <w:rPr>
          <w:rFonts w:ascii="Wingdings" w:hAnsi="Wingdings" w:cs="Wingdings" w:eastAsiaTheme="minorEastAsia"/>
          <w:b/>
          <w:bCs/>
          <w:iCs/>
          <w:sz w:val="24"/>
          <w:szCs w:val="24"/>
          <w:u w:val="single"/>
        </w:rPr>
        <w:t></w:t>
      </w:r>
    </w:p>
    <w:p>
      <w:pPr>
        <w:pStyle w:val="10"/>
        <w:numPr>
          <w:ilvl w:val="0"/>
          <w:numId w:val="3"/>
        </w:numPr>
        <w:spacing w:line="360" w:lineRule="auto"/>
        <w:jc w:val="left"/>
        <w:rPr>
          <w:rFonts w:asciiTheme="minorEastAsia" w:hAnsiTheme="minorEastAsia" w:eastAsiaTheme="minorEastAsia" w:cstheme="minorEastAsia"/>
          <w:b/>
          <w:bCs/>
          <w:snapToGrid w:val="0"/>
          <w:sz w:val="28"/>
          <w:szCs w:val="28"/>
        </w:rPr>
      </w:pPr>
      <w:r>
        <w:rPr>
          <w:rFonts w:hint="eastAsia" w:asciiTheme="minorEastAsia" w:hAnsiTheme="minorEastAsia" w:eastAsiaTheme="minorEastAsia" w:cstheme="minorEastAsia"/>
          <w:b/>
          <w:bCs/>
          <w:snapToGrid w:val="0"/>
          <w:sz w:val="28"/>
          <w:szCs w:val="28"/>
        </w:rPr>
        <w:t>技术标准、要求及图纸（对应招标文件 第五章）</w:t>
      </w:r>
    </w:p>
    <w:p>
      <w:pPr>
        <w:pStyle w:val="4"/>
        <w:rPr>
          <w:rFonts w:asciiTheme="minorEastAsia" w:hAnsiTheme="minorEastAsia" w:eastAsiaTheme="minorEastAsia" w:cstheme="minorEastAsia"/>
          <w:i w:val="0"/>
          <w:iCs/>
          <w:color w:val="auto"/>
          <w:sz w:val="24"/>
          <w:szCs w:val="24"/>
        </w:rPr>
      </w:pPr>
      <w:r>
        <w:rPr>
          <w:rFonts w:hint="eastAsia" w:asciiTheme="minorEastAsia" w:hAnsiTheme="minorEastAsia" w:eastAsiaTheme="minorEastAsia" w:cstheme="minorEastAsia"/>
          <w:i w:val="0"/>
          <w:iCs/>
          <w:color w:val="auto"/>
          <w:sz w:val="24"/>
          <w:szCs w:val="24"/>
        </w:rPr>
        <w:t>一、 管理规范和技术（规范）标准（详见合同附件）</w:t>
      </w:r>
    </w:p>
    <w:p>
      <w:pPr>
        <w:pStyle w:val="10"/>
        <w:rPr>
          <w:rFonts w:asciiTheme="minorEastAsia" w:hAnsiTheme="minorEastAsia" w:eastAsiaTheme="minorEastAsia" w:cstheme="minorEastAsia"/>
          <w:iCs/>
          <w:sz w:val="24"/>
          <w:szCs w:val="24"/>
        </w:rPr>
      </w:pPr>
    </w:p>
    <w:p>
      <w:pPr>
        <w:pStyle w:val="4"/>
        <w:rPr>
          <w:rFonts w:asciiTheme="minorEastAsia" w:hAnsiTheme="minorEastAsia" w:eastAsiaTheme="minorEastAsia" w:cstheme="minorEastAsia"/>
          <w:i w:val="0"/>
          <w:iCs/>
          <w:color w:val="auto"/>
          <w:sz w:val="24"/>
          <w:szCs w:val="24"/>
        </w:rPr>
      </w:pPr>
      <w:r>
        <w:rPr>
          <w:rFonts w:hint="eastAsia" w:asciiTheme="minorEastAsia" w:hAnsiTheme="minorEastAsia" w:eastAsiaTheme="minorEastAsia" w:cstheme="minorEastAsia"/>
          <w:i w:val="0"/>
          <w:iCs/>
          <w:color w:val="auto"/>
          <w:sz w:val="24"/>
          <w:szCs w:val="24"/>
        </w:rPr>
        <w:t>二、技术及管理要求</w:t>
      </w:r>
    </w:p>
    <w:p>
      <w:pPr>
        <w:keepNext w:val="0"/>
        <w:keepLines w:val="0"/>
        <w:pageBreakBefore w:val="0"/>
        <w:widowControl w:val="0"/>
        <w:kinsoku/>
        <w:wordWrap/>
        <w:overflowPunct/>
        <w:topLinePunct w:val="0"/>
        <w:autoSpaceDE w:val="0"/>
        <w:autoSpaceDN w:val="0"/>
        <w:bidi w:val="0"/>
        <w:adjustRightInd w:val="0"/>
        <w:snapToGrid/>
        <w:spacing w:line="480" w:lineRule="auto"/>
        <w:textAlignment w:val="auto"/>
        <w:rPr>
          <w:rFonts w:hint="eastAsia" w:asciiTheme="minorEastAsia" w:hAnsiTheme="minorEastAsia" w:eastAsiaTheme="minorEastAsia" w:cstheme="minorEastAsia"/>
          <w:iCs/>
          <w:kern w:val="0"/>
          <w:sz w:val="24"/>
          <w:szCs w:val="24"/>
          <w:lang w:val="zh-CN"/>
        </w:rPr>
      </w:pPr>
      <w:r>
        <w:rPr>
          <w:rFonts w:hint="eastAsia" w:asciiTheme="minorEastAsia" w:hAnsiTheme="minorEastAsia" w:eastAsiaTheme="minorEastAsia" w:cstheme="minorEastAsia"/>
          <w:iCs/>
          <w:kern w:val="0"/>
          <w:sz w:val="24"/>
          <w:szCs w:val="24"/>
          <w:lang w:val="zh-CN"/>
        </w:rPr>
        <w:t>（一）满足南方电网公司基建管理制度、建设单位的质量、环境和职业健康安全管理体系文件、其他有关制度和规定。</w:t>
      </w:r>
    </w:p>
    <w:p>
      <w:pPr>
        <w:pStyle w:val="4"/>
        <w:keepNext w:val="0"/>
        <w:keepLines w:val="0"/>
        <w:pageBreakBefore w:val="0"/>
        <w:widowControl w:val="0"/>
        <w:numPr>
          <w:ilvl w:val="0"/>
          <w:numId w:val="0"/>
        </w:numPr>
        <w:shd w:val="clear" w:color="auto" w:fill="auto"/>
        <w:kinsoku/>
        <w:wordWrap/>
        <w:overflowPunct/>
        <w:topLinePunct w:val="0"/>
        <w:autoSpaceDE w:val="0"/>
        <w:autoSpaceDN w:val="0"/>
        <w:bidi w:val="0"/>
        <w:adjustRightInd w:val="0"/>
        <w:snapToGrid/>
        <w:spacing w:before="157" w:beforeLines="50" w:line="480" w:lineRule="auto"/>
        <w:ind w:leftChars="0"/>
        <w:textAlignment w:val="auto"/>
        <w:outlineLvl w:val="1"/>
        <w:rPr>
          <w:rFonts w:hint="eastAsia" w:asciiTheme="minorEastAsia" w:hAnsiTheme="minorEastAsia" w:eastAsiaTheme="minorEastAsia" w:cstheme="minorEastAsia"/>
          <w:b w:val="0"/>
          <w:bCs/>
          <w:i w:val="0"/>
          <w:iCs/>
          <w:color w:val="auto"/>
          <w:kern w:val="0"/>
          <w:sz w:val="24"/>
          <w:szCs w:val="24"/>
          <w:highlight w:val="none"/>
          <w:lang w:val="zh-CN"/>
        </w:rPr>
      </w:pPr>
      <w:r>
        <w:rPr>
          <w:rFonts w:hint="eastAsia" w:asciiTheme="minorEastAsia" w:hAnsiTheme="minorEastAsia" w:eastAsiaTheme="minorEastAsia" w:cstheme="minorEastAsia"/>
          <w:b w:val="0"/>
          <w:bCs/>
          <w:i w:val="0"/>
          <w:iCs/>
          <w:color w:val="auto"/>
          <w:kern w:val="0"/>
          <w:sz w:val="24"/>
          <w:szCs w:val="24"/>
          <w:highlight w:val="none"/>
          <w:lang w:val="zh-CN"/>
        </w:rPr>
        <w:t>（二）符合图纸及技术文件的要求（如有，详见招标文件附件）。</w:t>
      </w:r>
    </w:p>
    <w:p>
      <w:pPr>
        <w:rPr>
          <w:rFonts w:hint="eastAsia" w:asciiTheme="minorEastAsia" w:hAnsiTheme="minorEastAsia" w:eastAsiaTheme="minorEastAsia" w:cstheme="minorEastAsia"/>
          <w:b w:val="0"/>
          <w:bCs/>
          <w:i w:val="0"/>
          <w:iCs/>
          <w:color w:val="auto"/>
          <w:kern w:val="0"/>
          <w:sz w:val="24"/>
          <w:szCs w:val="24"/>
          <w:highlight w:val="none"/>
          <w:lang w:val="zh-CN"/>
        </w:rPr>
      </w:pPr>
    </w:p>
    <w:p>
      <w:pPr>
        <w:pStyle w:val="2"/>
        <w:rPr>
          <w:rFonts w:hint="eastAsia" w:asciiTheme="minorEastAsia" w:hAnsiTheme="minorEastAsia" w:eastAsiaTheme="minorEastAsia" w:cstheme="minorEastAsia"/>
          <w:b w:val="0"/>
          <w:bCs/>
          <w:i w:val="0"/>
          <w:iCs/>
          <w:color w:val="auto"/>
          <w:kern w:val="0"/>
          <w:sz w:val="24"/>
          <w:szCs w:val="24"/>
          <w:highlight w:val="none"/>
          <w:lang w:val="zh-CN"/>
        </w:rPr>
      </w:pPr>
    </w:p>
    <w:p>
      <w:pPr>
        <w:rPr>
          <w:rFonts w:hint="eastAsia" w:asciiTheme="minorEastAsia" w:hAnsiTheme="minorEastAsia" w:eastAsiaTheme="minorEastAsia" w:cstheme="minorEastAsia"/>
          <w:b w:val="0"/>
          <w:bCs/>
          <w:i w:val="0"/>
          <w:iCs/>
          <w:color w:val="auto"/>
          <w:kern w:val="0"/>
          <w:sz w:val="24"/>
          <w:szCs w:val="24"/>
          <w:highlight w:val="none"/>
          <w:lang w:val="zh-CN"/>
        </w:rPr>
      </w:pPr>
    </w:p>
    <w:p>
      <w:pPr>
        <w:pStyle w:val="10"/>
        <w:spacing w:line="480" w:lineRule="atLeast"/>
        <w:rPr>
          <w:rFonts w:hAnsi="宋体" w:cs="宋体"/>
          <w:sz w:val="24"/>
          <w:szCs w:val="24"/>
          <w:u w:val="single"/>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6993E1"/>
    <w:multiLevelType w:val="singleLevel"/>
    <w:tmpl w:val="EA6993E1"/>
    <w:lvl w:ilvl="0" w:tentative="0">
      <w:start w:val="3"/>
      <w:numFmt w:val="chineseCounting"/>
      <w:suff w:val="nothing"/>
      <w:lvlText w:val="%1、"/>
      <w:lvlJc w:val="left"/>
      <w:rPr>
        <w:rFonts w:hint="eastAsia"/>
      </w:rPr>
    </w:lvl>
  </w:abstractNum>
  <w:abstractNum w:abstractNumId="1">
    <w:nsid w:val="EAEE20F8"/>
    <w:multiLevelType w:val="singleLevel"/>
    <w:tmpl w:val="EAEE20F8"/>
    <w:lvl w:ilvl="0" w:tentative="0">
      <w:start w:val="2"/>
      <w:numFmt w:val="chineseCounting"/>
      <w:suff w:val="nothing"/>
      <w:lvlText w:val="第%1部分."/>
      <w:lvlJc w:val="left"/>
      <w:rPr>
        <w:rFonts w:hint="eastAsia"/>
      </w:rPr>
    </w:lvl>
  </w:abstractNum>
  <w:abstractNum w:abstractNumId="2">
    <w:nsid w:val="0D7920FF"/>
    <w:multiLevelType w:val="singleLevel"/>
    <w:tmpl w:val="0D7920FF"/>
    <w:lvl w:ilvl="0" w:tentative="0">
      <w:start w:val="1"/>
      <w:numFmt w:val="chineseCounting"/>
      <w:suff w:val="nothing"/>
      <w:lvlText w:val="第%1部分."/>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xYTBmM2ExNDA5MTI5NmEwNjA4YTk5MmRmY2Y2MzgifQ=="/>
  </w:docVars>
  <w:rsids>
    <w:rsidRoot w:val="24F737D8"/>
    <w:rsid w:val="001270A5"/>
    <w:rsid w:val="00226E9F"/>
    <w:rsid w:val="007A4AD7"/>
    <w:rsid w:val="00831E29"/>
    <w:rsid w:val="009547D2"/>
    <w:rsid w:val="01603AA8"/>
    <w:rsid w:val="017E32CC"/>
    <w:rsid w:val="02A15629"/>
    <w:rsid w:val="04A24F71"/>
    <w:rsid w:val="05955A7A"/>
    <w:rsid w:val="076F3B3B"/>
    <w:rsid w:val="07CA37DF"/>
    <w:rsid w:val="0B4A6210"/>
    <w:rsid w:val="0B996C67"/>
    <w:rsid w:val="0BC07002"/>
    <w:rsid w:val="0E2F4C02"/>
    <w:rsid w:val="0E3616E0"/>
    <w:rsid w:val="0E394169"/>
    <w:rsid w:val="0F81532F"/>
    <w:rsid w:val="107144D2"/>
    <w:rsid w:val="107B4E12"/>
    <w:rsid w:val="116419AD"/>
    <w:rsid w:val="11DF6CFE"/>
    <w:rsid w:val="131729B1"/>
    <w:rsid w:val="13383335"/>
    <w:rsid w:val="13CB3A86"/>
    <w:rsid w:val="14440D4B"/>
    <w:rsid w:val="14781EB9"/>
    <w:rsid w:val="14AF14A4"/>
    <w:rsid w:val="14B666F3"/>
    <w:rsid w:val="15056A61"/>
    <w:rsid w:val="17722603"/>
    <w:rsid w:val="18080DFF"/>
    <w:rsid w:val="18E57496"/>
    <w:rsid w:val="1A386933"/>
    <w:rsid w:val="1A4F176B"/>
    <w:rsid w:val="1A5C7D08"/>
    <w:rsid w:val="1B663F82"/>
    <w:rsid w:val="1C2D4629"/>
    <w:rsid w:val="1C43636C"/>
    <w:rsid w:val="1C8618B6"/>
    <w:rsid w:val="1D904223"/>
    <w:rsid w:val="1EAD1FE0"/>
    <w:rsid w:val="1F653C49"/>
    <w:rsid w:val="1FF914D4"/>
    <w:rsid w:val="20735046"/>
    <w:rsid w:val="20AD7527"/>
    <w:rsid w:val="20B46EB2"/>
    <w:rsid w:val="20EE3814"/>
    <w:rsid w:val="20F44F52"/>
    <w:rsid w:val="21656CD6"/>
    <w:rsid w:val="216F4D5B"/>
    <w:rsid w:val="21C11DC8"/>
    <w:rsid w:val="23B738BA"/>
    <w:rsid w:val="24E67795"/>
    <w:rsid w:val="24F737D8"/>
    <w:rsid w:val="2525523D"/>
    <w:rsid w:val="26331A2E"/>
    <w:rsid w:val="26EB3B6A"/>
    <w:rsid w:val="27553BFB"/>
    <w:rsid w:val="291D5E51"/>
    <w:rsid w:val="297A57BC"/>
    <w:rsid w:val="2BE07E0A"/>
    <w:rsid w:val="2CA17C08"/>
    <w:rsid w:val="2CC96E4E"/>
    <w:rsid w:val="2DDF66E3"/>
    <w:rsid w:val="2F6F3BF5"/>
    <w:rsid w:val="2FF65FF8"/>
    <w:rsid w:val="300D195C"/>
    <w:rsid w:val="30BF37B5"/>
    <w:rsid w:val="30DB62D5"/>
    <w:rsid w:val="313B0851"/>
    <w:rsid w:val="314A7D1A"/>
    <w:rsid w:val="31A1649A"/>
    <w:rsid w:val="31C955A9"/>
    <w:rsid w:val="33B200AF"/>
    <w:rsid w:val="33C75702"/>
    <w:rsid w:val="33E61BE2"/>
    <w:rsid w:val="361736AD"/>
    <w:rsid w:val="36D200CF"/>
    <w:rsid w:val="379951F8"/>
    <w:rsid w:val="38382DC3"/>
    <w:rsid w:val="38411C26"/>
    <w:rsid w:val="38DE045C"/>
    <w:rsid w:val="39002B1C"/>
    <w:rsid w:val="394F15B2"/>
    <w:rsid w:val="3987396D"/>
    <w:rsid w:val="39C4552A"/>
    <w:rsid w:val="3B006358"/>
    <w:rsid w:val="3B595AEE"/>
    <w:rsid w:val="3BF24D81"/>
    <w:rsid w:val="3BFE7BEA"/>
    <w:rsid w:val="3C4750A3"/>
    <w:rsid w:val="3C4A35F1"/>
    <w:rsid w:val="3D302643"/>
    <w:rsid w:val="3D595233"/>
    <w:rsid w:val="416318D6"/>
    <w:rsid w:val="4202005B"/>
    <w:rsid w:val="420455E6"/>
    <w:rsid w:val="42E73C50"/>
    <w:rsid w:val="445358E5"/>
    <w:rsid w:val="44615257"/>
    <w:rsid w:val="448B54F0"/>
    <w:rsid w:val="44982260"/>
    <w:rsid w:val="44D414C9"/>
    <w:rsid w:val="46472D5E"/>
    <w:rsid w:val="472C7D85"/>
    <w:rsid w:val="485D3F87"/>
    <w:rsid w:val="496A657E"/>
    <w:rsid w:val="49843C09"/>
    <w:rsid w:val="4A4F5731"/>
    <w:rsid w:val="4B3A1BDA"/>
    <w:rsid w:val="4BF83760"/>
    <w:rsid w:val="4C5B4768"/>
    <w:rsid w:val="4C8349B8"/>
    <w:rsid w:val="4CA51BD2"/>
    <w:rsid w:val="4CF27F48"/>
    <w:rsid w:val="4CFC2A9F"/>
    <w:rsid w:val="504766FD"/>
    <w:rsid w:val="511E33B9"/>
    <w:rsid w:val="53A8221A"/>
    <w:rsid w:val="54645881"/>
    <w:rsid w:val="552A0C96"/>
    <w:rsid w:val="55BB16B6"/>
    <w:rsid w:val="55C3156A"/>
    <w:rsid w:val="560A4CB8"/>
    <w:rsid w:val="56CC7B5C"/>
    <w:rsid w:val="5782183A"/>
    <w:rsid w:val="57BD355E"/>
    <w:rsid w:val="58D21C48"/>
    <w:rsid w:val="5A805F9A"/>
    <w:rsid w:val="5B0320E2"/>
    <w:rsid w:val="5B8B11A7"/>
    <w:rsid w:val="5B9E2EC4"/>
    <w:rsid w:val="5CD10D7E"/>
    <w:rsid w:val="5D817F68"/>
    <w:rsid w:val="60002310"/>
    <w:rsid w:val="608606DE"/>
    <w:rsid w:val="610E324A"/>
    <w:rsid w:val="61F31EFD"/>
    <w:rsid w:val="625A44A9"/>
    <w:rsid w:val="62AB72E9"/>
    <w:rsid w:val="63066BC7"/>
    <w:rsid w:val="63D0487B"/>
    <w:rsid w:val="64672037"/>
    <w:rsid w:val="64911DA0"/>
    <w:rsid w:val="64F03E48"/>
    <w:rsid w:val="65256B93"/>
    <w:rsid w:val="65945D8D"/>
    <w:rsid w:val="65D333EB"/>
    <w:rsid w:val="66154E74"/>
    <w:rsid w:val="66C35559"/>
    <w:rsid w:val="66D86646"/>
    <w:rsid w:val="67D57489"/>
    <w:rsid w:val="68570F93"/>
    <w:rsid w:val="6A287B5E"/>
    <w:rsid w:val="6B303A1A"/>
    <w:rsid w:val="6C704794"/>
    <w:rsid w:val="6DAA2FDF"/>
    <w:rsid w:val="6DF95579"/>
    <w:rsid w:val="6E121228"/>
    <w:rsid w:val="6F8447F5"/>
    <w:rsid w:val="6F9F2C7C"/>
    <w:rsid w:val="704D25A4"/>
    <w:rsid w:val="70D1495F"/>
    <w:rsid w:val="70ED510D"/>
    <w:rsid w:val="712F63C0"/>
    <w:rsid w:val="7203396B"/>
    <w:rsid w:val="72717CD1"/>
    <w:rsid w:val="743E1546"/>
    <w:rsid w:val="74614F7E"/>
    <w:rsid w:val="74695E39"/>
    <w:rsid w:val="74980354"/>
    <w:rsid w:val="754C6F3B"/>
    <w:rsid w:val="75B11AFF"/>
    <w:rsid w:val="75D32619"/>
    <w:rsid w:val="76307412"/>
    <w:rsid w:val="768D126A"/>
    <w:rsid w:val="780B6A75"/>
    <w:rsid w:val="78B8009B"/>
    <w:rsid w:val="79F83E18"/>
    <w:rsid w:val="7B6A73CF"/>
    <w:rsid w:val="7C741218"/>
    <w:rsid w:val="7CED7DC5"/>
    <w:rsid w:val="7D0F76D8"/>
    <w:rsid w:val="7E3420E0"/>
    <w:rsid w:val="7E613370"/>
    <w:rsid w:val="7E93608E"/>
    <w:rsid w:val="7F1B36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unhideWhenUsed/>
    <w:qFormat/>
    <w:uiPriority w:val="99"/>
    <w:pPr>
      <w:autoSpaceDE w:val="0"/>
      <w:autoSpaceDN w:val="0"/>
      <w:adjustRightInd w:val="0"/>
      <w:outlineLvl w:val="0"/>
    </w:pPr>
    <w:rPr>
      <w:rFonts w:ascii="Arial" w:hAnsi="Arial"/>
      <w:b/>
      <w:color w:val="000000"/>
      <w:sz w:val="32"/>
    </w:rPr>
  </w:style>
  <w:style w:type="paragraph" w:styleId="4">
    <w:name w:val="heading 2"/>
    <w:basedOn w:val="1"/>
    <w:next w:val="1"/>
    <w:unhideWhenUsed/>
    <w:qFormat/>
    <w:uiPriority w:val="99"/>
    <w:pPr>
      <w:autoSpaceDE w:val="0"/>
      <w:autoSpaceDN w:val="0"/>
      <w:adjustRightInd w:val="0"/>
      <w:outlineLvl w:val="1"/>
    </w:pPr>
    <w:rPr>
      <w:rFonts w:ascii="Arial" w:hAnsi="Arial"/>
      <w:b/>
      <w:i/>
      <w:color w:val="000000"/>
      <w:sz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qFormat/>
    <w:uiPriority w:val="0"/>
    <w:pPr>
      <w:ind w:firstLine="420"/>
    </w:pPr>
    <w:rPr>
      <w:rFonts w:ascii="Times New Roman" w:hAnsi="Times New Roman"/>
      <w:kern w:val="0"/>
      <w:sz w:val="20"/>
      <w:szCs w:val="20"/>
    </w:rPr>
  </w:style>
  <w:style w:type="paragraph" w:styleId="6">
    <w:name w:val="annotation text"/>
    <w:basedOn w:val="1"/>
    <w:qFormat/>
    <w:uiPriority w:val="0"/>
    <w:pPr>
      <w:jc w:val="left"/>
    </w:pPr>
  </w:style>
  <w:style w:type="paragraph" w:styleId="7">
    <w:name w:val="Body Text"/>
    <w:basedOn w:val="1"/>
    <w:next w:val="8"/>
    <w:unhideWhenUsed/>
    <w:qFormat/>
    <w:uiPriority w:val="99"/>
    <w:pPr>
      <w:spacing w:after="120"/>
    </w:pPr>
  </w:style>
  <w:style w:type="paragraph" w:styleId="8">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9">
    <w:name w:val="Body Text Indent"/>
    <w:basedOn w:val="1"/>
    <w:qFormat/>
    <w:uiPriority w:val="0"/>
    <w:pPr>
      <w:spacing w:after="120"/>
      <w:ind w:left="420" w:leftChars="200"/>
    </w:pPr>
  </w:style>
  <w:style w:type="paragraph" w:styleId="10">
    <w:name w:val="Plain Text"/>
    <w:basedOn w:val="1"/>
    <w:qFormat/>
    <w:uiPriority w:val="0"/>
    <w:rPr>
      <w:rFonts w:ascii="宋体" w:hAnsi="Courier New"/>
      <w:kern w:val="0"/>
      <w:sz w:val="20"/>
      <w:szCs w:val="20"/>
    </w:rPr>
  </w:style>
  <w:style w:type="paragraph" w:styleId="11">
    <w:name w:val="Balloon Text"/>
    <w:basedOn w:val="1"/>
    <w:link w:val="20"/>
    <w:qFormat/>
    <w:uiPriority w:val="0"/>
    <w:rPr>
      <w:sz w:val="18"/>
      <w:szCs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qFormat/>
    <w:uiPriority w:val="0"/>
    <w:pPr>
      <w:spacing w:beforeLines="50" w:afterLines="50" w:line="360" w:lineRule="auto"/>
      <w:ind w:firstLine="200" w:firstLineChars="200"/>
    </w:pPr>
    <w:rPr>
      <w:rFonts w:ascii="Times New Roman" w:hAnsi="Times New Roman"/>
      <w:sz w:val="24"/>
      <w:szCs w:val="24"/>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annotation reference"/>
    <w:basedOn w:val="16"/>
    <w:qFormat/>
    <w:uiPriority w:val="0"/>
    <w:rPr>
      <w:sz w:val="21"/>
      <w:szCs w:val="21"/>
    </w:rPr>
  </w:style>
  <w:style w:type="paragraph" w:customStyle="1" w:styleId="18">
    <w:name w:val="正文首行缩进1"/>
    <w:basedOn w:val="1"/>
    <w:qFormat/>
    <w:uiPriority w:val="0"/>
    <w:pPr>
      <w:spacing w:line="360" w:lineRule="auto"/>
      <w:ind w:firstLine="200" w:firstLineChars="200"/>
    </w:pPr>
    <w:rPr>
      <w:sz w:val="24"/>
      <w:szCs w:val="24"/>
    </w:rPr>
  </w:style>
  <w:style w:type="character" w:customStyle="1" w:styleId="19">
    <w:name w:val="font11"/>
    <w:basedOn w:val="16"/>
    <w:qFormat/>
    <w:uiPriority w:val="0"/>
    <w:rPr>
      <w:rFonts w:hint="eastAsia" w:ascii="宋体" w:hAnsi="宋体" w:eastAsia="宋体" w:cs="宋体"/>
      <w:color w:val="000000"/>
      <w:sz w:val="22"/>
      <w:szCs w:val="22"/>
      <w:u w:val="none"/>
    </w:rPr>
  </w:style>
  <w:style w:type="character" w:customStyle="1" w:styleId="20">
    <w:name w:val="批注框文本 Char"/>
    <w:basedOn w:val="16"/>
    <w:link w:val="11"/>
    <w:qFormat/>
    <w:uiPriority w:val="0"/>
    <w:rPr>
      <w:rFonts w:ascii="Calibri" w:hAnsi="Calibri"/>
      <w:kern w:val="2"/>
      <w:sz w:val="18"/>
      <w:szCs w:val="18"/>
    </w:rPr>
  </w:style>
  <w:style w:type="character" w:customStyle="1" w:styleId="21">
    <w:name w:val="font91"/>
    <w:basedOn w:val="16"/>
    <w:qFormat/>
    <w:uiPriority w:val="0"/>
    <w:rPr>
      <w:rFonts w:ascii="Arial" w:hAnsi="Arial" w:cs="Arial"/>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GEDI</Company>
  <Pages>3</Pages>
  <Words>1334</Words>
  <Characters>1446</Characters>
  <Lines>20</Lines>
  <Paragraphs>5</Paragraphs>
  <TotalTime>22</TotalTime>
  <ScaleCrop>false</ScaleCrop>
  <LinksUpToDate>false</LinksUpToDate>
  <CharactersWithSpaces>1617</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2024-06-27T05:28:00Z</dcterms:created>
  <dc:creator>maja</dc:creator>
  <cp:lastModifiedBy>龙思妤</cp:lastModifiedBy>
  <dcterms:modified xsi:type="dcterms:W3CDTF">2026-07-02T03:33:26Z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739147667D7E49ADBB23FA31068CA03B</vt:lpwstr>
  </property>
  <property fmtid="{D5CDD505-2E9C-101B-9397-08002B2CF9AE}" pid="4" name="KSOTemplateDocerSaveRecord">
    <vt:lpwstr>eyJoZGlkIjoiNmUwN2ZmY2I1Y2I3NTViYzRhMTk2NzRkOWQwMjE3NzYiLCJ1c2VySWQiOiI0NTUxMjYzMDkifQ==</vt:lpwstr>
  </property>
</Properties>
</file>