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360" w:lineRule="auto"/>
        <w:jc w:val="left"/>
        <w:rPr>
          <w:rFonts w:asciiTheme="minorEastAsia" w:hAnsiTheme="minorEastAsia" w:eastAsiaTheme="minorEastAsia" w:cstheme="minorEastAsia"/>
          <w:b/>
          <w:bCs/>
          <w:snapToGrid w:val="0"/>
          <w:sz w:val="32"/>
          <w:szCs w:val="32"/>
        </w:rPr>
      </w:pPr>
      <w:bookmarkStart w:id="0" w:name="_Toc8445"/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32"/>
          <w:szCs w:val="32"/>
        </w:rPr>
        <w:t>附件A.项目信息清单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color w:val="auto"/>
          <w:sz w:val="28"/>
          <w:szCs w:val="28"/>
          <w:u w:val="single"/>
        </w:rPr>
        <w:t>220千伏天河棠下柔直背靠背工程稳控系统RTDS仿真试验技术服务项目</w:t>
      </w: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）</w:t>
      </w:r>
    </w:p>
    <w:bookmarkEnd w:id="0"/>
    <w:p>
      <w:pPr>
        <w:pStyle w:val="10"/>
        <w:numPr>
          <w:ilvl w:val="0"/>
          <w:numId w:val="1"/>
        </w:numPr>
        <w:spacing w:line="360" w:lineRule="auto"/>
        <w:jc w:val="left"/>
        <w:rPr>
          <w:rFonts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项目信息</w:t>
      </w:r>
    </w:p>
    <w:p>
      <w:pPr>
        <w:pStyle w:val="10"/>
        <w:spacing w:line="360" w:lineRule="auto"/>
        <w:jc w:val="center"/>
        <w:rPr>
          <w:rFonts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napToGrid w:val="0"/>
          <w:sz w:val="24"/>
          <w:szCs w:val="24"/>
        </w:rPr>
        <w:t>招标前期资料</w:t>
      </w:r>
    </w:p>
    <w:tbl>
      <w:tblPr>
        <w:tblStyle w:val="1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3840"/>
        <w:gridCol w:w="5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  <w:jc w:val="center"/>
        </w:trPr>
        <w:tc>
          <w:tcPr>
            <w:tcW w:w="396" w:type="pct"/>
          </w:tcPr>
          <w:p>
            <w:pPr>
              <w:pStyle w:val="1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序号</w:t>
            </w:r>
          </w:p>
        </w:tc>
        <w:tc>
          <w:tcPr>
            <w:tcW w:w="1927" w:type="pct"/>
          </w:tcPr>
          <w:p>
            <w:pPr>
              <w:pStyle w:val="1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文件名称</w:t>
            </w:r>
          </w:p>
        </w:tc>
        <w:tc>
          <w:tcPr>
            <w:tcW w:w="2676" w:type="pct"/>
          </w:tcPr>
          <w:p>
            <w:pPr>
              <w:pStyle w:val="10"/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hAnsi="宋体" w:cs="宋体"/>
                <w:b/>
                <w:bCs/>
                <w:snapToGrid w:val="0"/>
                <w:sz w:val="24"/>
                <w:szCs w:val="24"/>
              </w:rPr>
              <w:t>文件文号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项目立项(可研批复)文号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广供电基〔2024〕66号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2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资金落实情况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广供电资〔2024〕28号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3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项目建设单位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广东电网有限责任公司广州供电局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4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项目建设地点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广州市天河区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exact"/>
          <w:jc w:val="center"/>
        </w:trPr>
        <w:tc>
          <w:tcPr>
            <w:tcW w:w="396" w:type="pct"/>
            <w:vAlign w:val="center"/>
          </w:tcPr>
          <w:p>
            <w:pPr>
              <w:pStyle w:val="10"/>
              <w:spacing w:line="480" w:lineRule="exact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5</w:t>
            </w:r>
          </w:p>
        </w:tc>
        <w:tc>
          <w:tcPr>
            <w:tcW w:w="1927" w:type="pct"/>
            <w:vAlign w:val="center"/>
          </w:tcPr>
          <w:p>
            <w:pPr>
              <w:pStyle w:val="10"/>
              <w:snapToGrid w:val="0"/>
              <w:jc w:val="center"/>
              <w:rPr>
                <w:rFonts w:asciiTheme="minorEastAsia" w:hAnsiTheme="minorEastAsia" w:eastAsiaTheme="minorEastAsia" w:cstheme="minorEastAsia"/>
                <w:snapToGrid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sz w:val="24"/>
                <w:szCs w:val="24"/>
              </w:rPr>
              <w:t>服务期/框架有效期</w:t>
            </w:r>
          </w:p>
        </w:tc>
        <w:tc>
          <w:tcPr>
            <w:tcW w:w="2676" w:type="pct"/>
            <w:vAlign w:val="center"/>
          </w:tcPr>
          <w:p>
            <w:pPr>
              <w:pStyle w:val="10"/>
              <w:snapToGrid w:val="0"/>
              <w:jc w:val="center"/>
              <w:rPr>
                <w:rFonts w:hAnsi="宋体" w:cs="宋体"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合同签订之日起至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2027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12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  <w:lang w:val="en-US" w:eastAsia="zh-CN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snapToGrid w:val="0"/>
                <w:color w:val="auto"/>
                <w:sz w:val="24"/>
                <w:szCs w:val="24"/>
                <w:highlight w:val="none"/>
                <w:u w:val="single"/>
              </w:rPr>
              <w:t>日。</w:t>
            </w:r>
          </w:p>
        </w:tc>
      </w:tr>
    </w:tbl>
    <w:p>
      <w:pPr>
        <w:spacing w:before="156" w:beforeLines="50" w:after="156" w:afterLines="50" w:line="480" w:lineRule="auto"/>
        <w:rPr>
          <w:rFonts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1.直流部分：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直流输电容量：1×700MW+3×450MW，直流额定电压±120kV；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直流主接线方式：直流侧采用对称单极接线,每一端直流母线处设置直流高速并列开关(HSS)、隔离开关；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换流变配置：三相双绕组(带平衡绕组)变压器，(1+1)×770MVA、3×495MVA，强油循环水冷方式；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启动电阻采用单相，共12台，每台电阻5000Ω；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桥臂电抗器采用干式(对应 770MVA 换流变共6+1台、每台24mH，对应495MVA换流变共18+1台、每台37mH)；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2.交流部分：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交流采用双母线双分段接线。220kV交流配电装置采用户内GIS母线经启动回路与换流变压器相连；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>交流220kV母线侧电气设备短路电流水平按50kA考虑。</w:t>
      </w:r>
    </w:p>
    <w:p>
      <w:pPr>
        <w:spacing w:before="156" w:beforeLines="50" w:after="156" w:afterLines="50" w:line="480" w:lineRule="auto"/>
        <w:rPr>
          <w:rFonts w:asciiTheme="minorEastAsia" w:hAnsiTheme="minorEastAsia" w:eastAsiaTheme="minorEastAsia" w:cstheme="minorEastAsia"/>
          <w:b/>
          <w:bCs/>
          <w:i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二、采购范围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480" w:lineRule="auto"/>
        <w:textAlignment w:val="auto"/>
        <w:rPr>
          <w:rFonts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</w:pPr>
      <w:r>
        <w:rPr>
          <w:rFonts w:hint="eastAsia" w:asciiTheme="minorEastAsia" w:hAnsiTheme="minorEastAsia" w:eastAsiaTheme="minorEastAsia" w:cstheme="minorEastAsia"/>
          <w:bCs/>
          <w:kern w:val="2"/>
          <w:sz w:val="24"/>
          <w:szCs w:val="24"/>
          <w:highlight w:val="none"/>
          <w:u w:val="none"/>
        </w:rPr>
        <w:t>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none"/>
        </w:rPr>
        <w:t>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  <w:u w:val="single"/>
        </w:rPr>
        <w:t>本项目针对棠下柔直工程稳控系统开展RTDS仿真试验技术服务，具体服务内容如下：（1）建立RTDS仿真试验模型，包含棠下柔直工程近区交流电网RTDS仿真模型。（2）在实验室搭建棠下柔直工程稳控系统试验平台，包含220kV棠下柔直站、500kV木棉站、500kV增城站、220kV棠下站、220kV猎德站、220kV碧山站、220kV赤沙站稳控装置。（3）针对棠下柔直工程稳控系统稳控策略进行RTDS试验方案设计，编写并发布稳控系统RTDS仿真试验方案。（4）开展棠下柔直工程稳控系统稳控策略RTDS仿真试验，测试稳控系统整体功能有效性和防误策略有效性，测试稳控系统与直流控保系统协调配合可靠性，编写并提交RTDS仿真试验报告。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  <w:lang w:val="en-US" w:eastAsia="zh-CN"/>
        </w:rPr>
        <w:t>具体采购交付物以技术规范书描述为准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u w:val="single"/>
        </w:rPr>
        <w:t>。</w:t>
      </w:r>
    </w:p>
    <w:p>
      <w:pPr>
        <w:pStyle w:val="4"/>
        <w:numPr>
          <w:ilvl w:val="0"/>
          <w:numId w:val="2"/>
        </w:numPr>
        <w:spacing w:line="360" w:lineRule="auto"/>
        <w:rPr>
          <w:rFonts w:asciiTheme="minorEastAsia" w:hAnsiTheme="minorEastAsia" w:eastAsiaTheme="minorEastAsia" w:cstheme="minorEastAsia"/>
          <w:bCs/>
          <w:i w:val="0"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i w:val="0"/>
          <w:color w:val="auto"/>
          <w:sz w:val="24"/>
          <w:szCs w:val="24"/>
        </w:rPr>
        <w:t>报价表及报价要求</w:t>
      </w:r>
    </w:p>
    <w:p/>
    <w:tbl>
      <w:tblPr>
        <w:tblStyle w:val="14"/>
        <w:tblpPr w:leftFromText="180" w:rightFromText="180" w:vertAnchor="text" w:horzAnchor="page" w:tblpX="1393" w:tblpY="93"/>
        <w:tblOverlap w:val="never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3061"/>
        <w:gridCol w:w="1815"/>
        <w:gridCol w:w="1459"/>
        <w:gridCol w:w="1636"/>
        <w:gridCol w:w="13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9" w:hRule="atLeast"/>
          <w:jc w:val="center"/>
        </w:trPr>
        <w:tc>
          <w:tcPr>
            <w:tcW w:w="6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99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ind w:left="282"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776" w:type="dxa"/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最高投标限价</w:t>
            </w:r>
          </w:p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(元)</w:t>
            </w:r>
          </w:p>
        </w:tc>
        <w:tc>
          <w:tcPr>
            <w:tcW w:w="142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</w:rPr>
              <w:t>投标下浮率</w:t>
            </w:r>
          </w:p>
        </w:tc>
        <w:tc>
          <w:tcPr>
            <w:tcW w:w="1601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投标报价</w:t>
            </w:r>
          </w:p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(元)</w:t>
            </w:r>
          </w:p>
        </w:tc>
        <w:tc>
          <w:tcPr>
            <w:tcW w:w="132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12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612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99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220千伏天河棠下柔直背靠背工程稳控系统RTDS仿真试验技术服务项目</w:t>
            </w:r>
          </w:p>
        </w:tc>
        <w:tc>
          <w:tcPr>
            <w:tcW w:w="177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2473333.32</w:t>
            </w:r>
          </w:p>
        </w:tc>
        <w:tc>
          <w:tcPr>
            <w:tcW w:w="142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1601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26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900"/>
              </w:tabs>
              <w:snapToGrid w:val="0"/>
              <w:spacing w:before="60" w:after="120"/>
              <w:ind w:right="-24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b w:val="0"/>
          <w:bCs w:val="0"/>
          <w:sz w:val="24"/>
          <w:szCs w:val="24"/>
        </w:rPr>
      </w:pPr>
      <w:bookmarkStart w:id="1" w:name="_GoBack"/>
      <w:r>
        <w:rPr>
          <w:rFonts w:hint="eastAsia" w:ascii="宋体" w:hAnsi="宋体" w:cs="宋体"/>
          <w:b w:val="0"/>
          <w:bCs w:val="0"/>
          <w:sz w:val="24"/>
          <w:szCs w:val="24"/>
        </w:rPr>
        <w:t>报价要求：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1.按固定金额报价，同时填报投标下浮率。投标下浮率＝[1－(投标报价/最高投标限价）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/>
        </w:rPr>
        <w:t>]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×100%（保留两位小数，如：8.88%）。当投标报价金额与投标下浮率计算结果不一致时，以投标报价金额为准，按公式修正投标下浮率。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2.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/>
        </w:rPr>
        <w:t>报价不得高于最高投标限价，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</w:rPr>
        <w:t>报价低于最高限价85%的需提供成本分析报告时应附成本分析报告，充分说明单价和费用的组成、降低成本的合理措施及在其他工程中应用过的经验等，经评审通过后方可视为有效报价。</w:t>
      </w:r>
      <w:bookmarkEnd w:id="1"/>
    </w:p>
    <w:p>
      <w:pPr>
        <w:rPr>
          <w:rFonts w:hint="eastAsia"/>
          <w:highlight w:val="none"/>
          <w:lang w:val="en-US" w:eastAsia="zh-CN"/>
        </w:rPr>
      </w:pPr>
    </w:p>
    <w:p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Chars="0"/>
        <w:outlineLvl w:val="1"/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i w:val="0"/>
          <w:color w:val="auto"/>
          <w:kern w:val="2"/>
          <w:sz w:val="24"/>
          <w:szCs w:val="24"/>
          <w:highlight w:val="none"/>
          <w:lang w:val="en-US" w:eastAsia="zh-CN" w:bidi="ar-SA"/>
        </w:rPr>
        <w:t>四、结算方式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8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u w:val="single"/>
          <w:lang w:val="en-US" w:eastAsia="zh-CN" w:bidi="ar-SA"/>
        </w:rPr>
        <w:t>结算方式：本工程合同价总价包干。结算时总价包干部分，除合同约定可调整的情况外，结算不予调整，中标合同价款中的漏项、错项结算时视为已包括在其他子项的报价中，不予调整。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textAlignment w:val="auto"/>
        <w:rPr>
          <w:rFonts w:asciiTheme="minorEastAsia" w:hAnsiTheme="minorEastAsia" w:eastAsiaTheme="minorEastAsia" w:cstheme="minorEastAsia"/>
          <w:b/>
          <w:bCs/>
          <w:i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五、分包要求</w:t>
      </w:r>
    </w:p>
    <w:p>
      <w:pPr>
        <w:pStyle w:val="13"/>
        <w:spacing w:before="156" w:after="156"/>
        <w:ind w:firstLine="0" w:firstLineChars="0"/>
      </w:pPr>
      <w:r>
        <w:rPr>
          <w:rFonts w:ascii="Wingdings" w:hAnsi="Wingdings" w:cs="Wingdings"/>
        </w:rPr>
        <w:sym w:font="Wingdings" w:char="00FE"/>
      </w:r>
      <w:r>
        <w:rPr>
          <w:rFonts w:hint="eastAsia"/>
        </w:rPr>
        <w:t>不允许分包</w:t>
      </w:r>
    </w:p>
    <w:p>
      <w:pPr>
        <w:pStyle w:val="13"/>
        <w:spacing w:before="156" w:after="156"/>
        <w:ind w:firstLine="0" w:firstLineChars="0"/>
        <w:rPr>
          <w:rFonts w:asciiTheme="minorEastAsia" w:hAnsiTheme="minorEastAsia" w:eastAsiaTheme="minorEastAsia" w:cstheme="minorEastAsia"/>
          <w:b/>
          <w:bCs/>
          <w:snapToGrid w:val="0"/>
          <w:kern w:val="0"/>
          <w:sz w:val="28"/>
          <w:szCs w:val="28"/>
        </w:rPr>
      </w:pPr>
      <w:r>
        <w:rPr>
          <w:rFonts w:ascii="Wingdings" w:hAnsi="Wingdings" w:cs="Wingdings"/>
        </w:rPr>
        <w:sym w:font="Wingdings" w:char="00A8"/>
      </w:r>
      <w:r>
        <w:rPr>
          <w:rFonts w:hint="eastAsia"/>
        </w:rPr>
        <w:t>允许分包，但必须符合以下要求：</w:t>
      </w:r>
      <w:r>
        <w:rPr>
          <w:rFonts w:ascii="Wingdings" w:hAnsi="Wingdings" w:cs="Wingdings" w:eastAsiaTheme="minorEastAsia"/>
          <w:b/>
          <w:bCs/>
          <w:iCs/>
          <w:sz w:val="24"/>
          <w:szCs w:val="24"/>
          <w:u w:val="single"/>
        </w:rPr>
        <w:t></w:t>
      </w:r>
    </w:p>
    <w:p>
      <w:pPr>
        <w:pStyle w:val="10"/>
        <w:numPr>
          <w:ilvl w:val="0"/>
          <w:numId w:val="3"/>
        </w:numPr>
        <w:spacing w:line="360" w:lineRule="auto"/>
        <w:jc w:val="left"/>
        <w:rPr>
          <w:rFonts w:asciiTheme="minorEastAsia" w:hAnsiTheme="minorEastAsia" w:eastAsiaTheme="minorEastAsia" w:cstheme="minorEastAsia"/>
          <w:b/>
          <w:bCs/>
          <w:snapToGrid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napToGrid w:val="0"/>
          <w:sz w:val="28"/>
          <w:szCs w:val="28"/>
        </w:rPr>
        <w:t>技术标准、要求及图纸（对应招标文件 第五章）</w:t>
      </w:r>
    </w:p>
    <w:p>
      <w:pPr>
        <w:pStyle w:val="4"/>
        <w:rPr>
          <w:rFonts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  <w:t>一、 管理规范和技术（规范）标准（详见合同附件）</w:t>
      </w:r>
    </w:p>
    <w:p>
      <w:pPr>
        <w:pStyle w:val="10"/>
        <w:rPr>
          <w:rFonts w:asciiTheme="minorEastAsia" w:hAnsiTheme="minorEastAsia" w:eastAsiaTheme="minorEastAsia" w:cstheme="minorEastAsia"/>
          <w:iCs/>
          <w:sz w:val="24"/>
          <w:szCs w:val="24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textAlignment w:val="auto"/>
        <w:rPr>
          <w:rFonts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/>
          <w:color w:val="auto"/>
          <w:sz w:val="24"/>
          <w:szCs w:val="24"/>
        </w:rPr>
        <w:t>二、技术及管理要求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80" w:lineRule="auto"/>
        <w:textAlignment w:val="auto"/>
        <w:rPr>
          <w:rFonts w:hint="eastAsia" w:asciiTheme="minorEastAsia" w:hAnsiTheme="minorEastAsia" w:eastAsiaTheme="minorEastAsia" w:cstheme="minorEastAsia"/>
          <w:iCs/>
          <w:kern w:val="0"/>
          <w:sz w:val="24"/>
          <w:szCs w:val="24"/>
          <w:lang w:val="zh-CN"/>
        </w:rPr>
      </w:pPr>
      <w:r>
        <w:rPr>
          <w:rFonts w:hint="eastAsia" w:asciiTheme="minorEastAsia" w:hAnsiTheme="minorEastAsia" w:eastAsiaTheme="minorEastAsia" w:cstheme="minorEastAsia"/>
          <w:iCs/>
          <w:kern w:val="0"/>
          <w:sz w:val="24"/>
          <w:szCs w:val="24"/>
          <w:lang w:val="zh-CN"/>
        </w:rPr>
        <w:t>（一）满足南方电网公司基建管理制度、建设单位的质量、环境和职业健康安全管理体系文件、其他有关制度和规定。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157" w:beforeLines="50" w:line="480" w:lineRule="auto"/>
        <w:ind w:leftChars="0"/>
        <w:textAlignment w:val="auto"/>
        <w:outlineLvl w:val="1"/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  <w:t>（二）符合图纸及技术文件的要求（如有，详见招标文件附件）。</w:t>
      </w:r>
    </w:p>
    <w:p>
      <w:pPr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 w:val="0"/>
          <w:bCs/>
          <w:i w:val="0"/>
          <w:iCs/>
          <w:color w:val="auto"/>
          <w:kern w:val="0"/>
          <w:sz w:val="24"/>
          <w:szCs w:val="24"/>
          <w:highlight w:val="none"/>
          <w:lang w:val="zh-CN"/>
        </w:rPr>
      </w:pPr>
    </w:p>
    <w:p>
      <w:pPr>
        <w:pStyle w:val="10"/>
        <w:spacing w:line="480" w:lineRule="atLeast"/>
        <w:rPr>
          <w:rFonts w:hAnsi="宋体" w:cs="宋体"/>
          <w:sz w:val="24"/>
          <w:szCs w:val="24"/>
          <w:u w:val="single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6993E1"/>
    <w:multiLevelType w:val="singleLevel"/>
    <w:tmpl w:val="EA6993E1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AEE20F8"/>
    <w:multiLevelType w:val="singleLevel"/>
    <w:tmpl w:val="EAEE20F8"/>
    <w:lvl w:ilvl="0" w:tentative="0">
      <w:start w:val="2"/>
      <w:numFmt w:val="chineseCounting"/>
      <w:suff w:val="nothing"/>
      <w:lvlText w:val="第%1部分."/>
      <w:lvlJc w:val="left"/>
      <w:rPr>
        <w:rFonts w:hint="eastAsia"/>
      </w:rPr>
    </w:lvl>
  </w:abstractNum>
  <w:abstractNum w:abstractNumId="2">
    <w:nsid w:val="0D7920FF"/>
    <w:multiLevelType w:val="singleLevel"/>
    <w:tmpl w:val="0D7920FF"/>
    <w:lvl w:ilvl="0" w:tentative="0">
      <w:start w:val="1"/>
      <w:numFmt w:val="chineseCounting"/>
      <w:suff w:val="nothing"/>
      <w:lvlText w:val="第%1部分.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MxYTBmM2ExNDA5MTI5NmEwNjA4YTk5MmRmY2Y2MzgifQ=="/>
  </w:docVars>
  <w:rsids>
    <w:rsidRoot w:val="24F737D8"/>
    <w:rsid w:val="001270A5"/>
    <w:rsid w:val="00226E9F"/>
    <w:rsid w:val="006A1714"/>
    <w:rsid w:val="007A4AD7"/>
    <w:rsid w:val="00831E29"/>
    <w:rsid w:val="009547D2"/>
    <w:rsid w:val="01603AA8"/>
    <w:rsid w:val="02A15629"/>
    <w:rsid w:val="04A24F71"/>
    <w:rsid w:val="05955A7A"/>
    <w:rsid w:val="076F3B3B"/>
    <w:rsid w:val="07CA37DF"/>
    <w:rsid w:val="0A981059"/>
    <w:rsid w:val="0B4A6210"/>
    <w:rsid w:val="0BC07002"/>
    <w:rsid w:val="0E2F4C02"/>
    <w:rsid w:val="0E3616E0"/>
    <w:rsid w:val="0E394169"/>
    <w:rsid w:val="0E8D41AB"/>
    <w:rsid w:val="0F81532F"/>
    <w:rsid w:val="107144D2"/>
    <w:rsid w:val="107B4E12"/>
    <w:rsid w:val="116419AD"/>
    <w:rsid w:val="11DF6CFE"/>
    <w:rsid w:val="131729B1"/>
    <w:rsid w:val="13383335"/>
    <w:rsid w:val="13CB3A86"/>
    <w:rsid w:val="143F62C3"/>
    <w:rsid w:val="14440D4B"/>
    <w:rsid w:val="14781EB9"/>
    <w:rsid w:val="14AF14A4"/>
    <w:rsid w:val="14B666F3"/>
    <w:rsid w:val="15056A61"/>
    <w:rsid w:val="17722603"/>
    <w:rsid w:val="18E57496"/>
    <w:rsid w:val="18F87A14"/>
    <w:rsid w:val="1A386933"/>
    <w:rsid w:val="1A4F176B"/>
    <w:rsid w:val="1A5C7D08"/>
    <w:rsid w:val="1B663F82"/>
    <w:rsid w:val="1C2D4629"/>
    <w:rsid w:val="1C43636C"/>
    <w:rsid w:val="1C8618B6"/>
    <w:rsid w:val="1D904223"/>
    <w:rsid w:val="1EAD1FE0"/>
    <w:rsid w:val="1F5F1CED"/>
    <w:rsid w:val="1F653C49"/>
    <w:rsid w:val="1FF914D4"/>
    <w:rsid w:val="20735046"/>
    <w:rsid w:val="20AD7527"/>
    <w:rsid w:val="20B46EB2"/>
    <w:rsid w:val="20EE3814"/>
    <w:rsid w:val="20F44F52"/>
    <w:rsid w:val="21656CD6"/>
    <w:rsid w:val="216E5E94"/>
    <w:rsid w:val="216F4D5B"/>
    <w:rsid w:val="21C11DC8"/>
    <w:rsid w:val="21FF3314"/>
    <w:rsid w:val="23B738BA"/>
    <w:rsid w:val="24E67795"/>
    <w:rsid w:val="24F737D8"/>
    <w:rsid w:val="2525523D"/>
    <w:rsid w:val="26331A2E"/>
    <w:rsid w:val="26EB3B6A"/>
    <w:rsid w:val="27553BFB"/>
    <w:rsid w:val="291D5E51"/>
    <w:rsid w:val="297A57BC"/>
    <w:rsid w:val="2BE07E0A"/>
    <w:rsid w:val="2C3F0EDD"/>
    <w:rsid w:val="2C9170B9"/>
    <w:rsid w:val="2CA17C08"/>
    <w:rsid w:val="2DDF66E3"/>
    <w:rsid w:val="2F6F3BF5"/>
    <w:rsid w:val="2F8D373D"/>
    <w:rsid w:val="2FF65FF8"/>
    <w:rsid w:val="300D195C"/>
    <w:rsid w:val="30BF37B5"/>
    <w:rsid w:val="30DB62D5"/>
    <w:rsid w:val="313B0851"/>
    <w:rsid w:val="314A7D1A"/>
    <w:rsid w:val="31A1649A"/>
    <w:rsid w:val="31C955A9"/>
    <w:rsid w:val="333E48FB"/>
    <w:rsid w:val="33B200AF"/>
    <w:rsid w:val="33C75702"/>
    <w:rsid w:val="33DE3BE5"/>
    <w:rsid w:val="33E61BE2"/>
    <w:rsid w:val="361736AD"/>
    <w:rsid w:val="36D200CF"/>
    <w:rsid w:val="379951F8"/>
    <w:rsid w:val="38382DC3"/>
    <w:rsid w:val="38411C26"/>
    <w:rsid w:val="387058E0"/>
    <w:rsid w:val="38DE045C"/>
    <w:rsid w:val="39002B1C"/>
    <w:rsid w:val="394F15B2"/>
    <w:rsid w:val="3987396D"/>
    <w:rsid w:val="39C4552A"/>
    <w:rsid w:val="3AEB5496"/>
    <w:rsid w:val="3B006358"/>
    <w:rsid w:val="3B595AEE"/>
    <w:rsid w:val="3B653766"/>
    <w:rsid w:val="3BF24D81"/>
    <w:rsid w:val="3BFE7BEA"/>
    <w:rsid w:val="3C4750A3"/>
    <w:rsid w:val="3C4A35F1"/>
    <w:rsid w:val="3D302643"/>
    <w:rsid w:val="3D595233"/>
    <w:rsid w:val="40B82DA3"/>
    <w:rsid w:val="416318D6"/>
    <w:rsid w:val="4202005B"/>
    <w:rsid w:val="420455E6"/>
    <w:rsid w:val="42E67EAC"/>
    <w:rsid w:val="42E73C50"/>
    <w:rsid w:val="44615257"/>
    <w:rsid w:val="448B54F0"/>
    <w:rsid w:val="44982260"/>
    <w:rsid w:val="44D414C9"/>
    <w:rsid w:val="46472D5E"/>
    <w:rsid w:val="472C7D85"/>
    <w:rsid w:val="485D3F87"/>
    <w:rsid w:val="48E7672C"/>
    <w:rsid w:val="496A657E"/>
    <w:rsid w:val="49843C09"/>
    <w:rsid w:val="4A4F5731"/>
    <w:rsid w:val="4B3A1BDA"/>
    <w:rsid w:val="4BF83760"/>
    <w:rsid w:val="4C5B4768"/>
    <w:rsid w:val="4C8349B8"/>
    <w:rsid w:val="4CA51BD2"/>
    <w:rsid w:val="4CEF4EA4"/>
    <w:rsid w:val="4CF27F48"/>
    <w:rsid w:val="4CFC2A9F"/>
    <w:rsid w:val="504766FD"/>
    <w:rsid w:val="507241DA"/>
    <w:rsid w:val="511E33B9"/>
    <w:rsid w:val="54645881"/>
    <w:rsid w:val="552A0C96"/>
    <w:rsid w:val="55BB16B6"/>
    <w:rsid w:val="55C3156A"/>
    <w:rsid w:val="560A4CB8"/>
    <w:rsid w:val="56CC7B5C"/>
    <w:rsid w:val="574F75D9"/>
    <w:rsid w:val="5782183A"/>
    <w:rsid w:val="57BD355E"/>
    <w:rsid w:val="58D21C48"/>
    <w:rsid w:val="5A805F9A"/>
    <w:rsid w:val="5B0320E2"/>
    <w:rsid w:val="5B8B11A7"/>
    <w:rsid w:val="5B9E2EC4"/>
    <w:rsid w:val="5BDC37A3"/>
    <w:rsid w:val="5BE97A48"/>
    <w:rsid w:val="5CD10D7E"/>
    <w:rsid w:val="5D5938ED"/>
    <w:rsid w:val="60002310"/>
    <w:rsid w:val="608606DE"/>
    <w:rsid w:val="610E324A"/>
    <w:rsid w:val="61F31EFD"/>
    <w:rsid w:val="625A44A9"/>
    <w:rsid w:val="62AB72E9"/>
    <w:rsid w:val="63066BC7"/>
    <w:rsid w:val="63D0487B"/>
    <w:rsid w:val="64672037"/>
    <w:rsid w:val="64911DA0"/>
    <w:rsid w:val="64F03E48"/>
    <w:rsid w:val="65256B93"/>
    <w:rsid w:val="65945D8D"/>
    <w:rsid w:val="66154E74"/>
    <w:rsid w:val="66C35559"/>
    <w:rsid w:val="66D86646"/>
    <w:rsid w:val="67D57489"/>
    <w:rsid w:val="68570F93"/>
    <w:rsid w:val="6A287B5E"/>
    <w:rsid w:val="6B303A1A"/>
    <w:rsid w:val="6BEE51E2"/>
    <w:rsid w:val="6C704794"/>
    <w:rsid w:val="6DAA2FDF"/>
    <w:rsid w:val="6DF95579"/>
    <w:rsid w:val="6E121228"/>
    <w:rsid w:val="6F8447F5"/>
    <w:rsid w:val="6F9F2C7C"/>
    <w:rsid w:val="704D25A4"/>
    <w:rsid w:val="70D1495F"/>
    <w:rsid w:val="70ED510D"/>
    <w:rsid w:val="712F63C0"/>
    <w:rsid w:val="7203396B"/>
    <w:rsid w:val="72717CD1"/>
    <w:rsid w:val="743E1546"/>
    <w:rsid w:val="74614F7E"/>
    <w:rsid w:val="74695E39"/>
    <w:rsid w:val="74980354"/>
    <w:rsid w:val="753A7B6F"/>
    <w:rsid w:val="754C6F3B"/>
    <w:rsid w:val="75B11AFF"/>
    <w:rsid w:val="75D32619"/>
    <w:rsid w:val="76143E0D"/>
    <w:rsid w:val="76307412"/>
    <w:rsid w:val="768D126A"/>
    <w:rsid w:val="76F8116A"/>
    <w:rsid w:val="780B6A75"/>
    <w:rsid w:val="78B8009B"/>
    <w:rsid w:val="78DD0E2E"/>
    <w:rsid w:val="79F83E18"/>
    <w:rsid w:val="7B6A73CF"/>
    <w:rsid w:val="7CED7DC5"/>
    <w:rsid w:val="7D0F76D8"/>
    <w:rsid w:val="7E3420E0"/>
    <w:rsid w:val="7E93608E"/>
    <w:rsid w:val="7F1B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autoSpaceDE w:val="0"/>
      <w:autoSpaceDN w:val="0"/>
      <w:adjustRightInd w:val="0"/>
      <w:outlineLvl w:val="0"/>
    </w:pPr>
    <w:rPr>
      <w:rFonts w:ascii="Arial" w:hAnsi="Arial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5">
    <w:name w:val="Normal Indent"/>
    <w:basedOn w:val="1"/>
    <w:qFormat/>
    <w:uiPriority w:val="0"/>
    <w:pPr>
      <w:ind w:firstLine="420"/>
    </w:pPr>
    <w:rPr>
      <w:rFonts w:ascii="Times New Roman" w:hAnsi="Times New Roman"/>
      <w:kern w:val="0"/>
      <w:sz w:val="20"/>
      <w:szCs w:val="2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8"/>
    <w:unhideWhenUsed/>
    <w:qFormat/>
    <w:uiPriority w:val="99"/>
    <w:pPr>
      <w:spacing w:after="120"/>
    </w:pPr>
  </w:style>
  <w:style w:type="paragraph" w:styleId="8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9">
    <w:name w:val="Body Text Indent"/>
    <w:basedOn w:val="1"/>
    <w:qFormat/>
    <w:uiPriority w:val="0"/>
    <w:pPr>
      <w:spacing w:after="120"/>
      <w:ind w:left="420" w:leftChars="200"/>
    </w:pPr>
  </w:style>
  <w:style w:type="paragraph" w:styleId="10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11">
    <w:name w:val="Balloon Text"/>
    <w:basedOn w:val="1"/>
    <w:link w:val="20"/>
    <w:qFormat/>
    <w:uiPriority w:val="0"/>
    <w:rPr>
      <w:sz w:val="18"/>
      <w:szCs w:val="18"/>
    </w:r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"/>
    <w:basedOn w:val="7"/>
    <w:qFormat/>
    <w:uiPriority w:val="0"/>
    <w:pPr>
      <w:spacing w:beforeLines="50" w:after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annotation reference"/>
    <w:basedOn w:val="16"/>
    <w:qFormat/>
    <w:uiPriority w:val="0"/>
    <w:rPr>
      <w:sz w:val="21"/>
      <w:szCs w:val="21"/>
    </w:rPr>
  </w:style>
  <w:style w:type="paragraph" w:customStyle="1" w:styleId="18">
    <w:name w:val="正文首行缩进1"/>
    <w:basedOn w:val="1"/>
    <w:qFormat/>
    <w:uiPriority w:val="0"/>
    <w:pPr>
      <w:spacing w:line="360" w:lineRule="auto"/>
      <w:ind w:firstLine="200" w:firstLineChars="200"/>
    </w:pPr>
    <w:rPr>
      <w:sz w:val="24"/>
      <w:szCs w:val="24"/>
    </w:rPr>
  </w:style>
  <w:style w:type="character" w:customStyle="1" w:styleId="19">
    <w:name w:val="font1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批注框文本 Char"/>
    <w:basedOn w:val="16"/>
    <w:link w:val="11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1">
    <w:name w:val="font91"/>
    <w:basedOn w:val="16"/>
    <w:qFormat/>
    <w:uiPriority w:val="0"/>
    <w:rPr>
      <w:rFonts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GEDI</Company>
  <Pages>3</Pages>
  <Words>1250</Words>
  <Characters>1394</Characters>
  <Lines>20</Lines>
  <Paragraphs>5</Paragraphs>
  <TotalTime>15</TotalTime>
  <ScaleCrop>false</ScaleCrop>
  <LinksUpToDate>false</LinksUpToDate>
  <CharactersWithSpaces>1565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2024-06-27T05:28:00Z</dcterms:created>
  <dc:creator>maja</dc:creator>
  <cp:lastModifiedBy>龙思妤</cp:lastModifiedBy>
  <dcterms:modified xsi:type="dcterms:W3CDTF">2026-07-02T03:33:40Z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EB35DAAC357B4B3C97BD0B9AF48465B4</vt:lpwstr>
  </property>
  <property fmtid="{D5CDD505-2E9C-101B-9397-08002B2CF9AE}" pid="4" name="KSOTemplateDocerSaveRecord">
    <vt:lpwstr>eyJoZGlkIjoiNmUwN2ZmY2I1Y2I3NTViYzRhMTk2NzRkOWQwMjE3NzYiLCJ1c2VySWQiOiI0NTUxMjYzMDkifQ==</vt:lpwstr>
  </property>
</Properties>
</file>