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0"/>
        <w:spacing w:line="360" w:lineRule="auto"/>
        <w:jc w:val="left"/>
        <w:rPr>
          <w:rFonts w:asciiTheme="minorEastAsia" w:hAnsiTheme="minorEastAsia" w:eastAsiaTheme="minorEastAsia" w:cstheme="minorEastAsia"/>
          <w:b/>
          <w:bCs/>
          <w:snapToGrid w:val="0"/>
          <w:sz w:val="32"/>
          <w:szCs w:val="32"/>
        </w:rPr>
      </w:pPr>
      <w:bookmarkStart w:id="0" w:name="_Toc8445"/>
      <w:r>
        <w:rPr>
          <w:rFonts w:hint="eastAsia" w:asciiTheme="minorEastAsia" w:hAnsiTheme="minorEastAsia" w:eastAsiaTheme="minorEastAsia" w:cstheme="minorEastAsia"/>
          <w:b/>
          <w:bCs/>
          <w:snapToGrid w:val="0"/>
          <w:sz w:val="32"/>
          <w:szCs w:val="32"/>
        </w:rPr>
        <w:t>附件A.项目信息清单</w:t>
      </w:r>
      <w:r>
        <w:rPr>
          <w:rFonts w:hint="eastAsia" w:asciiTheme="minorEastAsia" w:hAnsiTheme="minorEastAsia" w:eastAsiaTheme="minorEastAsia" w:cstheme="minorEastAsia"/>
          <w:b/>
          <w:bCs/>
          <w:snapToGrid w:val="0"/>
          <w:sz w:val="28"/>
          <w:szCs w:val="28"/>
        </w:rPr>
        <w:t>（</w:t>
      </w:r>
      <w:r>
        <w:rPr>
          <w:rFonts w:hint="eastAsia" w:asciiTheme="minorEastAsia" w:hAnsiTheme="minorEastAsia" w:eastAsiaTheme="minorEastAsia" w:cstheme="minorEastAsia"/>
          <w:b/>
          <w:bCs/>
          <w:snapToGrid w:val="0"/>
          <w:color w:val="auto"/>
          <w:sz w:val="28"/>
          <w:szCs w:val="28"/>
          <w:u w:val="single"/>
        </w:rPr>
        <w:t>220千伏天河棠下柔直背靠背工程城市柔直换流站标准技术服务项目</w:t>
      </w:r>
      <w:r>
        <w:rPr>
          <w:rFonts w:hint="eastAsia" w:asciiTheme="minorEastAsia" w:hAnsiTheme="minorEastAsia" w:eastAsiaTheme="minorEastAsia" w:cstheme="minorEastAsia"/>
          <w:b/>
          <w:bCs/>
          <w:snapToGrid w:val="0"/>
          <w:sz w:val="28"/>
          <w:szCs w:val="28"/>
        </w:rPr>
        <w:t>）</w:t>
      </w:r>
    </w:p>
    <w:bookmarkEnd w:id="0"/>
    <w:p>
      <w:pPr>
        <w:pStyle w:val="10"/>
        <w:numPr>
          <w:ilvl w:val="0"/>
          <w:numId w:val="1"/>
        </w:numPr>
        <w:spacing w:line="360" w:lineRule="auto"/>
        <w:jc w:val="left"/>
        <w:rPr>
          <w:rFonts w:asciiTheme="minorEastAsia" w:hAnsiTheme="minorEastAsia" w:eastAsiaTheme="minorEastAsia" w:cstheme="minorEastAsia"/>
          <w:b/>
          <w:bCs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/>
          <w:bCs/>
          <w:snapToGrid w:val="0"/>
          <w:sz w:val="28"/>
          <w:szCs w:val="28"/>
        </w:rPr>
        <w:t>项目信息</w:t>
      </w:r>
    </w:p>
    <w:p>
      <w:pPr>
        <w:pStyle w:val="10"/>
        <w:spacing w:line="360" w:lineRule="auto"/>
        <w:jc w:val="center"/>
        <w:rPr>
          <w:rFonts w:asciiTheme="minorEastAsia" w:hAnsiTheme="minorEastAsia" w:eastAsiaTheme="minorEastAsia" w:cstheme="minorEastAsia"/>
          <w:b/>
          <w:bCs/>
          <w:sz w:val="24"/>
          <w:szCs w:val="24"/>
        </w:rPr>
      </w:pPr>
      <w:r>
        <w:rPr>
          <w:rFonts w:hint="eastAsia" w:hAnsi="宋体" w:cs="宋体"/>
          <w:b/>
          <w:bCs/>
          <w:snapToGrid w:val="0"/>
          <w:sz w:val="24"/>
          <w:szCs w:val="24"/>
        </w:rPr>
        <w:t>招标前期资料</w:t>
      </w:r>
    </w:p>
    <w:tbl>
      <w:tblPr>
        <w:tblStyle w:val="15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9"/>
        <w:gridCol w:w="3840"/>
        <w:gridCol w:w="53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exact"/>
          <w:jc w:val="center"/>
        </w:trPr>
        <w:tc>
          <w:tcPr>
            <w:tcW w:w="396" w:type="pct"/>
          </w:tcPr>
          <w:p>
            <w:pPr>
              <w:pStyle w:val="10"/>
              <w:spacing w:line="360" w:lineRule="auto"/>
              <w:jc w:val="center"/>
              <w:rPr>
                <w:rFonts w:asciiTheme="minorEastAsia" w:hAnsiTheme="minorEastAsia" w:eastAsiaTheme="minorEastAsia" w:cstheme="minorEastAsia"/>
                <w:snapToGrid w:val="0"/>
                <w:sz w:val="24"/>
                <w:szCs w:val="24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4"/>
                <w:szCs w:val="24"/>
              </w:rPr>
              <w:t>序号</w:t>
            </w:r>
          </w:p>
        </w:tc>
        <w:tc>
          <w:tcPr>
            <w:tcW w:w="1927" w:type="pct"/>
          </w:tcPr>
          <w:p>
            <w:pPr>
              <w:pStyle w:val="10"/>
              <w:spacing w:line="360" w:lineRule="auto"/>
              <w:jc w:val="center"/>
              <w:rPr>
                <w:rFonts w:asciiTheme="minorEastAsia" w:hAnsiTheme="minorEastAsia" w:eastAsiaTheme="minorEastAsia" w:cstheme="minorEastAsia"/>
                <w:snapToGrid w:val="0"/>
                <w:sz w:val="24"/>
                <w:szCs w:val="24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4"/>
                <w:szCs w:val="24"/>
              </w:rPr>
              <w:t>文件名称</w:t>
            </w:r>
          </w:p>
        </w:tc>
        <w:tc>
          <w:tcPr>
            <w:tcW w:w="2676" w:type="pct"/>
          </w:tcPr>
          <w:p>
            <w:pPr>
              <w:pStyle w:val="10"/>
              <w:spacing w:line="360" w:lineRule="auto"/>
              <w:jc w:val="center"/>
              <w:rPr>
                <w:rFonts w:asciiTheme="minorEastAsia" w:hAnsiTheme="minorEastAsia" w:eastAsiaTheme="minorEastAsia" w:cstheme="minorEastAsia"/>
                <w:snapToGrid w:val="0"/>
                <w:sz w:val="24"/>
                <w:szCs w:val="24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4"/>
                <w:szCs w:val="24"/>
              </w:rPr>
              <w:t>文件文号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exact"/>
          <w:jc w:val="center"/>
        </w:trPr>
        <w:tc>
          <w:tcPr>
            <w:tcW w:w="396" w:type="pct"/>
            <w:vAlign w:val="center"/>
          </w:tcPr>
          <w:p>
            <w:pPr>
              <w:pStyle w:val="10"/>
              <w:spacing w:line="480" w:lineRule="exact"/>
              <w:jc w:val="center"/>
              <w:rPr>
                <w:rFonts w:asciiTheme="minorEastAsia" w:hAnsiTheme="minorEastAsia" w:eastAsiaTheme="minorEastAsia" w:cstheme="minorEastAsia"/>
                <w:snapToGrid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sz w:val="24"/>
                <w:szCs w:val="24"/>
              </w:rPr>
              <w:t>1</w:t>
            </w:r>
          </w:p>
        </w:tc>
        <w:tc>
          <w:tcPr>
            <w:tcW w:w="1927" w:type="pct"/>
            <w:vAlign w:val="center"/>
          </w:tcPr>
          <w:p>
            <w:pPr>
              <w:pStyle w:val="10"/>
              <w:spacing w:line="480" w:lineRule="exact"/>
              <w:jc w:val="center"/>
              <w:rPr>
                <w:rFonts w:asciiTheme="minorEastAsia" w:hAnsiTheme="minorEastAsia" w:eastAsiaTheme="minorEastAsia" w:cstheme="minorEastAsia"/>
                <w:snapToGrid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sz w:val="24"/>
                <w:szCs w:val="24"/>
              </w:rPr>
              <w:t>项目立项(可研批复)文号</w:t>
            </w:r>
          </w:p>
        </w:tc>
        <w:tc>
          <w:tcPr>
            <w:tcW w:w="2676" w:type="pct"/>
            <w:vAlign w:val="center"/>
          </w:tcPr>
          <w:p>
            <w:pPr>
              <w:pStyle w:val="10"/>
              <w:spacing w:line="480" w:lineRule="exact"/>
              <w:jc w:val="center"/>
              <w:rPr>
                <w:rFonts w:asciiTheme="minorEastAsia" w:hAnsiTheme="minorEastAsia" w:eastAsiaTheme="minorEastAsia" w:cstheme="minorEastAsia"/>
                <w:snapToGrid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sz w:val="24"/>
                <w:szCs w:val="24"/>
              </w:rPr>
              <w:t>广供电基〔2024〕66号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2" w:hRule="exact"/>
          <w:jc w:val="center"/>
        </w:trPr>
        <w:tc>
          <w:tcPr>
            <w:tcW w:w="396" w:type="pct"/>
            <w:vAlign w:val="center"/>
          </w:tcPr>
          <w:p>
            <w:pPr>
              <w:pStyle w:val="10"/>
              <w:spacing w:line="480" w:lineRule="exact"/>
              <w:jc w:val="center"/>
              <w:rPr>
                <w:rFonts w:asciiTheme="minorEastAsia" w:hAnsiTheme="minorEastAsia" w:eastAsiaTheme="minorEastAsia" w:cstheme="minorEastAsia"/>
                <w:snapToGrid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sz w:val="24"/>
                <w:szCs w:val="24"/>
              </w:rPr>
              <w:t>2</w:t>
            </w:r>
          </w:p>
        </w:tc>
        <w:tc>
          <w:tcPr>
            <w:tcW w:w="1927" w:type="pct"/>
            <w:vAlign w:val="center"/>
          </w:tcPr>
          <w:p>
            <w:pPr>
              <w:pStyle w:val="10"/>
              <w:spacing w:line="480" w:lineRule="exact"/>
              <w:jc w:val="center"/>
              <w:rPr>
                <w:rFonts w:asciiTheme="minorEastAsia" w:hAnsiTheme="minorEastAsia" w:eastAsiaTheme="minorEastAsia" w:cstheme="minorEastAsia"/>
                <w:snapToGrid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sz w:val="24"/>
                <w:szCs w:val="24"/>
              </w:rPr>
              <w:t>资金落实情况</w:t>
            </w:r>
          </w:p>
        </w:tc>
        <w:tc>
          <w:tcPr>
            <w:tcW w:w="2676" w:type="pct"/>
            <w:vAlign w:val="center"/>
          </w:tcPr>
          <w:p>
            <w:pPr>
              <w:pStyle w:val="10"/>
              <w:spacing w:line="480" w:lineRule="exact"/>
              <w:jc w:val="center"/>
              <w:rPr>
                <w:rFonts w:hint="eastAsia" w:asciiTheme="minorEastAsia" w:hAnsiTheme="minorEastAsia" w:eastAsiaTheme="minorEastAsia" w:cstheme="minorEastAsia"/>
                <w:snapToGrid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sz w:val="24"/>
                <w:szCs w:val="24"/>
              </w:rPr>
              <w:t>广供电资〔2024〕28号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396" w:type="pct"/>
            <w:vAlign w:val="center"/>
          </w:tcPr>
          <w:p>
            <w:pPr>
              <w:pStyle w:val="10"/>
              <w:spacing w:line="480" w:lineRule="exact"/>
              <w:jc w:val="center"/>
              <w:rPr>
                <w:rFonts w:asciiTheme="minorEastAsia" w:hAnsiTheme="minorEastAsia" w:eastAsiaTheme="minorEastAsia" w:cstheme="minorEastAsia"/>
                <w:snapToGrid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sz w:val="24"/>
                <w:szCs w:val="24"/>
              </w:rPr>
              <w:t>3</w:t>
            </w:r>
          </w:p>
        </w:tc>
        <w:tc>
          <w:tcPr>
            <w:tcW w:w="1927" w:type="pct"/>
            <w:vAlign w:val="center"/>
          </w:tcPr>
          <w:p>
            <w:pPr>
              <w:pStyle w:val="10"/>
              <w:spacing w:line="480" w:lineRule="exact"/>
              <w:jc w:val="center"/>
              <w:rPr>
                <w:rFonts w:asciiTheme="minorEastAsia" w:hAnsiTheme="minorEastAsia" w:eastAsiaTheme="minorEastAsia" w:cstheme="minorEastAsia"/>
                <w:snapToGrid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sz w:val="24"/>
                <w:szCs w:val="24"/>
              </w:rPr>
              <w:t>项目建设单位</w:t>
            </w:r>
          </w:p>
        </w:tc>
        <w:tc>
          <w:tcPr>
            <w:tcW w:w="2676" w:type="pct"/>
            <w:vAlign w:val="center"/>
          </w:tcPr>
          <w:p>
            <w:pPr>
              <w:pStyle w:val="10"/>
              <w:spacing w:line="480" w:lineRule="exact"/>
              <w:jc w:val="center"/>
              <w:rPr>
                <w:rFonts w:asciiTheme="minorEastAsia" w:hAnsiTheme="minorEastAsia" w:eastAsiaTheme="minorEastAsia" w:cstheme="minorEastAsia"/>
                <w:snapToGrid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sz w:val="24"/>
                <w:szCs w:val="24"/>
              </w:rPr>
              <w:t>广东电网有限责任公司广州供电局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396" w:type="pct"/>
            <w:vAlign w:val="center"/>
          </w:tcPr>
          <w:p>
            <w:pPr>
              <w:pStyle w:val="10"/>
              <w:spacing w:line="480" w:lineRule="exact"/>
              <w:jc w:val="center"/>
              <w:rPr>
                <w:rFonts w:asciiTheme="minorEastAsia" w:hAnsiTheme="minorEastAsia" w:eastAsiaTheme="minorEastAsia" w:cstheme="minorEastAsia"/>
                <w:snapToGrid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sz w:val="24"/>
                <w:szCs w:val="24"/>
              </w:rPr>
              <w:t>4</w:t>
            </w:r>
          </w:p>
        </w:tc>
        <w:tc>
          <w:tcPr>
            <w:tcW w:w="1927" w:type="pct"/>
            <w:vAlign w:val="center"/>
          </w:tcPr>
          <w:p>
            <w:pPr>
              <w:pStyle w:val="10"/>
              <w:spacing w:line="480" w:lineRule="exact"/>
              <w:jc w:val="center"/>
              <w:rPr>
                <w:rFonts w:asciiTheme="minorEastAsia" w:hAnsiTheme="minorEastAsia" w:eastAsiaTheme="minorEastAsia" w:cstheme="minorEastAsia"/>
                <w:snapToGrid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sz w:val="24"/>
                <w:szCs w:val="24"/>
              </w:rPr>
              <w:t>项目建设地点</w:t>
            </w:r>
          </w:p>
        </w:tc>
        <w:tc>
          <w:tcPr>
            <w:tcW w:w="2676" w:type="pct"/>
            <w:vAlign w:val="center"/>
          </w:tcPr>
          <w:p>
            <w:pPr>
              <w:pStyle w:val="10"/>
              <w:spacing w:line="480" w:lineRule="exact"/>
              <w:jc w:val="center"/>
              <w:rPr>
                <w:rFonts w:asciiTheme="minorEastAsia" w:hAnsiTheme="minorEastAsia" w:eastAsiaTheme="minorEastAsia" w:cstheme="minorEastAsia"/>
                <w:snapToGrid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sz w:val="24"/>
                <w:szCs w:val="24"/>
              </w:rPr>
              <w:t>广州市天河区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8" w:hRule="exact"/>
          <w:jc w:val="center"/>
        </w:trPr>
        <w:tc>
          <w:tcPr>
            <w:tcW w:w="396" w:type="pct"/>
            <w:vAlign w:val="center"/>
          </w:tcPr>
          <w:p>
            <w:pPr>
              <w:pStyle w:val="10"/>
              <w:spacing w:line="480" w:lineRule="exact"/>
              <w:jc w:val="center"/>
              <w:rPr>
                <w:rFonts w:asciiTheme="minorEastAsia" w:hAnsiTheme="minorEastAsia" w:eastAsiaTheme="minorEastAsia" w:cstheme="minorEastAsia"/>
                <w:snapToGrid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sz w:val="24"/>
                <w:szCs w:val="24"/>
              </w:rPr>
              <w:t>5</w:t>
            </w:r>
          </w:p>
        </w:tc>
        <w:tc>
          <w:tcPr>
            <w:tcW w:w="1927" w:type="pct"/>
            <w:vAlign w:val="center"/>
          </w:tcPr>
          <w:p>
            <w:pPr>
              <w:pStyle w:val="10"/>
              <w:snapToGrid w:val="0"/>
              <w:jc w:val="center"/>
              <w:rPr>
                <w:rFonts w:asciiTheme="minorEastAsia" w:hAnsiTheme="minorEastAsia" w:eastAsiaTheme="minorEastAsia" w:cstheme="minorEastAsia"/>
                <w:snapToGrid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sz w:val="24"/>
                <w:szCs w:val="24"/>
              </w:rPr>
              <w:t>服务期/框架有效期</w:t>
            </w:r>
          </w:p>
        </w:tc>
        <w:tc>
          <w:tcPr>
            <w:tcW w:w="2676" w:type="pct"/>
            <w:vAlign w:val="center"/>
          </w:tcPr>
          <w:p>
            <w:pPr>
              <w:pStyle w:val="10"/>
              <w:snapToGrid w:val="0"/>
              <w:jc w:val="center"/>
              <w:rPr>
                <w:rFonts w:hAnsi="宋体" w:cs="宋体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color w:val="auto"/>
                <w:sz w:val="24"/>
                <w:szCs w:val="24"/>
                <w:highlight w:val="none"/>
                <w:u w:val="single"/>
              </w:rPr>
              <w:t>合同签订之日起至</w:t>
            </w:r>
            <w:r>
              <w:rPr>
                <w:rFonts w:hint="eastAsia" w:asciiTheme="minorEastAsia" w:hAnsiTheme="minorEastAsia" w:eastAsiaTheme="minorEastAsia" w:cstheme="minorEastAsia"/>
                <w:snapToGrid w:val="0"/>
                <w:color w:val="auto"/>
                <w:sz w:val="24"/>
                <w:szCs w:val="24"/>
                <w:highlight w:val="none"/>
                <w:u w:val="single"/>
                <w:lang w:val="en-US" w:eastAsia="zh-CN"/>
              </w:rPr>
              <w:t>2027</w:t>
            </w:r>
            <w:r>
              <w:rPr>
                <w:rFonts w:hint="eastAsia" w:asciiTheme="minorEastAsia" w:hAnsiTheme="minorEastAsia" w:eastAsiaTheme="minorEastAsia" w:cstheme="minorEastAsia"/>
                <w:snapToGrid w:val="0"/>
                <w:color w:val="auto"/>
                <w:sz w:val="24"/>
                <w:szCs w:val="24"/>
                <w:highlight w:val="none"/>
                <w:u w:val="single"/>
              </w:rPr>
              <w:t>年</w:t>
            </w:r>
            <w:r>
              <w:rPr>
                <w:rFonts w:hint="eastAsia" w:asciiTheme="minorEastAsia" w:hAnsiTheme="minorEastAsia" w:eastAsiaTheme="minorEastAsia" w:cstheme="minorEastAsia"/>
                <w:snapToGrid w:val="0"/>
                <w:color w:val="auto"/>
                <w:sz w:val="24"/>
                <w:szCs w:val="24"/>
                <w:highlight w:val="none"/>
                <w:u w:val="single"/>
                <w:lang w:val="en-US" w:eastAsia="zh-CN"/>
              </w:rPr>
              <w:t>12</w:t>
            </w:r>
            <w:r>
              <w:rPr>
                <w:rFonts w:hint="eastAsia" w:asciiTheme="minorEastAsia" w:hAnsiTheme="minorEastAsia" w:eastAsiaTheme="minorEastAsia" w:cstheme="minorEastAsia"/>
                <w:snapToGrid w:val="0"/>
                <w:color w:val="auto"/>
                <w:sz w:val="24"/>
                <w:szCs w:val="24"/>
                <w:highlight w:val="none"/>
                <w:u w:val="single"/>
              </w:rPr>
              <w:t>月</w:t>
            </w:r>
            <w:r>
              <w:rPr>
                <w:rFonts w:hint="eastAsia" w:asciiTheme="minorEastAsia" w:hAnsiTheme="minorEastAsia" w:eastAsiaTheme="minorEastAsia" w:cstheme="minorEastAsia"/>
                <w:snapToGrid w:val="0"/>
                <w:color w:val="auto"/>
                <w:sz w:val="24"/>
                <w:szCs w:val="24"/>
                <w:highlight w:val="none"/>
                <w:u w:val="single"/>
                <w:lang w:val="en-US" w:eastAsia="zh-CN"/>
              </w:rPr>
              <w:t>30</w:t>
            </w:r>
            <w:r>
              <w:rPr>
                <w:rFonts w:hint="eastAsia" w:asciiTheme="minorEastAsia" w:hAnsiTheme="minorEastAsia" w:eastAsiaTheme="minorEastAsia" w:cstheme="minorEastAsia"/>
                <w:snapToGrid w:val="0"/>
                <w:color w:val="auto"/>
                <w:sz w:val="24"/>
                <w:szCs w:val="24"/>
                <w:highlight w:val="none"/>
                <w:u w:val="single"/>
              </w:rPr>
              <w:t>日。</w:t>
            </w:r>
          </w:p>
        </w:tc>
      </w:tr>
    </w:tbl>
    <w:p>
      <w:pPr>
        <w:spacing w:before="156" w:beforeLines="50" w:after="156" w:afterLines="50" w:line="480" w:lineRule="auto"/>
        <w:rPr>
          <w:rFonts w:asciiTheme="minorEastAsia" w:hAnsiTheme="minorEastAsia" w:eastAsiaTheme="minorEastAsia" w:cstheme="minorEastAsia"/>
          <w:b/>
          <w:bCs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</w:rPr>
        <w:t>一、项目概况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val="en-US" w:eastAsia="zh-CN"/>
        </w:rPr>
        <w:t>1.直流部分：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val="en-US" w:eastAsia="zh-CN"/>
        </w:rPr>
        <w:t>直流输电容量：1×700MW+3×450MW，直流额定电压±120kV；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val="en-US" w:eastAsia="zh-CN"/>
        </w:rPr>
        <w:t>直流主接线方式：直流侧采用对称单极接线,每一端直流母线处设置直流高速并列开关(HSS)、隔离开关；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val="en-US" w:eastAsia="zh-CN"/>
        </w:rPr>
        <w:t>换流变配置：三相双绕组(带平衡绕组)变压器，(1+1)×770MVA、3×495MVA，强油循环水冷方式；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val="en-US" w:eastAsia="zh-CN"/>
        </w:rPr>
        <w:t>启动电阻采用单相，共12台，每台电阻5000Ω；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val="en-US" w:eastAsia="zh-CN"/>
        </w:rPr>
        <w:t>桥臂电抗器采用干式(对应 770MVA 换流变共6+1台、每台24mH，对应495MVA换流变共18+1台、每台37mH)；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val="en-US" w:eastAsia="zh-CN"/>
        </w:rPr>
        <w:t>2.交流部分：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val="en-US" w:eastAsia="zh-CN"/>
        </w:rPr>
        <w:t>交流采用双母线双分段接线。220kV交流配电装置采用户内GIS母线经启动回路与换流变压器相连；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val="en-US" w:eastAsia="zh-CN"/>
        </w:rPr>
        <w:t>交流220kV母线侧电气设备短路电流水平按50kA考虑。</w:t>
      </w:r>
    </w:p>
    <w:p>
      <w:pPr>
        <w:spacing w:before="156" w:beforeLines="50" w:after="156" w:afterLines="50" w:line="480" w:lineRule="auto"/>
        <w:rPr>
          <w:rFonts w:asciiTheme="minorEastAsia" w:hAnsiTheme="minorEastAsia" w:eastAsiaTheme="minorEastAsia" w:cstheme="minorEastAsia"/>
          <w:b/>
          <w:bCs/>
          <w:iCs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</w:rPr>
        <w:t>二、采购范围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156" w:afterLines="50" w:line="480" w:lineRule="auto"/>
        <w:textAlignment w:val="auto"/>
        <w:rPr>
          <w:rFonts w:asciiTheme="minorEastAsia" w:hAnsiTheme="minorEastAsia" w:eastAsiaTheme="minorEastAsia" w:cstheme="minorEastAsia"/>
          <w:bCs/>
          <w:color w:val="auto"/>
          <w:sz w:val="24"/>
          <w:szCs w:val="24"/>
          <w:u w:val="single"/>
        </w:rPr>
      </w:pPr>
      <w:r>
        <w:rPr>
          <w:rFonts w:hint="eastAsia" w:asciiTheme="minorEastAsia" w:hAnsiTheme="minorEastAsia" w:eastAsiaTheme="minorEastAsia" w:cstheme="minorEastAsia"/>
          <w:bCs/>
          <w:kern w:val="2"/>
          <w:sz w:val="24"/>
          <w:szCs w:val="24"/>
          <w:highlight w:val="none"/>
          <w:u w:val="none"/>
        </w:rPr>
        <w:t></w:t>
      </w:r>
      <w:r>
        <w:rPr>
          <w:rFonts w:hint="eastAsia" w:asciiTheme="minorEastAsia" w:hAnsiTheme="minorEastAsia" w:eastAsiaTheme="minorEastAsia" w:cstheme="minorEastAsia"/>
          <w:bCs/>
          <w:color w:val="auto"/>
          <w:kern w:val="2"/>
          <w:sz w:val="24"/>
          <w:szCs w:val="24"/>
          <w:highlight w:val="none"/>
          <w:u w:val="none"/>
        </w:rPr>
        <w:t></w:t>
      </w:r>
      <w:r>
        <w:rPr>
          <w:rFonts w:hint="eastAsia" w:asciiTheme="minorEastAsia" w:hAnsiTheme="minorEastAsia" w:eastAsiaTheme="minorEastAsia" w:cstheme="minorEastAsia"/>
          <w:bCs/>
          <w:color w:val="auto"/>
          <w:kern w:val="2"/>
          <w:sz w:val="24"/>
          <w:szCs w:val="24"/>
          <w:highlight w:val="none"/>
          <w:u w:val="single"/>
        </w:rPr>
        <w:t>系统性梳理、分析</w:t>
      </w:r>
      <w:r>
        <w:rPr>
          <w:rFonts w:hint="eastAsia" w:asciiTheme="minorEastAsia" w:hAnsiTheme="minorEastAsia" w:eastAsiaTheme="minorEastAsia" w:cstheme="minorEastAsia"/>
          <w:bCs/>
          <w:color w:val="auto"/>
          <w:kern w:val="2"/>
          <w:sz w:val="24"/>
          <w:szCs w:val="24"/>
          <w:highlight w:val="none"/>
          <w:u w:val="single"/>
          <w:lang w:val="en-US" w:eastAsia="zh-CN"/>
        </w:rPr>
        <w:t>220千伏棠下柔直背靠背工程</w:t>
      </w:r>
      <w:r>
        <w:rPr>
          <w:rFonts w:hint="eastAsia" w:asciiTheme="minorEastAsia" w:hAnsiTheme="minorEastAsia" w:eastAsiaTheme="minorEastAsia" w:cstheme="minorEastAsia"/>
          <w:bCs/>
          <w:color w:val="auto"/>
          <w:kern w:val="2"/>
          <w:sz w:val="24"/>
          <w:szCs w:val="24"/>
          <w:highlight w:val="none"/>
          <w:u w:val="single"/>
        </w:rPr>
        <w:t>在城市柔直技术标准化方面的</w:t>
      </w:r>
      <w:r>
        <w:rPr>
          <w:rFonts w:hint="eastAsia" w:asciiTheme="minorEastAsia" w:hAnsiTheme="minorEastAsia" w:eastAsiaTheme="minorEastAsia" w:cstheme="minorEastAsia"/>
          <w:bCs/>
          <w:color w:val="auto"/>
          <w:kern w:val="2"/>
          <w:sz w:val="24"/>
          <w:szCs w:val="24"/>
          <w:highlight w:val="none"/>
          <w:u w:val="single"/>
          <w:lang w:val="en-US" w:eastAsia="zh-CN"/>
        </w:rPr>
        <w:t>研究进展</w:t>
      </w:r>
      <w:r>
        <w:rPr>
          <w:rFonts w:hint="eastAsia" w:asciiTheme="minorEastAsia" w:hAnsiTheme="minorEastAsia" w:eastAsiaTheme="minorEastAsia" w:cstheme="minorEastAsia"/>
          <w:bCs/>
          <w:color w:val="auto"/>
          <w:kern w:val="2"/>
          <w:sz w:val="24"/>
          <w:szCs w:val="24"/>
          <w:highlight w:val="none"/>
          <w:u w:val="single"/>
        </w:rPr>
        <w:t>，</w:t>
      </w:r>
      <w:r>
        <w:rPr>
          <w:rFonts w:hint="eastAsia" w:asciiTheme="minorEastAsia" w:hAnsiTheme="minorEastAsia" w:eastAsiaTheme="minorEastAsia" w:cstheme="minorEastAsia"/>
          <w:bCs/>
          <w:color w:val="auto"/>
          <w:kern w:val="2"/>
          <w:sz w:val="24"/>
          <w:szCs w:val="24"/>
          <w:highlight w:val="none"/>
          <w:u w:val="single"/>
          <w:lang w:val="en-US" w:eastAsia="zh-CN"/>
        </w:rPr>
        <w:t>结合实践效果</w:t>
      </w:r>
      <w:r>
        <w:rPr>
          <w:rFonts w:hint="eastAsia" w:asciiTheme="minorEastAsia" w:hAnsiTheme="minorEastAsia" w:eastAsiaTheme="minorEastAsia" w:cstheme="minorEastAsia"/>
          <w:bCs/>
          <w:color w:val="auto"/>
          <w:kern w:val="2"/>
          <w:sz w:val="24"/>
          <w:szCs w:val="24"/>
          <w:highlight w:val="none"/>
          <w:u w:val="single"/>
        </w:rPr>
        <w:t>主要开展工作如下：一是立足棠下柔直换流站建设实践，系统性开展城市柔直换流站关键技术标准体系研究，梳理工程全生命周期标准需求，构建体系化标准框架，发布相关报告及白皮书；二是根据城市柔直标准体系框架，开展柔直水冷变压器、城市柔直换流站紧凑化设计专项调研及研究，完成2项行业标准草案编制，加快填补城市柔直领域标准空白，为同类工程提供可落地的技术规范依据。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u w:val="single"/>
          <w:lang w:val="en-US" w:eastAsia="zh-CN"/>
        </w:rPr>
        <w:t>交付物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u w:val="single"/>
        </w:rPr>
        <w:t>包括但不限于：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u w:val="single"/>
          <w:lang w:val="en-US" w:eastAsia="zh-CN"/>
        </w:rPr>
        <w:t>相关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u w:val="single"/>
        </w:rPr>
        <w:t>研究报告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u w:val="single"/>
          <w:lang w:val="en-US" w:eastAsia="zh-CN"/>
        </w:rPr>
        <w:t>及白皮书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u w:val="single"/>
        </w:rPr>
        <w:t>、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u w:val="single"/>
          <w:lang w:val="en-US" w:eastAsia="zh-CN"/>
        </w:rPr>
        <w:t>行业标准等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u w:val="single"/>
          <w:lang w:eastAsia="zh-CN"/>
        </w:rPr>
        <w:t>。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u w:val="single"/>
          <w:lang w:val="en-US" w:eastAsia="zh-CN"/>
        </w:rPr>
        <w:t>具体采购交付物以技术规范书描述为准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u w:val="single"/>
        </w:rPr>
        <w:t>。</w:t>
      </w:r>
    </w:p>
    <w:p>
      <w:pPr>
        <w:pStyle w:val="4"/>
        <w:numPr>
          <w:ilvl w:val="0"/>
          <w:numId w:val="2"/>
        </w:numPr>
        <w:spacing w:line="360" w:lineRule="auto"/>
        <w:rPr>
          <w:rFonts w:asciiTheme="minorEastAsia" w:hAnsiTheme="minorEastAsia" w:eastAsiaTheme="minorEastAsia" w:cstheme="minorEastAsia"/>
          <w:bCs/>
          <w:i w:val="0"/>
          <w:color w:val="auto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Cs/>
          <w:i w:val="0"/>
          <w:color w:val="auto"/>
          <w:sz w:val="24"/>
          <w:szCs w:val="24"/>
        </w:rPr>
        <w:t>报价表及报价要求</w:t>
      </w:r>
    </w:p>
    <w:p/>
    <w:tbl>
      <w:tblPr>
        <w:tblStyle w:val="14"/>
        <w:tblpPr w:leftFromText="180" w:rightFromText="180" w:vertAnchor="text" w:horzAnchor="page" w:tblpX="1393" w:tblpY="93"/>
        <w:tblOverlap w:val="never"/>
        <w:tblW w:w="4995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5"/>
        <w:gridCol w:w="3061"/>
        <w:gridCol w:w="1815"/>
        <w:gridCol w:w="1459"/>
        <w:gridCol w:w="1636"/>
        <w:gridCol w:w="135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69" w:hRule="atLeast"/>
          <w:jc w:val="center"/>
        </w:trPr>
        <w:tc>
          <w:tcPr>
            <w:tcW w:w="612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tabs>
                <w:tab w:val="left" w:pos="900"/>
              </w:tabs>
              <w:snapToGrid w:val="0"/>
              <w:ind w:right="-24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2994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tabs>
                <w:tab w:val="left" w:pos="900"/>
              </w:tabs>
              <w:snapToGrid w:val="0"/>
              <w:ind w:left="282" w:right="-24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项目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名称</w:t>
            </w:r>
          </w:p>
        </w:tc>
        <w:tc>
          <w:tcPr>
            <w:tcW w:w="1776" w:type="dxa"/>
            <w:noWrap w:val="0"/>
            <w:vAlign w:val="top"/>
          </w:tcPr>
          <w:p>
            <w:pPr>
              <w:tabs>
                <w:tab w:val="left" w:pos="900"/>
              </w:tabs>
              <w:snapToGrid w:val="0"/>
              <w:spacing w:before="120" w:after="120"/>
              <w:ind w:right="-24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最高投标限价</w:t>
            </w:r>
          </w:p>
          <w:p>
            <w:pPr>
              <w:tabs>
                <w:tab w:val="left" w:pos="900"/>
              </w:tabs>
              <w:snapToGrid w:val="0"/>
              <w:spacing w:before="120" w:after="120"/>
              <w:ind w:right="-24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(元)</w:t>
            </w:r>
          </w:p>
        </w:tc>
        <w:tc>
          <w:tcPr>
            <w:tcW w:w="1428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tabs>
                <w:tab w:val="left" w:pos="900"/>
              </w:tabs>
              <w:snapToGrid w:val="0"/>
              <w:spacing w:before="120" w:after="120"/>
              <w:ind w:right="-24"/>
              <w:jc w:val="center"/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</w:rPr>
              <w:t>投标下浮率</w:t>
            </w:r>
          </w:p>
        </w:tc>
        <w:tc>
          <w:tcPr>
            <w:tcW w:w="1601" w:type="dxa"/>
            <w:tcBorders>
              <w:bottom w:val="single" w:color="auto" w:sz="4" w:space="0"/>
            </w:tcBorders>
            <w:noWrap w:val="0"/>
            <w:vAlign w:val="top"/>
          </w:tcPr>
          <w:p>
            <w:pPr>
              <w:tabs>
                <w:tab w:val="left" w:pos="900"/>
              </w:tabs>
              <w:snapToGrid w:val="0"/>
              <w:spacing w:before="120" w:after="120"/>
              <w:ind w:right="-24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投标报价</w:t>
            </w:r>
          </w:p>
          <w:p>
            <w:pPr>
              <w:tabs>
                <w:tab w:val="left" w:pos="900"/>
              </w:tabs>
              <w:snapToGrid w:val="0"/>
              <w:spacing w:before="120" w:after="120"/>
              <w:ind w:right="-24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(元)</w:t>
            </w:r>
          </w:p>
        </w:tc>
        <w:tc>
          <w:tcPr>
            <w:tcW w:w="1326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tabs>
                <w:tab w:val="left" w:pos="900"/>
              </w:tabs>
              <w:snapToGrid w:val="0"/>
              <w:spacing w:before="120" w:after="120"/>
              <w:ind w:right="-24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787" w:hRule="atLeast"/>
          <w:jc w:val="center"/>
        </w:trPr>
        <w:tc>
          <w:tcPr>
            <w:tcW w:w="612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299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220千伏天河棠下柔直背靠背工程城市柔直换流站标准技术服务项目</w:t>
            </w:r>
          </w:p>
        </w:tc>
        <w:tc>
          <w:tcPr>
            <w:tcW w:w="1776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1350093.33</w:t>
            </w:r>
          </w:p>
        </w:tc>
        <w:tc>
          <w:tcPr>
            <w:tcW w:w="1428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tabs>
                <w:tab w:val="left" w:pos="900"/>
              </w:tabs>
              <w:snapToGrid w:val="0"/>
              <w:spacing w:before="60" w:after="120"/>
              <w:ind w:right="-24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%</w:t>
            </w:r>
          </w:p>
        </w:tc>
        <w:tc>
          <w:tcPr>
            <w:tcW w:w="1601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tabs>
                <w:tab w:val="left" w:pos="900"/>
              </w:tabs>
              <w:snapToGrid w:val="0"/>
              <w:spacing w:before="60" w:after="120"/>
              <w:ind w:right="-24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26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tabs>
                <w:tab w:val="left" w:pos="900"/>
              </w:tabs>
              <w:snapToGrid w:val="0"/>
              <w:spacing w:before="60" w:after="120"/>
              <w:ind w:right="-24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</w:tr>
    </w:tbl>
    <w:p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cs="宋体"/>
          <w:b w:val="0"/>
          <w:bCs w:val="0"/>
          <w:sz w:val="24"/>
          <w:szCs w:val="24"/>
        </w:rPr>
      </w:pPr>
      <w:bookmarkStart w:id="1" w:name="_GoBack"/>
      <w:r>
        <w:rPr>
          <w:rFonts w:hint="eastAsia" w:ascii="宋体" w:hAnsi="宋体" w:cs="宋体"/>
          <w:b w:val="0"/>
          <w:bCs w:val="0"/>
          <w:sz w:val="24"/>
          <w:szCs w:val="24"/>
        </w:rPr>
        <w:t>报价要求：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48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u w:val="single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u w:val="single"/>
        </w:rPr>
        <w:t>1.按固定金额报价，同时填报投标下浮率。投标下浮率＝[1－(投标报价/最高投标限价）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4"/>
          <w:szCs w:val="24"/>
          <w:u w:val="single"/>
          <w:lang w:val="en-US" w:eastAsia="zh-CN"/>
        </w:rPr>
        <w:t>]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u w:val="single"/>
        </w:rPr>
        <w:t>×100%（保留两位小数，如：8.88%）。当投标报价金额与投标下浮率计算结果不一致时，以投标报价金额为准，按公式修正投标下浮率。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480" w:firstLineChars="200"/>
        <w:textAlignment w:val="auto"/>
        <w:rPr>
          <w:rFonts w:hint="default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u w:val="single"/>
        </w:rPr>
        <w:t>2.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4"/>
          <w:szCs w:val="24"/>
          <w:u w:val="single"/>
          <w:lang w:val="en-US" w:eastAsia="zh-CN"/>
        </w:rPr>
        <w:t>报价不得高于最高投标限价，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u w:val="single"/>
        </w:rPr>
        <w:t>报价低于最高限价85%的需提供成本分析报告时应附成本分析报告，充分说明单价和费用的组成、降低成本的合理措施及在其他工程中应用过的经验等，经评审通过后方可视为有效报价。</w:t>
      </w:r>
      <w:bookmarkEnd w:id="1"/>
    </w:p>
    <w:p>
      <w:pPr>
        <w:rPr>
          <w:rFonts w:hint="eastAsia"/>
          <w:highlight w:val="none"/>
          <w:lang w:val="en-US" w:eastAsia="zh-CN"/>
        </w:rPr>
      </w:pPr>
    </w:p>
    <w:p>
      <w:pPr>
        <w:pStyle w:val="4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leftChars="0"/>
        <w:outlineLvl w:val="1"/>
        <w:rPr>
          <w:rFonts w:hint="eastAsia" w:asciiTheme="minorEastAsia" w:hAnsiTheme="minorEastAsia" w:eastAsiaTheme="minorEastAsia" w:cstheme="minorEastAsia"/>
          <w:b/>
          <w:bCs/>
          <w:i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/>
          <w:bCs/>
          <w:i w:val="0"/>
          <w:color w:val="auto"/>
          <w:kern w:val="2"/>
          <w:sz w:val="24"/>
          <w:szCs w:val="24"/>
          <w:highlight w:val="none"/>
          <w:lang w:val="en-US" w:eastAsia="zh-CN" w:bidi="ar-SA"/>
        </w:rPr>
        <w:t>四、结算方式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480" w:lineRule="auto"/>
        <w:ind w:firstLine="48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u w:val="singl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u w:val="single"/>
          <w:lang w:val="en-US" w:eastAsia="zh-CN" w:bidi="ar-SA"/>
        </w:rPr>
        <w:t xml:space="preserve">  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u w:val="single"/>
          <w:lang w:val="en-US" w:eastAsia="zh-CN" w:bidi="ar-SA"/>
        </w:rPr>
        <w:t>结算方式：本工程合同价总价包干。结算时总价包干部分，除合同约定可调整的情况外，结算不予调整，中标合同价款中的漏项、错项结算时视为已包括在其他子项的报价中，不予调整。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textAlignment w:val="auto"/>
        <w:rPr>
          <w:rFonts w:asciiTheme="minorEastAsia" w:hAnsiTheme="minorEastAsia" w:eastAsiaTheme="minorEastAsia" w:cstheme="minorEastAsia"/>
          <w:b/>
          <w:bCs/>
          <w:iCs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</w:rPr>
        <w:t>五、分包要求</w:t>
      </w:r>
    </w:p>
    <w:p>
      <w:pPr>
        <w:pStyle w:val="13"/>
        <w:spacing w:before="156" w:after="156"/>
        <w:ind w:firstLine="0" w:firstLineChars="0"/>
      </w:pPr>
      <w:r>
        <w:rPr>
          <w:rFonts w:ascii="Wingdings" w:hAnsi="Wingdings" w:cs="Wingdings"/>
        </w:rPr>
        <w:sym w:font="Wingdings" w:char="00FE"/>
      </w:r>
      <w:r>
        <w:rPr>
          <w:rFonts w:hint="eastAsia"/>
        </w:rPr>
        <w:t>不允许分包</w:t>
      </w:r>
    </w:p>
    <w:p>
      <w:pPr>
        <w:pStyle w:val="13"/>
        <w:spacing w:before="156" w:after="156"/>
        <w:ind w:firstLine="0" w:firstLineChars="0"/>
        <w:rPr>
          <w:rFonts w:asciiTheme="minorEastAsia" w:hAnsiTheme="minorEastAsia" w:eastAsiaTheme="minorEastAsia" w:cstheme="minorEastAsia"/>
          <w:b/>
          <w:bCs/>
          <w:snapToGrid w:val="0"/>
          <w:kern w:val="0"/>
          <w:sz w:val="28"/>
          <w:szCs w:val="28"/>
        </w:rPr>
      </w:pPr>
      <w:r>
        <w:rPr>
          <w:rFonts w:ascii="Wingdings" w:hAnsi="Wingdings" w:cs="Wingdings"/>
        </w:rPr>
        <w:sym w:font="Wingdings" w:char="00A8"/>
      </w:r>
      <w:r>
        <w:rPr>
          <w:rFonts w:hint="eastAsia"/>
        </w:rPr>
        <w:t>允许分包，但必须符合以下要求：</w:t>
      </w:r>
      <w:r>
        <w:rPr>
          <w:rFonts w:ascii="Wingdings" w:hAnsi="Wingdings" w:cs="Wingdings" w:eastAsiaTheme="minorEastAsia"/>
          <w:b/>
          <w:bCs/>
          <w:iCs/>
          <w:sz w:val="24"/>
          <w:szCs w:val="24"/>
          <w:u w:val="single"/>
        </w:rPr>
        <w:t></w:t>
      </w:r>
    </w:p>
    <w:p>
      <w:pPr>
        <w:pStyle w:val="10"/>
        <w:numPr>
          <w:ilvl w:val="0"/>
          <w:numId w:val="3"/>
        </w:numPr>
        <w:spacing w:line="360" w:lineRule="auto"/>
        <w:jc w:val="left"/>
        <w:rPr>
          <w:rFonts w:asciiTheme="minorEastAsia" w:hAnsiTheme="minorEastAsia" w:eastAsiaTheme="minorEastAsia" w:cstheme="minorEastAsia"/>
          <w:b/>
          <w:bCs/>
          <w:snapToGrid w:val="0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/>
          <w:bCs/>
          <w:snapToGrid w:val="0"/>
          <w:sz w:val="28"/>
          <w:szCs w:val="28"/>
        </w:rPr>
        <w:t>技术标准、要求及图纸（对应招标文件 第五章）</w:t>
      </w:r>
    </w:p>
    <w:p>
      <w:pPr>
        <w:pStyle w:val="4"/>
        <w:rPr>
          <w:rFonts w:asciiTheme="minorEastAsia" w:hAnsiTheme="minorEastAsia" w:eastAsiaTheme="minorEastAsia" w:cstheme="minorEastAsia"/>
          <w:i w:val="0"/>
          <w:iCs/>
          <w:color w:val="auto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iCs/>
          <w:color w:val="auto"/>
          <w:sz w:val="24"/>
          <w:szCs w:val="24"/>
        </w:rPr>
        <w:t>一、 管理规范和技术（规范）标准（详见合同附件）</w:t>
      </w:r>
    </w:p>
    <w:p>
      <w:pPr>
        <w:pStyle w:val="10"/>
        <w:rPr>
          <w:rFonts w:asciiTheme="minorEastAsia" w:hAnsiTheme="minorEastAsia" w:eastAsiaTheme="minorEastAsia" w:cstheme="minorEastAsia"/>
          <w:iCs/>
          <w:sz w:val="24"/>
          <w:szCs w:val="24"/>
        </w:rPr>
      </w:pP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480" w:lineRule="auto"/>
        <w:textAlignment w:val="auto"/>
        <w:rPr>
          <w:rFonts w:asciiTheme="minorEastAsia" w:hAnsiTheme="minorEastAsia" w:eastAsiaTheme="minorEastAsia" w:cstheme="minorEastAsia"/>
          <w:i w:val="0"/>
          <w:iCs/>
          <w:color w:val="auto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iCs/>
          <w:color w:val="auto"/>
          <w:sz w:val="24"/>
          <w:szCs w:val="24"/>
        </w:rPr>
        <w:t>二、技术及管理要求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480" w:lineRule="auto"/>
        <w:textAlignment w:val="auto"/>
        <w:rPr>
          <w:rFonts w:hint="eastAsia" w:asciiTheme="minorEastAsia" w:hAnsiTheme="minorEastAsia" w:eastAsiaTheme="minorEastAsia" w:cstheme="minorEastAsia"/>
          <w:iCs/>
          <w:kern w:val="0"/>
          <w:sz w:val="24"/>
          <w:szCs w:val="24"/>
          <w:lang w:val="zh-CN"/>
        </w:rPr>
      </w:pPr>
      <w:r>
        <w:rPr>
          <w:rFonts w:hint="eastAsia" w:asciiTheme="minorEastAsia" w:hAnsiTheme="minorEastAsia" w:eastAsiaTheme="minorEastAsia" w:cstheme="minorEastAsia"/>
          <w:iCs/>
          <w:kern w:val="0"/>
          <w:sz w:val="24"/>
          <w:szCs w:val="24"/>
          <w:lang w:val="zh-CN"/>
        </w:rPr>
        <w:t>（一）满足南方电网公司基建管理制度、建设单位的质量、环境和职业健康安全管理体系文件、其他有关制度和规定。</w:t>
      </w:r>
    </w:p>
    <w:p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157" w:beforeLines="50" w:line="480" w:lineRule="auto"/>
        <w:ind w:leftChars="0"/>
        <w:textAlignment w:val="auto"/>
        <w:outlineLvl w:val="1"/>
        <w:rPr>
          <w:rFonts w:hint="eastAsia" w:asciiTheme="minorEastAsia" w:hAnsiTheme="minorEastAsia" w:eastAsiaTheme="minorEastAsia" w:cstheme="minorEastAsia"/>
          <w:b w:val="0"/>
          <w:bCs/>
          <w:i w:val="0"/>
          <w:iCs/>
          <w:color w:val="auto"/>
          <w:kern w:val="0"/>
          <w:sz w:val="24"/>
          <w:szCs w:val="24"/>
          <w:highlight w:val="none"/>
          <w:lang w:val="zh-CN"/>
        </w:rPr>
      </w:pPr>
      <w:r>
        <w:rPr>
          <w:rFonts w:hint="eastAsia" w:asciiTheme="minorEastAsia" w:hAnsiTheme="minorEastAsia" w:eastAsiaTheme="minorEastAsia" w:cstheme="minorEastAsia"/>
          <w:b w:val="0"/>
          <w:bCs/>
          <w:i w:val="0"/>
          <w:iCs/>
          <w:color w:val="auto"/>
          <w:kern w:val="0"/>
          <w:sz w:val="24"/>
          <w:szCs w:val="24"/>
          <w:highlight w:val="none"/>
          <w:lang w:val="zh-CN"/>
        </w:rPr>
        <w:t>（二）符合图纸及技术文件的要求（如有，详见招标文件附件）。</w:t>
      </w:r>
    </w:p>
    <w:p>
      <w:pPr>
        <w:rPr>
          <w:rFonts w:hint="eastAsia" w:asciiTheme="minorEastAsia" w:hAnsiTheme="minorEastAsia" w:eastAsiaTheme="minorEastAsia" w:cstheme="minorEastAsia"/>
          <w:b w:val="0"/>
          <w:bCs/>
          <w:i w:val="0"/>
          <w:iCs/>
          <w:color w:val="auto"/>
          <w:kern w:val="0"/>
          <w:sz w:val="24"/>
          <w:szCs w:val="24"/>
          <w:highlight w:val="none"/>
          <w:lang w:val="zh-CN"/>
        </w:rPr>
      </w:pPr>
    </w:p>
    <w:p>
      <w:pPr>
        <w:pStyle w:val="2"/>
        <w:rPr>
          <w:rFonts w:hint="eastAsia" w:asciiTheme="minorEastAsia" w:hAnsiTheme="minorEastAsia" w:eastAsiaTheme="minorEastAsia" w:cstheme="minorEastAsia"/>
          <w:b w:val="0"/>
          <w:bCs/>
          <w:i w:val="0"/>
          <w:iCs/>
          <w:color w:val="auto"/>
          <w:kern w:val="0"/>
          <w:sz w:val="24"/>
          <w:szCs w:val="24"/>
          <w:highlight w:val="none"/>
          <w:lang w:val="zh-CN"/>
        </w:rPr>
      </w:pPr>
    </w:p>
    <w:p>
      <w:pPr>
        <w:rPr>
          <w:rFonts w:hint="eastAsia" w:asciiTheme="minorEastAsia" w:hAnsiTheme="minorEastAsia" w:eastAsiaTheme="minorEastAsia" w:cstheme="minorEastAsia"/>
          <w:b w:val="0"/>
          <w:bCs/>
          <w:i w:val="0"/>
          <w:iCs/>
          <w:color w:val="auto"/>
          <w:kern w:val="0"/>
          <w:sz w:val="24"/>
          <w:szCs w:val="24"/>
          <w:highlight w:val="none"/>
          <w:lang w:val="zh-CN"/>
        </w:rPr>
      </w:pPr>
    </w:p>
    <w:p>
      <w:pPr>
        <w:pStyle w:val="10"/>
        <w:spacing w:line="480" w:lineRule="atLeast"/>
        <w:rPr>
          <w:rFonts w:hAnsi="宋体" w:cs="宋体"/>
          <w:sz w:val="24"/>
          <w:szCs w:val="24"/>
          <w:u w:val="single"/>
        </w:rPr>
      </w:pP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A6993E1"/>
    <w:multiLevelType w:val="singleLevel"/>
    <w:tmpl w:val="EA6993E1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EAEE20F8"/>
    <w:multiLevelType w:val="singleLevel"/>
    <w:tmpl w:val="EAEE20F8"/>
    <w:lvl w:ilvl="0" w:tentative="0">
      <w:start w:val="2"/>
      <w:numFmt w:val="chineseCounting"/>
      <w:suff w:val="nothing"/>
      <w:lvlText w:val="第%1部分."/>
      <w:lvlJc w:val="left"/>
      <w:rPr>
        <w:rFonts w:hint="eastAsia"/>
      </w:rPr>
    </w:lvl>
  </w:abstractNum>
  <w:abstractNum w:abstractNumId="2">
    <w:nsid w:val="0D7920FF"/>
    <w:multiLevelType w:val="singleLevel"/>
    <w:tmpl w:val="0D7920FF"/>
    <w:lvl w:ilvl="0" w:tentative="0">
      <w:start w:val="1"/>
      <w:numFmt w:val="chineseCounting"/>
      <w:suff w:val="nothing"/>
      <w:lvlText w:val="第%1部分."/>
      <w:lvlJc w:val="left"/>
      <w:rPr>
        <w:rFonts w:hint="eastAsi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WMxYTBmM2ExNDA5MTI5NmEwNjA4YTk5MmRmY2Y2MzgifQ=="/>
  </w:docVars>
  <w:rsids>
    <w:rsidRoot w:val="24F737D8"/>
    <w:rsid w:val="001270A5"/>
    <w:rsid w:val="00226E9F"/>
    <w:rsid w:val="007A4AD7"/>
    <w:rsid w:val="00831E29"/>
    <w:rsid w:val="009547D2"/>
    <w:rsid w:val="01603AA8"/>
    <w:rsid w:val="02A15629"/>
    <w:rsid w:val="03E0117E"/>
    <w:rsid w:val="04A24F71"/>
    <w:rsid w:val="05955A7A"/>
    <w:rsid w:val="076F3B3B"/>
    <w:rsid w:val="07CA37DF"/>
    <w:rsid w:val="0A981059"/>
    <w:rsid w:val="0B4A6210"/>
    <w:rsid w:val="0BC07002"/>
    <w:rsid w:val="0E2F4C02"/>
    <w:rsid w:val="0E3616E0"/>
    <w:rsid w:val="0E394169"/>
    <w:rsid w:val="0E8D41AB"/>
    <w:rsid w:val="0F81532F"/>
    <w:rsid w:val="107144D2"/>
    <w:rsid w:val="107B4E12"/>
    <w:rsid w:val="116419AD"/>
    <w:rsid w:val="11DF6CFE"/>
    <w:rsid w:val="131729B1"/>
    <w:rsid w:val="13383335"/>
    <w:rsid w:val="13CB3A86"/>
    <w:rsid w:val="14440D4B"/>
    <w:rsid w:val="14781EB9"/>
    <w:rsid w:val="14AF14A4"/>
    <w:rsid w:val="14B666F3"/>
    <w:rsid w:val="15056A61"/>
    <w:rsid w:val="17722603"/>
    <w:rsid w:val="17F245A3"/>
    <w:rsid w:val="18E57496"/>
    <w:rsid w:val="18F87A14"/>
    <w:rsid w:val="1A386933"/>
    <w:rsid w:val="1A4F176B"/>
    <w:rsid w:val="1A5C7D08"/>
    <w:rsid w:val="1B663F82"/>
    <w:rsid w:val="1BA20A41"/>
    <w:rsid w:val="1C2D4629"/>
    <w:rsid w:val="1C43636C"/>
    <w:rsid w:val="1C8618B6"/>
    <w:rsid w:val="1D904223"/>
    <w:rsid w:val="1EAD1FE0"/>
    <w:rsid w:val="1F5F1CED"/>
    <w:rsid w:val="1F653C49"/>
    <w:rsid w:val="1FF914D4"/>
    <w:rsid w:val="20735046"/>
    <w:rsid w:val="20AD7527"/>
    <w:rsid w:val="20B46EB2"/>
    <w:rsid w:val="20EE3814"/>
    <w:rsid w:val="20F44F52"/>
    <w:rsid w:val="21656CD6"/>
    <w:rsid w:val="216F4D5B"/>
    <w:rsid w:val="21C11DC8"/>
    <w:rsid w:val="21FF3314"/>
    <w:rsid w:val="23B738BA"/>
    <w:rsid w:val="24E67795"/>
    <w:rsid w:val="24F737D8"/>
    <w:rsid w:val="2525523D"/>
    <w:rsid w:val="26331A2E"/>
    <w:rsid w:val="26EB3B6A"/>
    <w:rsid w:val="27553BFB"/>
    <w:rsid w:val="291D5E51"/>
    <w:rsid w:val="297A57BC"/>
    <w:rsid w:val="2BE07E0A"/>
    <w:rsid w:val="2CA17C08"/>
    <w:rsid w:val="2DDF66E3"/>
    <w:rsid w:val="2F6F3BF5"/>
    <w:rsid w:val="2FF65FF8"/>
    <w:rsid w:val="300D195C"/>
    <w:rsid w:val="30BF37B5"/>
    <w:rsid w:val="30DB62D5"/>
    <w:rsid w:val="313B0851"/>
    <w:rsid w:val="314A7D1A"/>
    <w:rsid w:val="31A1649A"/>
    <w:rsid w:val="31C955A9"/>
    <w:rsid w:val="333E48FB"/>
    <w:rsid w:val="33B200AF"/>
    <w:rsid w:val="33C75702"/>
    <w:rsid w:val="33E61BE2"/>
    <w:rsid w:val="361736AD"/>
    <w:rsid w:val="36D200CF"/>
    <w:rsid w:val="379951F8"/>
    <w:rsid w:val="38382DC3"/>
    <w:rsid w:val="38411C26"/>
    <w:rsid w:val="387058E0"/>
    <w:rsid w:val="38DE045C"/>
    <w:rsid w:val="39002B1C"/>
    <w:rsid w:val="394F15B2"/>
    <w:rsid w:val="3987396D"/>
    <w:rsid w:val="39C4552A"/>
    <w:rsid w:val="3AEB5496"/>
    <w:rsid w:val="3B006358"/>
    <w:rsid w:val="3B595AEE"/>
    <w:rsid w:val="3B653766"/>
    <w:rsid w:val="3BF24D81"/>
    <w:rsid w:val="3BFE7BEA"/>
    <w:rsid w:val="3C4750A3"/>
    <w:rsid w:val="3C4A35F1"/>
    <w:rsid w:val="3D302643"/>
    <w:rsid w:val="3D595233"/>
    <w:rsid w:val="40B82DA3"/>
    <w:rsid w:val="416318D6"/>
    <w:rsid w:val="4202005B"/>
    <w:rsid w:val="420455E6"/>
    <w:rsid w:val="42E67EAC"/>
    <w:rsid w:val="42E73C50"/>
    <w:rsid w:val="44615257"/>
    <w:rsid w:val="448B54F0"/>
    <w:rsid w:val="44982260"/>
    <w:rsid w:val="44D414C9"/>
    <w:rsid w:val="46472D5E"/>
    <w:rsid w:val="472C7D85"/>
    <w:rsid w:val="485D3F87"/>
    <w:rsid w:val="496A657E"/>
    <w:rsid w:val="49843C09"/>
    <w:rsid w:val="4A4F5731"/>
    <w:rsid w:val="4A5A3E61"/>
    <w:rsid w:val="4B3A1BDA"/>
    <w:rsid w:val="4BF83760"/>
    <w:rsid w:val="4C5B4768"/>
    <w:rsid w:val="4C8349B8"/>
    <w:rsid w:val="4CA51BD2"/>
    <w:rsid w:val="4CF27F48"/>
    <w:rsid w:val="4CFC2A9F"/>
    <w:rsid w:val="4D9E01C3"/>
    <w:rsid w:val="504766FD"/>
    <w:rsid w:val="511E33B9"/>
    <w:rsid w:val="54645881"/>
    <w:rsid w:val="552A0C96"/>
    <w:rsid w:val="55BB16B6"/>
    <w:rsid w:val="55C3156A"/>
    <w:rsid w:val="560A4CB8"/>
    <w:rsid w:val="56CC7B5C"/>
    <w:rsid w:val="5782183A"/>
    <w:rsid w:val="57BD355E"/>
    <w:rsid w:val="58D21C48"/>
    <w:rsid w:val="5A805F9A"/>
    <w:rsid w:val="5B0320E2"/>
    <w:rsid w:val="5B8B11A7"/>
    <w:rsid w:val="5B9E2EC4"/>
    <w:rsid w:val="5CD10D7E"/>
    <w:rsid w:val="5D5938ED"/>
    <w:rsid w:val="60002310"/>
    <w:rsid w:val="605D367D"/>
    <w:rsid w:val="608606DE"/>
    <w:rsid w:val="610E324A"/>
    <w:rsid w:val="61F31EFD"/>
    <w:rsid w:val="625A44A9"/>
    <w:rsid w:val="62AB72E9"/>
    <w:rsid w:val="63066BC7"/>
    <w:rsid w:val="63D0487B"/>
    <w:rsid w:val="64672037"/>
    <w:rsid w:val="64911DA0"/>
    <w:rsid w:val="64F03E48"/>
    <w:rsid w:val="65256B93"/>
    <w:rsid w:val="65945D8D"/>
    <w:rsid w:val="66154E74"/>
    <w:rsid w:val="66C35559"/>
    <w:rsid w:val="66D86646"/>
    <w:rsid w:val="67D57489"/>
    <w:rsid w:val="68570F93"/>
    <w:rsid w:val="6A287B5E"/>
    <w:rsid w:val="6B303A1A"/>
    <w:rsid w:val="6C704794"/>
    <w:rsid w:val="6DAA2FDF"/>
    <w:rsid w:val="6DF95579"/>
    <w:rsid w:val="6E121228"/>
    <w:rsid w:val="6EE16A84"/>
    <w:rsid w:val="6F8447F5"/>
    <w:rsid w:val="6F9F2C7C"/>
    <w:rsid w:val="704D25A4"/>
    <w:rsid w:val="70D1495F"/>
    <w:rsid w:val="70ED510D"/>
    <w:rsid w:val="712F63C0"/>
    <w:rsid w:val="7203396B"/>
    <w:rsid w:val="72717CD1"/>
    <w:rsid w:val="743E1546"/>
    <w:rsid w:val="74614F7E"/>
    <w:rsid w:val="74695E39"/>
    <w:rsid w:val="74980354"/>
    <w:rsid w:val="75312125"/>
    <w:rsid w:val="754C6F3B"/>
    <w:rsid w:val="75B11AFF"/>
    <w:rsid w:val="75D32619"/>
    <w:rsid w:val="76143E0D"/>
    <w:rsid w:val="76307412"/>
    <w:rsid w:val="768D126A"/>
    <w:rsid w:val="76F8116A"/>
    <w:rsid w:val="780B6A75"/>
    <w:rsid w:val="78B8009B"/>
    <w:rsid w:val="79F83E18"/>
    <w:rsid w:val="7B6A73CF"/>
    <w:rsid w:val="7BA43626"/>
    <w:rsid w:val="7CED7DC5"/>
    <w:rsid w:val="7D0F76D8"/>
    <w:rsid w:val="7E3420E0"/>
    <w:rsid w:val="7E93608E"/>
    <w:rsid w:val="7F1B3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iPriority="99" w:semiHidden="0" w:name="heading 1"/>
    <w:lsdException w:qFormat="1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unhideWhenUsed/>
    <w:qFormat/>
    <w:uiPriority w:val="99"/>
    <w:pPr>
      <w:autoSpaceDE w:val="0"/>
      <w:autoSpaceDN w:val="0"/>
      <w:adjustRightInd w:val="0"/>
      <w:outlineLvl w:val="0"/>
    </w:pPr>
    <w:rPr>
      <w:rFonts w:ascii="Arial" w:hAnsi="Arial"/>
      <w:b/>
      <w:color w:val="000000"/>
      <w:sz w:val="32"/>
    </w:rPr>
  </w:style>
  <w:style w:type="paragraph" w:styleId="4">
    <w:name w:val="heading 2"/>
    <w:basedOn w:val="1"/>
    <w:next w:val="1"/>
    <w:unhideWhenUsed/>
    <w:qFormat/>
    <w:uiPriority w:val="99"/>
    <w:pPr>
      <w:autoSpaceDE w:val="0"/>
      <w:autoSpaceDN w:val="0"/>
      <w:adjustRightInd w:val="0"/>
      <w:outlineLvl w:val="1"/>
    </w:pPr>
    <w:rPr>
      <w:rFonts w:ascii="Arial" w:hAnsi="Arial"/>
      <w:b/>
      <w:i/>
      <w:color w:val="000000"/>
      <w:sz w:val="28"/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paragraph" w:styleId="5">
    <w:name w:val="Normal Indent"/>
    <w:basedOn w:val="1"/>
    <w:qFormat/>
    <w:uiPriority w:val="0"/>
    <w:pPr>
      <w:ind w:firstLine="420"/>
    </w:pPr>
    <w:rPr>
      <w:rFonts w:ascii="Times New Roman" w:hAnsi="Times New Roman"/>
      <w:kern w:val="0"/>
      <w:sz w:val="20"/>
      <w:szCs w:val="20"/>
    </w:rPr>
  </w:style>
  <w:style w:type="paragraph" w:styleId="6">
    <w:name w:val="annotation text"/>
    <w:basedOn w:val="1"/>
    <w:qFormat/>
    <w:uiPriority w:val="0"/>
    <w:pPr>
      <w:jc w:val="left"/>
    </w:pPr>
  </w:style>
  <w:style w:type="paragraph" w:styleId="7">
    <w:name w:val="Body Text"/>
    <w:basedOn w:val="1"/>
    <w:next w:val="8"/>
    <w:unhideWhenUsed/>
    <w:qFormat/>
    <w:uiPriority w:val="99"/>
    <w:pPr>
      <w:spacing w:after="120"/>
    </w:pPr>
  </w:style>
  <w:style w:type="paragraph" w:styleId="8">
    <w:name w:val="Title"/>
    <w:basedOn w:val="1"/>
    <w:next w:val="1"/>
    <w:qFormat/>
    <w:uiPriority w:val="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</w:rPr>
  </w:style>
  <w:style w:type="paragraph" w:styleId="9">
    <w:name w:val="Body Text Indent"/>
    <w:basedOn w:val="1"/>
    <w:qFormat/>
    <w:uiPriority w:val="0"/>
    <w:pPr>
      <w:spacing w:after="120"/>
      <w:ind w:left="420" w:leftChars="200"/>
    </w:pPr>
  </w:style>
  <w:style w:type="paragraph" w:styleId="10">
    <w:name w:val="Plain Text"/>
    <w:basedOn w:val="1"/>
    <w:qFormat/>
    <w:uiPriority w:val="0"/>
    <w:rPr>
      <w:rFonts w:ascii="宋体" w:hAnsi="Courier New"/>
      <w:kern w:val="0"/>
      <w:sz w:val="20"/>
      <w:szCs w:val="20"/>
    </w:rPr>
  </w:style>
  <w:style w:type="paragraph" w:styleId="11">
    <w:name w:val="Balloon Text"/>
    <w:basedOn w:val="1"/>
    <w:link w:val="20"/>
    <w:qFormat/>
    <w:uiPriority w:val="0"/>
    <w:rPr>
      <w:sz w:val="18"/>
      <w:szCs w:val="18"/>
    </w:rPr>
  </w:style>
  <w:style w:type="paragraph" w:styleId="1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3">
    <w:name w:val="Body Text First Indent"/>
    <w:basedOn w:val="7"/>
    <w:qFormat/>
    <w:uiPriority w:val="0"/>
    <w:pPr>
      <w:spacing w:beforeLines="50" w:afterLines="50" w:line="360" w:lineRule="auto"/>
      <w:ind w:firstLine="200" w:firstLineChars="200"/>
    </w:pPr>
    <w:rPr>
      <w:rFonts w:ascii="Times New Roman" w:hAnsi="Times New Roman"/>
      <w:sz w:val="24"/>
      <w:szCs w:val="24"/>
    </w:rPr>
  </w:style>
  <w:style w:type="table" w:styleId="15">
    <w:name w:val="Table Grid"/>
    <w:basedOn w:val="1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7">
    <w:name w:val="annotation reference"/>
    <w:basedOn w:val="16"/>
    <w:qFormat/>
    <w:uiPriority w:val="0"/>
    <w:rPr>
      <w:sz w:val="21"/>
      <w:szCs w:val="21"/>
    </w:rPr>
  </w:style>
  <w:style w:type="paragraph" w:customStyle="1" w:styleId="18">
    <w:name w:val="正文首行缩进1"/>
    <w:basedOn w:val="1"/>
    <w:qFormat/>
    <w:uiPriority w:val="0"/>
    <w:pPr>
      <w:spacing w:line="360" w:lineRule="auto"/>
      <w:ind w:firstLine="200" w:firstLineChars="200"/>
    </w:pPr>
    <w:rPr>
      <w:sz w:val="24"/>
      <w:szCs w:val="24"/>
    </w:rPr>
  </w:style>
  <w:style w:type="character" w:customStyle="1" w:styleId="19">
    <w:name w:val="font11"/>
    <w:basedOn w:val="16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20">
    <w:name w:val="批注框文本 Char"/>
    <w:basedOn w:val="16"/>
    <w:link w:val="11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21">
    <w:name w:val="font91"/>
    <w:basedOn w:val="16"/>
    <w:qFormat/>
    <w:uiPriority w:val="0"/>
    <w:rPr>
      <w:rFonts w:ascii="Arial" w:hAnsi="Arial" w:cs="Arial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GEDI</Company>
  <Pages>3</Pages>
  <Words>1232</Words>
  <Characters>1323</Characters>
  <Lines>20</Lines>
  <Paragraphs>5</Paragraphs>
  <TotalTime>9</TotalTime>
  <ScaleCrop>false</ScaleCrop>
  <LinksUpToDate>false</LinksUpToDate>
  <CharactersWithSpaces>1494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2024-06-27T05:28:00Z</dcterms:created>
  <dc:creator>maja</dc:creator>
  <cp:lastModifiedBy>龙思妤</cp:lastModifiedBy>
  <dcterms:modified xsi:type="dcterms:W3CDTF">2026-07-02T03:33:33Z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07F4AB6762764050B0C9DF136EE8C782</vt:lpwstr>
  </property>
  <property fmtid="{D5CDD505-2E9C-101B-9397-08002B2CF9AE}" pid="4" name="KSOTemplateDocerSaveRecord">
    <vt:lpwstr>eyJoZGlkIjoiNmUwN2ZmY2I1Y2I3NTViYzRhMTk2NzRkOWQwMjE3NzYiLCJ1c2VySWQiOiI0NTUxMjYzMDkifQ==</vt:lpwstr>
  </property>
</Properties>
</file>