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方正小标宋_GBK" w:hAnsi="方正小标宋_GBK" w:eastAsia="方正小标宋_GBK" w:cs="方正小标宋_GBK"/>
          <w:color w:val="auto"/>
          <w:sz w:val="44"/>
          <w:szCs w:val="44"/>
          <w:lang w:val="en-US" w:eastAsia="zh-CN"/>
        </w:rPr>
      </w:pPr>
      <w:r>
        <w:rPr>
          <w:rFonts w:hint="eastAsia" w:ascii="方正小标宋_GBK" w:hAnsi="方正小标宋_GBK" w:eastAsia="方正小标宋_GBK" w:cs="方正小标宋_GBK"/>
          <w:color w:val="auto"/>
          <w:sz w:val="44"/>
          <w:szCs w:val="44"/>
          <w:lang w:val="en-US" w:eastAsia="zh-CN"/>
        </w:rPr>
        <w:t>南网超高压公司百色局2026年职工创新技术服务零星采购综合评分标准</w:t>
      </w:r>
    </w:p>
    <w:p>
      <w:pPr>
        <w:rPr>
          <w:rFonts w:hint="eastAsia"/>
        </w:rPr>
      </w:pP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确保南网超高压公司百色局2026年职工创新项目顺利实施，根据《超高压输电公司零星采购管理业务指导书》相关要求，百色局2026年职工创新项目零星采购采用综合评分法开展采购。评审委员会将按照商务、技术、价格进行量化评分，总分100分，以质量、价格、售后综合最优的供应商为第一成交候选人。</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一、评分分值构成</w:t>
      </w:r>
    </w:p>
    <w:tbl>
      <w:tblPr>
        <w:tblStyle w:val="7"/>
        <w:tblW w:w="9024"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33"/>
        <w:gridCol w:w="1636"/>
        <w:gridCol w:w="1172"/>
        <w:gridCol w:w="48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评分项目</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分值</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权重占比</w:t>
            </w:r>
          </w:p>
        </w:tc>
        <w:tc>
          <w:tcPr>
            <w:tcW w:w="48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模块得分折算说明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商务评审</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100分</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10%</w:t>
            </w:r>
          </w:p>
        </w:tc>
        <w:tc>
          <w:tcPr>
            <w:tcW w:w="48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模块得分×10%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技术评审</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100分</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40%</w:t>
            </w:r>
          </w:p>
        </w:tc>
        <w:tc>
          <w:tcPr>
            <w:tcW w:w="48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模块得分×40%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价格评审</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100分</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50%</w:t>
            </w:r>
          </w:p>
        </w:tc>
        <w:tc>
          <w:tcPr>
            <w:tcW w:w="48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模块得分×50%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综合得分</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100%</w:t>
            </w:r>
          </w:p>
        </w:tc>
        <w:tc>
          <w:tcPr>
            <w:tcW w:w="48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三项折算后相加，保留两位小数</w:t>
            </w:r>
          </w:p>
        </w:tc>
      </w:tr>
    </w:tbl>
    <w:p/>
    <w:p>
      <w:pPr>
        <w:keepNext w:val="0"/>
        <w:keepLines w:val="0"/>
        <w:pageBreakBefore w:val="0"/>
        <w:widowControl w:val="0"/>
        <w:numPr>
          <w:ilvl w:val="0"/>
          <w:numId w:val="1"/>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详细评分标准</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jc w:val="both"/>
        <w:textAlignment w:val="auto"/>
        <w:outlineLvl w:val="9"/>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（一）商务评审（100）分</w:t>
      </w:r>
    </w:p>
    <w:tbl>
      <w:tblPr>
        <w:tblStyle w:val="7"/>
        <w:tblW w:w="9024"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27"/>
        <w:gridCol w:w="1830"/>
        <w:gridCol w:w="1020"/>
        <w:gridCol w:w="52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序号</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评分因素</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分值</w:t>
            </w:r>
          </w:p>
        </w:tc>
        <w:tc>
          <w:tcPr>
            <w:tcW w:w="5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详细评审分项要素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1"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1</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资质与信用</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40</w:t>
            </w:r>
          </w:p>
        </w:tc>
        <w:tc>
          <w:tcPr>
            <w:tcW w:w="5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具有独立法人资格且营业执照有效；“信用中国”无失信记录截图；近一年财务报表或银行资信证明无资不抵债。材料齐全得4</w:t>
            </w:r>
            <w:r>
              <w:rPr>
                <w:rFonts w:hint="default" w:ascii="仿宋_GB2312" w:hAnsi="仿宋_GB2312" w:eastAsia="仿宋_GB2312" w:cs="仿宋_GB2312"/>
                <w:i w:val="0"/>
                <w:iCs w:val="0"/>
                <w:color w:val="333333"/>
                <w:kern w:val="0"/>
                <w:sz w:val="22"/>
                <w:szCs w:val="22"/>
                <w:u w:val="none"/>
                <w:lang w:val="en-US" w:eastAsia="zh-CN" w:bidi="ar"/>
              </w:rPr>
              <w:t>0分，缺一项扣10分。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6"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2</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商务响应度</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30</w:t>
            </w:r>
          </w:p>
        </w:tc>
        <w:tc>
          <w:tcPr>
            <w:tcW w:w="5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报价文件条款、技术规范书条款全部响应要求得满分，出现非实质性条款负偏差（不满足采购要求），每项扣5分，本项最低得0分。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1"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3</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证书</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30</w:t>
            </w:r>
          </w:p>
        </w:tc>
        <w:tc>
          <w:tcPr>
            <w:tcW w:w="5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按照证书类别或等级进行计分：具有质量管理体系认证证书、环境管理体系认证证书、职业健康安全管理体系认证证书、信息技术服务管理体系认证证书、知识产权管理体系认证证书等采购项目领域相关专业证书，每项5分，最高得30分。</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注：提供有效的认证证书等证明材料，未提供佐证材料相关证书不得分。</w:t>
            </w:r>
          </w:p>
        </w:tc>
      </w:tr>
    </w:tbl>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jc w:val="both"/>
        <w:textAlignment w:val="auto"/>
        <w:outlineLvl w:val="9"/>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（二）技术评审（100）分</w:t>
      </w:r>
    </w:p>
    <w:tbl>
      <w:tblPr>
        <w:tblStyle w:val="7"/>
        <w:tblW w:w="9024" w:type="dxa"/>
        <w:tblInd w:w="10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2"/>
        <w:gridCol w:w="1860"/>
        <w:gridCol w:w="1020"/>
        <w:gridCol w:w="52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6" w:hRule="atLeast"/>
        </w:trPr>
        <w:tc>
          <w:tcPr>
            <w:tcW w:w="912"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序号</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评分因素</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分值</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详细评审分项要素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6" w:hRule="atLeast"/>
        </w:trPr>
        <w:tc>
          <w:tcPr>
            <w:tcW w:w="912"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同类项目业绩</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20</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2023年1月1日至投标截止之日，完成过同类项目每项得5分，需提供合同等证明业绩的资料复印件/扫描件，最多得20分。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2" w:hRule="atLeast"/>
        </w:trPr>
        <w:tc>
          <w:tcPr>
            <w:tcW w:w="91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1</w:t>
            </w:r>
          </w:p>
        </w:tc>
        <w:tc>
          <w:tcPr>
            <w:tcW w:w="1860"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技术服务方案</w:t>
            </w:r>
          </w:p>
        </w:tc>
        <w:tc>
          <w:tcPr>
            <w:tcW w:w="102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40</w:t>
            </w:r>
          </w:p>
        </w:tc>
        <w:tc>
          <w:tcPr>
            <w:tcW w:w="5232"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优（34-40分）</w:t>
            </w:r>
            <w:r>
              <w:rPr>
                <w:rFonts w:hint="default" w:ascii="仿宋_GB2312" w:hAnsi="仿宋_GB2312" w:eastAsia="仿宋_GB2312" w:cs="仿宋_GB2312"/>
                <w:i w:val="0"/>
                <w:iCs w:val="0"/>
                <w:color w:val="333333"/>
                <w:kern w:val="0"/>
                <w:sz w:val="22"/>
                <w:szCs w:val="22"/>
                <w:u w:val="none"/>
                <w:lang w:val="en-US" w:eastAsia="zh-CN" w:bidi="ar"/>
              </w:rPr>
              <w:t>：方案完整、贴合需求、路线清晰、可实施性强；</w:t>
            </w:r>
            <w:r>
              <w:rPr>
                <w:rFonts w:hint="default" w:ascii="仿宋_GB2312" w:hAnsi="仿宋_GB2312" w:eastAsia="仿宋_GB2312" w:cs="仿宋_GB2312"/>
                <w:i w:val="0"/>
                <w:iCs w:val="0"/>
                <w:color w:val="333333"/>
                <w:kern w:val="0"/>
                <w:sz w:val="22"/>
                <w:szCs w:val="22"/>
                <w:u w:val="none"/>
                <w:lang w:val="en-US" w:eastAsia="zh-CN" w:bidi="ar"/>
              </w:rPr>
              <w:br w:type="textWrapping"/>
            </w:r>
            <w:r>
              <w:rPr>
                <w:rFonts w:hint="default" w:ascii="仿宋_GB2312" w:hAnsi="仿宋_GB2312" w:eastAsia="仿宋_GB2312" w:cs="仿宋_GB2312"/>
                <w:i w:val="0"/>
                <w:iCs w:val="0"/>
                <w:color w:val="333333"/>
                <w:kern w:val="0"/>
                <w:sz w:val="22"/>
                <w:szCs w:val="22"/>
                <w:u w:val="none"/>
                <w:lang w:val="en-US" w:eastAsia="zh-CN" w:bidi="ar"/>
              </w:rPr>
              <w:t>良（24</w:t>
            </w:r>
            <w:r>
              <w:rPr>
                <w:rFonts w:hint="eastAsia" w:ascii="仿宋_GB2312" w:hAnsi="仿宋_GB2312" w:eastAsia="仿宋_GB2312" w:cs="仿宋_GB2312"/>
                <w:i w:val="0"/>
                <w:iCs w:val="0"/>
                <w:color w:val="333333"/>
                <w:kern w:val="0"/>
                <w:sz w:val="22"/>
                <w:szCs w:val="22"/>
                <w:u w:val="none"/>
                <w:lang w:val="en-US" w:eastAsia="zh-CN" w:bidi="ar"/>
              </w:rPr>
              <w:t>-</w:t>
            </w:r>
            <w:r>
              <w:rPr>
                <w:rFonts w:hint="default" w:ascii="仿宋_GB2312" w:hAnsi="仿宋_GB2312" w:eastAsia="仿宋_GB2312" w:cs="仿宋_GB2312"/>
                <w:i w:val="0"/>
                <w:iCs w:val="0"/>
                <w:color w:val="333333"/>
                <w:kern w:val="0"/>
                <w:sz w:val="22"/>
                <w:szCs w:val="22"/>
                <w:u w:val="none"/>
                <w:lang w:val="en-US" w:eastAsia="zh-CN" w:bidi="ar"/>
              </w:rPr>
              <w:t>33分）：方案较完整，基本满足需求；</w:t>
            </w:r>
            <w:r>
              <w:rPr>
                <w:rFonts w:hint="default" w:ascii="仿宋_GB2312" w:hAnsi="仿宋_GB2312" w:eastAsia="仿宋_GB2312" w:cs="仿宋_GB2312"/>
                <w:i w:val="0"/>
                <w:iCs w:val="0"/>
                <w:color w:val="333333"/>
                <w:kern w:val="0"/>
                <w:sz w:val="22"/>
                <w:szCs w:val="22"/>
                <w:u w:val="none"/>
                <w:lang w:val="en-US" w:eastAsia="zh-CN" w:bidi="ar"/>
              </w:rPr>
              <w:br w:type="textWrapping"/>
            </w:r>
            <w:r>
              <w:rPr>
                <w:rFonts w:hint="default" w:ascii="仿宋_GB2312" w:hAnsi="仿宋_GB2312" w:eastAsia="仿宋_GB2312" w:cs="仿宋_GB2312"/>
                <w:i w:val="0"/>
                <w:iCs w:val="0"/>
                <w:color w:val="333333"/>
                <w:kern w:val="0"/>
                <w:sz w:val="22"/>
                <w:szCs w:val="22"/>
                <w:u w:val="none"/>
                <w:lang w:val="en-US" w:eastAsia="zh-CN" w:bidi="ar"/>
              </w:rPr>
              <w:t>一般（0</w:t>
            </w:r>
            <w:r>
              <w:rPr>
                <w:rFonts w:hint="eastAsia" w:ascii="仿宋_GB2312" w:hAnsi="仿宋_GB2312" w:eastAsia="仿宋_GB2312" w:cs="仿宋_GB2312"/>
                <w:i w:val="0"/>
                <w:iCs w:val="0"/>
                <w:color w:val="333333"/>
                <w:kern w:val="0"/>
                <w:sz w:val="22"/>
                <w:szCs w:val="22"/>
                <w:u w:val="none"/>
                <w:lang w:val="en-US" w:eastAsia="zh-CN" w:bidi="ar"/>
              </w:rPr>
              <w:t>-</w:t>
            </w:r>
            <w:r>
              <w:rPr>
                <w:rFonts w:hint="default" w:ascii="仿宋_GB2312" w:hAnsi="仿宋_GB2312" w:eastAsia="仿宋_GB2312" w:cs="仿宋_GB2312"/>
                <w:i w:val="0"/>
                <w:iCs w:val="0"/>
                <w:color w:val="333333"/>
                <w:kern w:val="0"/>
                <w:sz w:val="22"/>
                <w:szCs w:val="22"/>
                <w:u w:val="none"/>
                <w:lang w:val="en-US" w:eastAsia="zh-CN" w:bidi="ar"/>
              </w:rPr>
              <w:t>23分）：方案有缺漏、偏离需求或可行性差。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4" w:hRule="atLeast"/>
        </w:trPr>
        <w:tc>
          <w:tcPr>
            <w:tcW w:w="91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2</w:t>
            </w:r>
          </w:p>
        </w:tc>
        <w:tc>
          <w:tcPr>
            <w:tcW w:w="18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项目团队配置</w:t>
            </w:r>
          </w:p>
        </w:tc>
        <w:tc>
          <w:tcPr>
            <w:tcW w:w="10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25</w:t>
            </w:r>
          </w:p>
        </w:tc>
        <w:tc>
          <w:tcPr>
            <w:tcW w:w="52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根据拟投入的技术人员数量、专业素质及能力、资质证书、从业经历等进行综合评判比较打分：</w:t>
            </w:r>
          </w:p>
          <w:p>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1）采购标的相关专业副高级及以上职称，专业素质及能力较强、相关从业经历丰富，每派1名得4分，本项最多8分；（2）采购标的相关专业中级职称，专业素质及能力良好、相关从业经历丰富，每派1名得2分，本项最多12分；（3）采购标的相关专业助理级职称，专业素质及能力一般、相关从业经历一般，每派1名得1分，本项最多8分；（4）其他无职称人员不得分。总得分为各细项加总，最高25分。</w:t>
            </w:r>
          </w:p>
          <w:p>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（需同时提供学历及资格证书、从业经历、投标截止日前3个月的社保购买证明等材料，否则不得分）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7" w:hRule="atLeast"/>
        </w:trPr>
        <w:tc>
          <w:tcPr>
            <w:tcW w:w="91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3</w:t>
            </w:r>
          </w:p>
        </w:tc>
        <w:tc>
          <w:tcPr>
            <w:tcW w:w="1860" w:type="dxa"/>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服务承诺与保障</w:t>
            </w:r>
          </w:p>
        </w:tc>
        <w:tc>
          <w:tcPr>
            <w:tcW w:w="102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15</w:t>
            </w:r>
          </w:p>
        </w:tc>
        <w:tc>
          <w:tcPr>
            <w:tcW w:w="5232"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满足技术规范书的服务质量承诺及保证措施要求，得基础分5分；每存在1项优于技术规范书要求的加5分，最多加10分。</w:t>
            </w:r>
          </w:p>
        </w:tc>
      </w:tr>
    </w:tbl>
    <w:p/>
    <w:p>
      <w:pPr>
        <w:keepNext w:val="0"/>
        <w:keepLines w:val="0"/>
        <w:pageBreakBefore w:val="0"/>
        <w:widowControl w:val="0"/>
        <w:numPr>
          <w:ilvl w:val="0"/>
          <w:numId w:val="2"/>
        </w:numPr>
        <w:kinsoku/>
        <w:wordWrap/>
        <w:overflowPunct/>
        <w:topLinePunct w:val="0"/>
        <w:autoSpaceDE/>
        <w:autoSpaceDN/>
        <w:bidi w:val="0"/>
        <w:adjustRightInd/>
        <w:snapToGrid w:val="0"/>
        <w:spacing w:line="348" w:lineRule="auto"/>
        <w:ind w:right="0" w:rightChars="0"/>
        <w:jc w:val="both"/>
        <w:textAlignment w:val="auto"/>
        <w:outlineLvl w:val="9"/>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价格评审（100）分</w:t>
      </w:r>
    </w:p>
    <w:tbl>
      <w:tblPr>
        <w:tblStyle w:val="7"/>
        <w:tblW w:w="9024"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76"/>
        <w:gridCol w:w="72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97" w:hRule="atLeast"/>
        </w:trPr>
        <w:tc>
          <w:tcPr>
            <w:tcW w:w="177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价格分计算方法名称</w:t>
            </w:r>
          </w:p>
        </w:tc>
        <w:tc>
          <w:tcPr>
            <w:tcW w:w="724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二次基准单边扣分法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8" w:hRule="atLeast"/>
        </w:trPr>
        <w:tc>
          <w:tcPr>
            <w:tcW w:w="1776"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价格评审标准</w:t>
            </w:r>
          </w:p>
        </w:tc>
        <w:tc>
          <w:tcPr>
            <w:tcW w:w="7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评标基准价计算范围：</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所有进入详评的投标人评标价进行一次平均，高于该平均值50%的评标价不纳入评标基准价的计算范围</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价格部分评分计算方法采用二次基准单边扣分法具体如下：</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（1）价格分以基准平均价为依据当评标价等于或低于基准平均价时计为报价满分；</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2）基准平均价计算方法：取进入评标基准价计算范围的各投标厂商评标价的平均值（大于5家投标供应商时去掉最高、最低价格后计算平均价如果出现并列最高或最低价则只去掉1个最高或最低价）作为A1然后将A1和进入A1平均的最低评标价再进行一次平均得出A2作为基准平均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177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价格分计算公式</w:t>
            </w:r>
          </w:p>
        </w:tc>
        <w:tc>
          <w:tcPr>
            <w:tcW w:w="7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Q价=报价满分-Q扣。</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Q扣=R*|δ偏|</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|δ偏|=|（评标价格-基准平均价）/基准平均价*100|</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其中：Q扣为投标厂商评标价偏离基准平均价的扣分值；</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|δ偏|为评标价格与基准平均价偏差百分数的绝对值</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R为|δ偏|与Q扣的关系系数，当Q扣大于等于报价满分时Q价一律为零分。δ偏&lt;0时R低=0；δ偏&gt;0时R高=1。</w:t>
            </w:r>
          </w:p>
          <w:p>
            <w:pPr>
              <w:keepNext w:val="0"/>
              <w:keepLines w:val="0"/>
              <w:widowControl/>
              <w:suppressLineNumbers w:val="0"/>
              <w:jc w:val="left"/>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即：当厂商评标价等于或低于基准平均价时将不扣分；当每高于基准平均价1%将被扣1分。</w:t>
            </w:r>
          </w:p>
        </w:tc>
      </w:tr>
    </w:tbl>
    <w:p>
      <w:pPr>
        <w:keepNext w:val="0"/>
        <w:keepLines w:val="0"/>
        <w:pageBreakBefore w:val="0"/>
        <w:widowControl w:val="0"/>
        <w:numPr>
          <w:ilvl w:val="0"/>
          <w:numId w:val="0"/>
        </w:numPr>
        <w:kinsoku/>
        <w:wordWrap/>
        <w:overflowPunct/>
        <w:topLinePunct w:val="0"/>
        <w:autoSpaceDE/>
        <w:autoSpaceDN/>
        <w:bidi w:val="0"/>
        <w:adjustRightInd/>
        <w:snapToGrid w:val="0"/>
        <w:spacing w:before="157" w:beforeLines="50" w:line="348" w:lineRule="auto"/>
        <w:ind w:right="0" w:rightChars="0"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三、综合得分计算与成交候选人推荐</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（一）计算公式</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综合得分=商务得分×10%+技术得分×40%+价格得分×50%。</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（二）排序与推荐</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按综合得分由高到低排序，推荐第一名为第一成交候选人。</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综合得分相同时，技术评审得分高者优先；技术得分仍相同，以报价低者优先；仍相同的，由评审委员会投票确定。</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四、无效响应情形</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1.供应商资格不符合采购文件要求，或存在串通投标、弄虚作假行为；</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2.投标报价超出最高限价，或明显低于成本且不能合理说明；</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3.技术方案存在重大偏离，不满足采购文件实质性服务需求；</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4.响应文件未经法定代表人/授权代表签字或加盖单位公章；</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5.未满足采购文件规定的其他实质</w:t>
      </w:r>
      <w:bookmarkStart w:id="0" w:name="_GoBack"/>
      <w:bookmarkEnd w:id="0"/>
      <w:r>
        <w:rPr>
          <w:rFonts w:hint="eastAsia" w:ascii="仿宋_GB2312" w:hAnsi="仿宋_GB2312" w:eastAsia="仿宋_GB2312" w:cs="仿宋_GB2312"/>
          <w:sz w:val="32"/>
          <w:szCs w:val="32"/>
          <w:lang w:val="en-US" w:eastAsia="zh-CN"/>
        </w:rPr>
        <w:t>性要求。</w:t>
      </w:r>
    </w:p>
    <w:sectPr>
      <w:footerReference r:id="rId3" w:type="default"/>
      <w:pgSz w:w="11906" w:h="16838"/>
      <w:pgMar w:top="2098" w:right="1474" w:bottom="1984" w:left="158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E5B2B5F-C338-494D-8B13-4EB1C4F6454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embedRegular r:id="rId2" w:fontKey="{2DF8B021-DE46-48A2-921D-D0322EB17BDD}"/>
  </w:font>
  <w:font w:name="仿宋_GB2312">
    <w:panose1 w:val="02010609030101010101"/>
    <w:charset w:val="86"/>
    <w:family w:val="auto"/>
    <w:pitch w:val="default"/>
    <w:sig w:usb0="00000001" w:usb1="080E0000" w:usb2="00000000" w:usb3="00000000" w:csb0="00040000" w:csb1="00000000"/>
    <w:embedRegular r:id="rId3" w:fontKey="{6DDCF591-8B45-429B-9670-EAC9AE2FDC56}"/>
  </w:font>
  <w:font w:name="微软雅黑">
    <w:panose1 w:val="020B0503020204020204"/>
    <w:charset w:val="86"/>
    <w:family w:val="auto"/>
    <w:pitch w:val="default"/>
    <w:sig w:usb0="80000287" w:usb1="2ACF3C50" w:usb2="00000016" w:usb3="00000000" w:csb0="0004001F" w:csb1="00000000"/>
    <w:embedRegular r:id="rId4" w:fontKey="{1A538F5F-780C-4121-9441-80984E5C3FC1}"/>
  </w:font>
  <w:font w:name="楷体_GB2312">
    <w:panose1 w:val="02010609030101010101"/>
    <w:charset w:val="86"/>
    <w:family w:val="auto"/>
    <w:pitch w:val="default"/>
    <w:sig w:usb0="00000001" w:usb1="080E0000" w:usb2="00000000" w:usb3="00000000" w:csb0="00040000" w:csb1="00000000"/>
    <w:embedRegular r:id="rId5" w:fontKey="{A0BC620E-BF75-43EE-9DFD-0E5EB004D4D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E1654B"/>
    <w:multiLevelType w:val="singleLevel"/>
    <w:tmpl w:val="05E1654B"/>
    <w:lvl w:ilvl="0" w:tentative="0">
      <w:start w:val="2"/>
      <w:numFmt w:val="chineseCounting"/>
      <w:suff w:val="nothing"/>
      <w:lvlText w:val="%1、"/>
      <w:lvlJc w:val="left"/>
      <w:rPr>
        <w:rFonts w:hint="eastAsia"/>
      </w:rPr>
    </w:lvl>
  </w:abstractNum>
  <w:abstractNum w:abstractNumId="1">
    <w:nsid w:val="38C55454"/>
    <w:multiLevelType w:val="singleLevel"/>
    <w:tmpl w:val="38C55454"/>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D27CD2"/>
    <w:rsid w:val="0B5B2476"/>
    <w:rsid w:val="137772FA"/>
    <w:rsid w:val="15732B3D"/>
    <w:rsid w:val="1B985136"/>
    <w:rsid w:val="1CCE6081"/>
    <w:rsid w:val="24DA3B5D"/>
    <w:rsid w:val="257D278F"/>
    <w:rsid w:val="2BC5737C"/>
    <w:rsid w:val="2CF4664D"/>
    <w:rsid w:val="363E7A9C"/>
    <w:rsid w:val="41CD639E"/>
    <w:rsid w:val="45DF6289"/>
    <w:rsid w:val="47E2750A"/>
    <w:rsid w:val="4C367EAE"/>
    <w:rsid w:val="4E5E5E98"/>
    <w:rsid w:val="4E670DAE"/>
    <w:rsid w:val="57493A94"/>
    <w:rsid w:val="594A463C"/>
    <w:rsid w:val="6CAE1198"/>
    <w:rsid w:val="6FC12542"/>
    <w:rsid w:val="78D67D8F"/>
    <w:rsid w:val="79830A68"/>
    <w:rsid w:val="7A073F1C"/>
    <w:rsid w:val="7D3C6F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adjustRightInd w:val="0"/>
      <w:snapToGrid w:val="0"/>
      <w:spacing w:line="348" w:lineRule="auto"/>
      <w:ind w:firstLine="880" w:firstLineChars="200"/>
    </w:pPr>
    <w:rPr>
      <w:szCs w:val="32"/>
    </w:rPr>
  </w:style>
  <w:style w:type="paragraph" w:styleId="3">
    <w:name w:val="Title"/>
    <w:basedOn w:val="1"/>
    <w:next w:val="1"/>
    <w:qFormat/>
    <w:uiPriority w:val="0"/>
    <w:pPr>
      <w:spacing w:before="240" w:after="60"/>
      <w:jc w:val="center"/>
      <w:outlineLvl w:val="0"/>
    </w:pPr>
    <w:rPr>
      <w:rFonts w:ascii="Arial" w:hAnsi="Arial" w:eastAsia="宋体" w:cs="Arial"/>
      <w:b/>
      <w:bCs/>
      <w:color w:val="FF0000"/>
      <w:sz w:val="32"/>
      <w:szCs w:val="32"/>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1392</Words>
  <Characters>1468</Characters>
  <Lines>0</Lines>
  <Paragraphs>0</Paragraphs>
  <TotalTime>29</TotalTime>
  <ScaleCrop>false</ScaleCrop>
  <LinksUpToDate>false</LinksUpToDate>
  <CharactersWithSpaces>1468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2026-05-12T02:54:00Z</dcterms:created>
  <dc:creator>huawei</dc:creator>
  <cp:lastModifiedBy>陈强</cp:lastModifiedBy>
  <cp:lastPrinted>2026-06-11T07:42:00Z</cp:lastPrinted>
  <dcterms:modified xsi:type="dcterms:W3CDTF">2026-06-23T09:05:41Z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6339041F339F4668809ED31E78C83A61</vt:lpwstr>
  </property>
  <property fmtid="{D5CDD505-2E9C-101B-9397-08002B2CF9AE}" pid="4" name="KSOTemplateDocerSaveRecord">
    <vt:lpwstr>eyJoZGlkIjoiZTZhNGRjYjllOWQ5ZjQzYTkyMTg4ZWJjOGVhZWY1ZjgiLCJ1c2VySWQiOiIxNDg3MDUzNjg1In0=</vt:lpwstr>
  </property>
</Properties>
</file>