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ascii="仿宋_GB2312"/>
        </w:rPr>
      </w:pPr>
      <w:bookmarkStart w:id="0" w:name="_Toc307577976"/>
      <w:bookmarkStart w:id="1" w:name="_Toc309593186"/>
      <w:bookmarkStart w:id="2" w:name="_Toc309593257"/>
      <w:bookmarkStart w:id="3" w:name="_Toc309805581"/>
    </w:p>
    <w:p>
      <w:pPr>
        <w:tabs>
          <w:tab w:val="left" w:pos="0"/>
        </w:tabs>
        <w:ind w:firstLine="1044"/>
        <w:jc w:val="center"/>
        <w:rPr>
          <w:rFonts w:ascii="仿宋_GB2312"/>
          <w:sz w:val="44"/>
        </w:rPr>
      </w:pPr>
    </w:p>
    <w:p>
      <w:pPr>
        <w:tabs>
          <w:tab w:val="left" w:pos="0"/>
        </w:tabs>
        <w:ind w:firstLine="964"/>
        <w:jc w:val="center"/>
        <w:rPr>
          <w:rFonts w:hint="eastAsia" w:ascii="宋体" w:hAnsi="宋体"/>
          <w:b/>
          <w:sz w:val="48"/>
          <w:szCs w:val="48"/>
        </w:rPr>
      </w:pPr>
    </w:p>
    <w:p>
      <w:pPr>
        <w:tabs>
          <w:tab w:val="left" w:pos="0"/>
        </w:tabs>
        <w:ind w:firstLine="964"/>
        <w:jc w:val="center"/>
        <w:rPr>
          <w:rFonts w:hint="eastAsia" w:ascii="宋体" w:hAnsi="宋体"/>
          <w:b/>
          <w:sz w:val="48"/>
          <w:szCs w:val="48"/>
        </w:rPr>
      </w:pPr>
    </w:p>
    <w:p>
      <w:pPr>
        <w:tabs>
          <w:tab w:val="left" w:pos="0"/>
        </w:tabs>
        <w:spacing w:line="240" w:lineRule="auto"/>
        <w:ind w:firstLine="964"/>
        <w:jc w:val="center"/>
        <w:rPr>
          <w:rFonts w:hint="eastAsia" w:ascii="宋体" w:hAnsi="宋体"/>
          <w:b/>
          <w:sz w:val="48"/>
          <w:szCs w:val="48"/>
        </w:rPr>
      </w:pPr>
    </w:p>
    <w:p>
      <w:pPr>
        <w:adjustRightInd w:val="0"/>
        <w:snapToGrid w:val="0"/>
        <w:ind w:firstLine="0" w:firstLineChars="0"/>
        <w:jc w:val="center"/>
        <w:rPr>
          <w:rFonts w:hint="eastAsia" w:ascii="Calibri" w:hAnsi="Calibri" w:eastAsia="黑体"/>
          <w:b/>
          <w:sz w:val="52"/>
          <w:lang w:val="en-US" w:eastAsia="zh-CN"/>
        </w:rPr>
      </w:pPr>
      <w:r>
        <w:rPr>
          <w:rFonts w:hint="eastAsia" w:ascii="Calibri" w:hAnsi="Calibri" w:eastAsia="黑体"/>
          <w:b/>
          <w:sz w:val="52"/>
          <w:lang w:val="en-US" w:eastAsia="zh-CN"/>
        </w:rPr>
        <w:t>南网超高压公司百色局2026年</w:t>
      </w:r>
    </w:p>
    <w:p>
      <w:pPr>
        <w:adjustRightInd w:val="0"/>
        <w:snapToGrid w:val="0"/>
        <w:ind w:firstLine="0" w:firstLineChars="0"/>
        <w:jc w:val="center"/>
        <w:rPr>
          <w:rFonts w:ascii="Calibri" w:hAnsi="Calibri" w:eastAsia="黑体"/>
          <w:b/>
          <w:sz w:val="52"/>
        </w:rPr>
      </w:pPr>
      <w:r>
        <w:rPr>
          <w:rFonts w:hint="eastAsia" w:ascii="Calibri" w:hAnsi="Calibri" w:eastAsia="黑体"/>
          <w:b/>
          <w:sz w:val="52"/>
          <w:lang w:val="en-US" w:eastAsia="zh-CN"/>
        </w:rPr>
        <w:t>职创项目（</w:t>
      </w:r>
      <w:bookmarkStart w:id="69" w:name="_GoBack"/>
      <w:bookmarkEnd w:id="69"/>
      <w:r>
        <w:rPr>
          <w:rFonts w:hint="eastAsia" w:ascii="Calibri" w:hAnsi="Calibri" w:eastAsia="黑体"/>
          <w:b/>
          <w:sz w:val="52"/>
          <w:lang w:val="en-US" w:eastAsia="zh-CN"/>
        </w:rPr>
        <w:t>输电线路合成绝缘子憎水性数智化检测装置及其应用）技术规范书</w:t>
      </w:r>
    </w:p>
    <w:p>
      <w:pPr>
        <w:ind w:firstLine="600"/>
        <w:rPr>
          <w:sz w:val="30"/>
          <w:szCs w:val="30"/>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批准：</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审定：</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审核：</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adjustRightInd w:val="0"/>
        <w:snapToGrid w:val="0"/>
        <w:ind w:firstLine="1800" w:firstLineChars="600"/>
        <w:rPr>
          <w:sz w:val="28"/>
          <w:szCs w:val="36"/>
        </w:rPr>
      </w:pPr>
      <w:r>
        <w:rPr>
          <w:rFonts w:hint="eastAsia"/>
          <w:color w:val="000000" w:themeColor="text1"/>
          <w:sz w:val="30"/>
          <w:szCs w:val="30"/>
          <w14:textFill>
            <w14:solidFill>
              <w14:schemeClr w14:val="tx1"/>
            </w14:solidFill>
          </w14:textFill>
        </w:rPr>
        <w:t>编写：</w:t>
      </w:r>
    </w:p>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outlineLvl w:val="9"/>
        <w:rPr>
          <w:rFonts w:hint="eastAsia" w:ascii="宋体" w:hAnsi="宋体"/>
          <w:b/>
          <w:color w:val="000000" w:themeColor="text1"/>
          <w:sz w:val="36"/>
          <w:highlight w:val="none"/>
          <w:lang w:val="en-US" w:eastAsia="zh-CN"/>
          <w14:textFill>
            <w14:solidFill>
              <w14:schemeClr w14:val="tx1"/>
            </w14:solidFill>
          </w14:textFill>
        </w:rPr>
      </w:pPr>
      <w:bookmarkStart w:id="4" w:name="_Toc30053"/>
      <w:bookmarkStart w:id="5" w:name="_Toc218675718"/>
      <w:bookmarkStart w:id="6" w:name="_Toc19998"/>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highlight w:val="none"/>
          <w:lang w:val="en-US" w:eastAsia="zh-CN"/>
          <w14:textFill>
            <w14:solidFill>
              <w14:schemeClr w14:val="tx1"/>
            </w14:solidFill>
          </w14:textFill>
        </w:rPr>
        <w:t>南网</w:t>
      </w:r>
      <w:r>
        <w:rPr>
          <w:rFonts w:hint="eastAsia" w:ascii="宋体" w:hAnsi="宋体"/>
          <w:b/>
          <w:color w:val="000000" w:themeColor="text1"/>
          <w:sz w:val="36"/>
          <w:highlight w:val="none"/>
          <w14:textFill>
            <w14:solidFill>
              <w14:schemeClr w14:val="tx1"/>
            </w14:solidFill>
          </w14:textFill>
        </w:rPr>
        <w:t>超高压</w:t>
      </w:r>
      <w:r>
        <w:rPr>
          <w:rFonts w:hint="eastAsia" w:ascii="宋体" w:hAnsi="宋体"/>
          <w:b/>
          <w:color w:val="000000" w:themeColor="text1"/>
          <w:sz w:val="36"/>
          <w14:textFill>
            <w14:solidFill>
              <w14:schemeClr w14:val="tx1"/>
            </w14:solidFill>
          </w14:textFill>
        </w:rPr>
        <w:t>公司</w:t>
      </w:r>
      <w:bookmarkEnd w:id="4"/>
      <w:r>
        <w:rPr>
          <w:rFonts w:hint="eastAsia" w:ascii="宋体" w:hAnsi="宋体"/>
          <w:b/>
          <w:color w:val="000000" w:themeColor="text1"/>
          <w:sz w:val="36"/>
          <w14:textFill>
            <w14:solidFill>
              <w14:schemeClr w14:val="tx1"/>
            </w14:solidFill>
          </w14:textFill>
        </w:rPr>
        <w:t>百色局</w:t>
      </w:r>
      <w:bookmarkEnd w:id="5"/>
      <w:bookmarkEnd w:id="6"/>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sz w:val="36"/>
        </w:rPr>
      </w:pPr>
      <w:r>
        <w:rPr>
          <w:rFonts w:hint="eastAsia" w:ascii="宋体" w:hAnsi="宋体"/>
          <w:b/>
          <w:sz w:val="36"/>
        </w:rPr>
        <w:t>2026年</w:t>
      </w:r>
      <w:r>
        <w:rPr>
          <w:rFonts w:hint="eastAsia" w:ascii="宋体" w:hAnsi="宋体"/>
          <w:b/>
          <w:sz w:val="36"/>
          <w:lang w:val="en-US" w:eastAsia="zh-CN"/>
        </w:rPr>
        <w:t>6</w:t>
      </w:r>
      <w:r>
        <w:rPr>
          <w:rFonts w:hint="eastAsia" w:ascii="宋体" w:hAnsi="宋体"/>
          <w:b/>
          <w:sz w:val="36"/>
        </w:rPr>
        <w:t>月</w:t>
      </w:r>
    </w:p>
    <w:p>
      <w:pPr>
        <w:adjustRightInd w:val="0"/>
        <w:snapToGrid w:val="0"/>
        <w:ind w:firstLine="640"/>
        <w:jc w:val="center"/>
        <w:rPr>
          <w:rFonts w:hint="eastAsia" w:ascii="黑体" w:hAnsi="黑体" w:eastAsia="黑体" w:cs="黑体"/>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ind w:firstLine="0" w:firstLineChars="0"/>
        <w:jc w:val="center"/>
        <w:rPr>
          <w:rFonts w:hint="eastAsia" w:hAnsi="宋体"/>
          <w:b/>
          <w:spacing w:val="100"/>
          <w:sz w:val="32"/>
          <w:szCs w:val="30"/>
        </w:rPr>
      </w:pPr>
    </w:p>
    <w:p>
      <w:pPr>
        <w:spacing w:line="240" w:lineRule="auto"/>
        <w:ind w:firstLine="0" w:firstLineChars="0"/>
        <w:jc w:val="center"/>
        <w:rPr>
          <w:rFonts w:hint="eastAsia" w:hAnsi="宋体"/>
          <w:b/>
          <w:spacing w:val="100"/>
          <w:sz w:val="32"/>
          <w:szCs w:val="30"/>
        </w:rPr>
      </w:pPr>
      <w:r>
        <w:rPr>
          <w:rFonts w:hAnsi="宋体"/>
          <w:b/>
          <w:spacing w:val="100"/>
          <w:sz w:val="32"/>
          <w:szCs w:val="30"/>
        </w:rPr>
        <w:t>目录</w:t>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TOC \o "1-1" \h \u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_Toc9520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1.总则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_Toc9520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_Toc5588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2.应遵循的主要标准</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_Toc5588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_Toc16474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3.使用条件</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_Toc16474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_Toc27043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4.制作原则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_Toc27043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_Toc22696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5.技术服务内容及方式</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_Toc22696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_Toc23208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6.对投标方的要求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_Toc23208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9</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_Toc30826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7.售后服务及其它服务要求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_Toc30826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_Toc16657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8.对投标技术文件的要求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_Toc16657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12</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pP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Fonts w:eastAsia="黑体"/>
          <w:sz w:val="30"/>
          <w:u w:color="000000"/>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720" w:num="1"/>
          <w:docGrid w:type="lines" w:linePitch="312" w:charSpace="0"/>
        </w:sectPr>
      </w:pPr>
      <w:r>
        <w:rPr>
          <w:rFonts w:eastAsia="黑体"/>
          <w:sz w:val="30"/>
          <w:u w:color="000000"/>
        </w:rPr>
        <w:br w:type="page"/>
      </w:r>
    </w:p>
    <w:p>
      <w:pPr>
        <w:pStyle w:val="4"/>
        <w:numPr>
          <w:ilvl w:val="255"/>
          <w:numId w:val="0"/>
        </w:numPr>
        <w:spacing w:before="312" w:after="156"/>
        <w:rPr>
          <w:rFonts w:hint="eastAsia" w:ascii="宋体" w:hAnsi="宋体" w:eastAsia="宋体" w:cs="Times New Roman"/>
        </w:rPr>
      </w:pPr>
      <w:bookmarkStart w:id="7" w:name="_Toc9520"/>
      <w:bookmarkStart w:id="8" w:name="_Toc5872"/>
      <w:bookmarkStart w:id="9" w:name="_Toc28984"/>
      <w:r>
        <w:rPr>
          <w:rFonts w:hint="eastAsia" w:ascii="宋体" w:hAnsi="宋体" w:eastAsia="宋体" w:cs="Times New Roman"/>
        </w:rPr>
        <w:t>1.</w:t>
      </w:r>
      <w:r>
        <w:rPr>
          <w:rFonts w:ascii="宋体" w:hAnsi="宋体" w:eastAsia="宋体" w:cs="Times New Roman"/>
        </w:rPr>
        <w:t>总则</w:t>
      </w:r>
      <w:bookmarkEnd w:id="7"/>
      <w:bookmarkEnd w:id="8"/>
      <w:bookmarkEnd w:id="9"/>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 本技术规范书适用于《南网超高压公司百色局2026年职创项目技术服务</w:t>
      </w:r>
      <w:r>
        <w:rPr>
          <w:rFonts w:hint="eastAsia" w:ascii="宋体" w:hAnsi="宋体" w:cs="宋体"/>
          <w:lang w:val="en-US" w:eastAsia="zh-CN"/>
        </w:rPr>
        <w:t>（输电线路合成绝缘子憎水性数智化检测装置及其应用）</w:t>
      </w:r>
      <w:r>
        <w:rPr>
          <w:rFonts w:hint="eastAsia" w:ascii="宋体" w:hAnsi="宋体" w:eastAsia="宋体" w:cs="宋体"/>
          <w:lang w:val="en-US" w:eastAsia="zh-CN"/>
        </w:rPr>
        <w:t>》，提出了项目的技术内容、工期进度等要求，投标方应针对自身特点，根据本技术规范书所描述的具体要求，提供完整的解决方案。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1.2 本次专项招标采购方为中国南方电网有限责任公司超高压输电公司百色局（以下简称“招标方”或“百色局”），在本文中，具备所要求资质参与投标的供应商简称“投标方”，中标的投标人简称“中标方”。</w:t>
      </w:r>
    </w:p>
    <w:p>
      <w:pPr>
        <w:tabs>
          <w:tab w:val="left" w:pos="851"/>
        </w:tabs>
        <w:ind w:firstLine="480"/>
        <w:rPr>
          <w:rFonts w:hint="eastAsia" w:ascii="宋体" w:hAnsi="宋体" w:eastAsia="宋体" w:cs="宋体"/>
          <w:lang w:val="en-US" w:eastAsia="zh-CN"/>
        </w:rPr>
      </w:pPr>
      <w:bookmarkStart w:id="10" w:name="_Toc14127"/>
      <w:r>
        <w:rPr>
          <w:rFonts w:hint="eastAsia" w:ascii="宋体" w:hAnsi="宋体" w:eastAsia="宋体" w:cs="宋体"/>
          <w:lang w:val="en-US" w:eastAsia="zh-CN"/>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1.4 在根据本技术规范书签订协议之后，招标方有权提出因标准或规程规范发生变化而产生的一些补充，具体项目由招、投标双方共同商定。</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1.5 本技术规范书所使用的标准如遇与投标方所执行的标准发生矛盾时，按较高标准执行，本技术规范书未全部引用应用标准，凡是本技术规范书牵涉的各项内容均按最新标准实施。</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1.6 本技术规范书经招、投标双方确认后作为签订合同的技术附件，与合同正文具有同等法律效力。同时，技术规范书未尽事宜，由招、投标双方协商确定。</w:t>
      </w:r>
    </w:p>
    <w:p>
      <w:pPr>
        <w:pStyle w:val="4"/>
        <w:numPr>
          <w:ilvl w:val="255"/>
          <w:numId w:val="0"/>
        </w:numPr>
        <w:spacing w:before="312" w:after="156"/>
        <w:rPr>
          <w:rFonts w:hint="eastAsia" w:ascii="宋体" w:hAnsi="宋体" w:eastAsia="宋体" w:cs="Times New Roman"/>
        </w:rPr>
      </w:pPr>
      <w:bookmarkStart w:id="11" w:name="_Toc2740"/>
      <w:bookmarkStart w:id="12" w:name="_Toc5588"/>
      <w:r>
        <w:rPr>
          <w:rFonts w:hint="eastAsia" w:ascii="宋体" w:hAnsi="宋体" w:eastAsia="宋体" w:cs="Times New Roman"/>
        </w:rPr>
        <w:t>2.应遵循的主要标准</w:t>
      </w:r>
      <w:bookmarkEnd w:id="10"/>
      <w:bookmarkEnd w:id="11"/>
      <w:bookmarkEnd w:id="12"/>
    </w:p>
    <w:bookmarkEnd w:id="0"/>
    <w:bookmarkEnd w:id="1"/>
    <w:bookmarkEnd w:id="2"/>
    <w:bookmarkEnd w:id="3"/>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项目制作过程及成果须满足IEC标准、国家行业标准、南方电网企业标准（规范）。若已颁布的相关技术标准或规范被修订，使用本技术规范书的各方应探讨使用最新版本的可能性。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本项目实施过程中所应用到的各种标准，由投标方推荐，经招标方确认后由投标方提供并在项目中使用。</w:t>
      </w:r>
    </w:p>
    <w:p>
      <w:pPr>
        <w:tabs>
          <w:tab w:val="left" w:pos="851"/>
        </w:tabs>
        <w:ind w:firstLine="480"/>
        <w:rPr>
          <w:rFonts w:hint="eastAsia" w:ascii="宋体" w:hAnsi="宋体" w:eastAsia="宋体" w:cs="宋体"/>
          <w:lang w:val="en-US" w:eastAsia="zh-CN"/>
        </w:rPr>
      </w:pPr>
    </w:p>
    <w:p>
      <w:pPr>
        <w:tabs>
          <w:tab w:val="left" w:pos="851"/>
        </w:tabs>
        <w:ind w:firstLine="480"/>
        <w:rPr>
          <w:rFonts w:hint="eastAsia" w:ascii="宋体" w:hAnsi="宋体" w:eastAsia="宋体" w:cs="宋体"/>
          <w:lang w:val="en-US" w:eastAsia="zh-CN"/>
        </w:rPr>
      </w:pPr>
    </w:p>
    <w:p>
      <w:pPr>
        <w:tabs>
          <w:tab w:val="left" w:pos="851"/>
        </w:tabs>
        <w:ind w:firstLine="480"/>
        <w:rPr>
          <w:rFonts w:hint="eastAsia" w:ascii="宋体" w:hAnsi="宋体" w:eastAsia="宋体" w:cs="宋体"/>
          <w:lang w:val="en-US" w:eastAsia="zh-CN"/>
        </w:rPr>
      </w:pP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推荐使用但不限于以下标准：</w:t>
      </w:r>
    </w:p>
    <w:tbl>
      <w:tblPr>
        <w:tblStyle w:val="18"/>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36"/>
        <w:gridCol w:w="57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36" w:type="dxa"/>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标准号</w:t>
            </w:r>
          </w:p>
        </w:tc>
        <w:tc>
          <w:tcPr>
            <w:tcW w:w="5792" w:type="dxa"/>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GB/T 19870-2005</w:t>
            </w:r>
          </w:p>
        </w:tc>
        <w:tc>
          <w:tcPr>
            <w:tcW w:w="5792"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工业检测红外热像仪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DL/T664-2016</w:t>
            </w:r>
          </w:p>
        </w:tc>
        <w:tc>
          <w:tcPr>
            <w:tcW w:w="5792"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带电设备红外诊断应用规范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GB4793-1984</w:t>
            </w:r>
          </w:p>
        </w:tc>
        <w:tc>
          <w:tcPr>
            <w:tcW w:w="5792" w:type="dxa"/>
            <w:noWrap w:val="0"/>
            <w:vAlign w:val="center"/>
          </w:tcPr>
          <w:p>
            <w:pPr>
              <w:pStyle w:val="37"/>
              <w:tabs>
                <w:tab w:val="left" w:pos="2160"/>
                <w:tab w:val="clear" w:pos="4201"/>
                <w:tab w:val="clear" w:pos="9298"/>
              </w:tabs>
              <w:adjustRightInd w:val="0"/>
              <w:snapToGrid w:val="0"/>
              <w:spacing w:line="360" w:lineRule="auto"/>
              <w:ind w:firstLine="0" w:firstLineChars="0"/>
              <w:rPr>
                <w:rFonts w:ascii="Times New Roman"/>
                <w:szCs w:val="21"/>
              </w:rPr>
            </w:pPr>
            <w:r>
              <w:rPr>
                <w:rFonts w:hint="eastAsia" w:ascii="Times New Roman"/>
                <w:szCs w:val="21"/>
              </w:rPr>
              <w:t>电子测量仪器安全要求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color w:val="000000"/>
                <w:sz w:val="21"/>
                <w:szCs w:val="21"/>
              </w:rPr>
              <w:t>CH/T9016-2012</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eastAsia="宋体"/>
                <w:color w:val="000000"/>
                <w:sz w:val="21"/>
                <w:szCs w:val="21"/>
              </w:rPr>
              <w:t>三维地理信息模型生产规范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color w:val="000000"/>
                <w:sz w:val="21"/>
                <w:szCs w:val="21"/>
              </w:rPr>
              <w:t>CH/T9015-2012</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eastAsia="宋体"/>
                <w:color w:val="000000"/>
                <w:sz w:val="21"/>
                <w:szCs w:val="21"/>
              </w:rPr>
              <w:t>三维地理信息模型数据产品规范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color w:val="000000"/>
                <w:sz w:val="21"/>
                <w:szCs w:val="21"/>
              </w:rPr>
              <w:t>CH/T9017-2012</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eastAsia="宋体"/>
                <w:color w:val="000000"/>
                <w:sz w:val="21"/>
                <w:szCs w:val="21"/>
              </w:rPr>
              <w:t>三维地理信息模型数据库规范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color w:val="000000"/>
                <w:sz w:val="21"/>
                <w:szCs w:val="21"/>
              </w:rPr>
              <w:t>CJJ/T157-2010</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eastAsia="宋体"/>
                <w:color w:val="000000"/>
                <w:sz w:val="21"/>
                <w:szCs w:val="21"/>
              </w:rPr>
              <w:t>城市三维建模技术规范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color w:val="000000"/>
                <w:sz w:val="21"/>
                <w:szCs w:val="21"/>
              </w:rPr>
              <w:t>GB/T18316-2008</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szCs w:val="21"/>
              </w:rPr>
            </w:pPr>
            <w:r>
              <w:rPr>
                <w:rFonts w:hint="eastAsia" w:ascii="Times New Roman" w:hAnsi="Times New Roman" w:eastAsia="宋体"/>
                <w:color w:val="000000"/>
                <w:sz w:val="21"/>
                <w:szCs w:val="21"/>
              </w:rPr>
              <w:t>数字测绘成果质量检查与验收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GB2887-89 </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计算机场地技术条件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lang w:val="en-US" w:eastAsia="zh-CN"/>
              </w:rPr>
            </w:pPr>
            <w:r>
              <w:rPr>
                <w:rFonts w:hint="eastAsia" w:ascii="Times New Roman"/>
                <w:color w:val="000000"/>
                <w:sz w:val="21"/>
                <w:szCs w:val="21"/>
                <w:lang w:val="en-US" w:eastAsia="zh-CN"/>
              </w:rPr>
              <w:t>/</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default" w:ascii="Times New Roman" w:hAnsi="Times New Roman" w:cs="Times New Roman"/>
                <w:lang w:bidi="ar"/>
              </w:rPr>
              <w:t>南方电网电力全域物联网平台接入技术规范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color w:val="000000"/>
                <w:sz w:val="21"/>
                <w:szCs w:val="21"/>
                <w:lang w:val="en-US" w:eastAsia="zh-CN"/>
              </w:rPr>
              <w:t>/</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default" w:ascii="Times New Roman" w:hAnsi="Times New Roman" w:cs="Times New Roman"/>
                <w:lang w:bidi="ar"/>
              </w:rPr>
              <w:t>南方电网公司人工智能平台能力开放工作指引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color w:val="000000"/>
                <w:sz w:val="21"/>
                <w:szCs w:val="21"/>
                <w:lang w:val="en-US" w:eastAsia="zh-CN"/>
              </w:rPr>
              <w:t>/</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cs="Times New Roman"/>
                <w:lang w:bidi="ar"/>
              </w:rPr>
            </w:pPr>
            <w:r>
              <w:rPr>
                <w:rFonts w:hint="default" w:ascii="Times New Roman" w:hAnsi="Times New Roman" w:cs="Times New Roman"/>
                <w:lang w:bidi="ar"/>
              </w:rPr>
              <w:t>南方电网电力全域物联网平台接入技术规范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color w:val="000000"/>
                <w:sz w:val="21"/>
                <w:szCs w:val="21"/>
                <w:highlight w:val="none"/>
                <w:lang w:val="en-US" w:eastAsia="zh-CN"/>
              </w:rPr>
            </w:pPr>
            <w:r>
              <w:rPr>
                <w:rFonts w:hint="eastAsia" w:ascii="Times New Roman" w:hAnsi="Times New Roman" w:eastAsia="宋体" w:cs="Times New Roman"/>
                <w:i w:val="0"/>
                <w:iCs w:val="0"/>
                <w:color w:val="000000"/>
                <w:kern w:val="0"/>
                <w:sz w:val="21"/>
                <w:szCs w:val="21"/>
                <w:highlight w:val="none"/>
                <w:u w:val="none"/>
                <w:lang w:val="en-US" w:eastAsia="zh-CN" w:bidi="ar"/>
              </w:rPr>
              <w:t>Q/CSG 1205056.2-2022</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cs="Times New Roman"/>
                <w:highlight w:val="none"/>
                <w:lang w:bidi="ar"/>
              </w:rPr>
            </w:pPr>
            <w:r>
              <w:rPr>
                <w:rFonts w:hint="default" w:ascii="宋体" w:hAnsi="宋体" w:eastAsia="宋体" w:cs="宋体"/>
                <w:i w:val="0"/>
                <w:iCs w:val="0"/>
                <w:color w:val="000000"/>
                <w:kern w:val="0"/>
                <w:sz w:val="22"/>
                <w:szCs w:val="22"/>
                <w:highlight w:val="none"/>
                <w:u w:val="none"/>
                <w:lang w:val="en-US" w:eastAsia="zh-CN" w:bidi="ar"/>
              </w:rPr>
              <w:t>南方电网</w:t>
            </w:r>
            <w:r>
              <w:rPr>
                <w:rFonts w:hint="eastAsia" w:ascii="宋体" w:hAnsi="宋体" w:eastAsia="宋体" w:cs="宋体"/>
                <w:i w:val="0"/>
                <w:iCs w:val="0"/>
                <w:color w:val="000000"/>
                <w:kern w:val="0"/>
                <w:sz w:val="22"/>
                <w:szCs w:val="22"/>
                <w:highlight w:val="none"/>
                <w:u w:val="none"/>
                <w:lang w:val="en-US" w:eastAsia="zh-CN" w:bidi="ar"/>
              </w:rPr>
              <w:t>电力安全工作规程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olor w:val="000000"/>
                <w:sz w:val="21"/>
                <w:szCs w:val="21"/>
              </w:rPr>
              <w:t>Q/CSG</w:t>
            </w:r>
            <w:r>
              <w:rPr>
                <w:rFonts w:hint="eastAsia" w:ascii="Times New Roman" w:cs="Times New Roman"/>
                <w:i w:val="0"/>
                <w:iCs w:val="0"/>
                <w:color w:val="000000"/>
                <w:kern w:val="0"/>
                <w:sz w:val="21"/>
                <w:szCs w:val="21"/>
                <w:highlight w:val="none"/>
                <w:u w:val="none"/>
                <w:lang w:val="en-US" w:eastAsia="zh-CN" w:bidi="ar"/>
              </w:rPr>
              <w:t xml:space="preserve"> 1206007-2017</w:t>
            </w:r>
          </w:p>
        </w:tc>
        <w:tc>
          <w:tcPr>
            <w:tcW w:w="5792"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hAnsi="宋体" w:cs="宋体"/>
                <w:i w:val="0"/>
                <w:iCs w:val="0"/>
                <w:color w:val="000000"/>
                <w:kern w:val="0"/>
                <w:sz w:val="22"/>
                <w:szCs w:val="22"/>
                <w:highlight w:val="none"/>
                <w:u w:val="none"/>
                <w:lang w:val="en-US" w:eastAsia="zh-CN" w:bidi="ar"/>
              </w:rPr>
            </w:pPr>
            <w:r>
              <w:rPr>
                <w:rFonts w:hint="eastAsia" w:hAnsi="宋体" w:cs="宋体"/>
                <w:i w:val="0"/>
                <w:iCs w:val="0"/>
                <w:color w:val="000000"/>
                <w:kern w:val="0"/>
                <w:sz w:val="22"/>
                <w:szCs w:val="22"/>
                <w:highlight w:val="none"/>
                <w:u w:val="none"/>
                <w:lang w:val="en-US" w:eastAsia="zh-CN" w:bidi="ar"/>
              </w:rPr>
              <w:t>电力设备检修试验规程</w:t>
            </w:r>
          </w:p>
        </w:tc>
      </w:tr>
    </w:tbl>
    <w:p>
      <w:pPr>
        <w:pStyle w:val="4"/>
        <w:numPr>
          <w:ilvl w:val="255"/>
          <w:numId w:val="0"/>
        </w:numPr>
        <w:spacing w:before="312" w:after="156"/>
        <w:rPr>
          <w:rFonts w:hint="eastAsia" w:ascii="宋体" w:hAnsi="宋体" w:eastAsia="宋体" w:cs="Times New Roman"/>
        </w:rPr>
      </w:pPr>
      <w:bookmarkStart w:id="13" w:name="_Toc16474"/>
      <w:bookmarkStart w:id="14" w:name="_Toc25883"/>
      <w:bookmarkStart w:id="15" w:name="_Toc7639"/>
      <w:r>
        <w:rPr>
          <w:rFonts w:hint="eastAsia" w:ascii="宋体" w:hAnsi="宋体" w:eastAsia="宋体" w:cs="Times New Roman"/>
          <w:lang w:val="en-US" w:eastAsia="zh-CN"/>
        </w:rPr>
        <w:t>3.使用条件</w:t>
      </w:r>
      <w:bookmarkEnd w:id="13"/>
      <w:bookmarkEnd w:id="14"/>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3.1正常工作条件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（1）海拔高度：4000m及以下任何海拔高度均可正常使用（北京54坐标系）；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（2）最高环境温度：+55ºC；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（3）最低环境温度：-20ºC；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（4）年平均气温：20ºC；</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（5）覆冰厚度：0～30mm；</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（6）最大设计风速：20m/s</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（7）环境相对湿度：80%；</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（8）工器具应该能在规定的荷载内正常运行。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3.2特殊工作条件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针对具体应用工况，用户根据实际需求提出特殊工作条件。当超出正常与特殊工作条件时，由用户与供应商协商确定。</w:t>
      </w:r>
    </w:p>
    <w:p>
      <w:pPr>
        <w:pStyle w:val="4"/>
        <w:numPr>
          <w:ilvl w:val="255"/>
          <w:numId w:val="0"/>
        </w:numPr>
        <w:spacing w:before="312" w:after="156"/>
        <w:rPr>
          <w:rFonts w:hint="eastAsia" w:ascii="宋体" w:hAnsi="宋体" w:eastAsia="宋体" w:cs="Times New Roman"/>
        </w:rPr>
      </w:pPr>
      <w:bookmarkStart w:id="16" w:name="_Toc14218"/>
      <w:bookmarkStart w:id="17" w:name="_Toc27043"/>
      <w:r>
        <w:rPr>
          <w:rFonts w:hint="eastAsia" w:ascii="宋体" w:hAnsi="宋体" w:eastAsia="宋体" w:cs="Times New Roman"/>
          <w:lang w:val="en-US" w:eastAsia="zh-CN"/>
        </w:rPr>
        <w:t>4</w:t>
      </w:r>
      <w:r>
        <w:rPr>
          <w:rFonts w:hint="eastAsia" w:cs="Times New Roman"/>
          <w:lang w:val="en-US" w:eastAsia="zh-CN"/>
        </w:rPr>
        <w:t>.</w:t>
      </w:r>
      <w:r>
        <w:rPr>
          <w:rFonts w:hint="eastAsia" w:ascii="宋体" w:hAnsi="宋体" w:eastAsia="宋体" w:cs="Times New Roman"/>
          <w:lang w:val="en-US" w:eastAsia="zh-CN"/>
        </w:rPr>
        <w:t>制作原则</w:t>
      </w:r>
      <w:bookmarkEnd w:id="16"/>
      <w:bookmarkEnd w:id="1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（1）先进性原则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遵循南方电网公司的软件优化总体规划与要求，并结合南方电网公司现状，参考国际经验，充分利用各项先进技术，采用创新型设计技术。以现场实际实用为目标，采用安全、高效、便携的技术方案，全面实现能效提升、业务提升及管理提升，确保软件的先进性和实用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（2）安全性原则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 xml:space="preserve">  系统功能应满足《电力二次系统安全防护技术规范》《南方电网二次系统安全防护业务指导书》《南方电网网络安全管理办法》《南方电网互联网应用管理办法》《南方电网智能电网电力监控系统网络安全防护技术导则》最新发布版本和南方电网反措的相关要求，并结合平台功能的业务特点加强信息安全防护，支持多种安全可靠性技术手段，制定严格的安全可靠性管理措施。通过权限管理、安全隔离、信息加密等措施，构建通信层、网络层、系统层、应用层等多层面的立体安全防护体系，确保平台安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（3）可靠性原则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系统需要7*24小时不间断、可靠运行，因此必须配备完善的可靠性措施设计，保证系统运行的高度可靠。要充分考虑关键应用的可靠性要求，在数据库、主机、应用部署、网络等关键环节配备多种高可用性方案。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（4）规范化原则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设计应遵循相关国际标准、国家标准、行业标准及公司标准，统一设计、统一开发和应用，遵循南方电网公司数字电网模型设计，保持平台设计、开发、实施过程中全程规范化管理，对项目质量和进度严格管控。</w:t>
      </w:r>
    </w:p>
    <w:p>
      <w:pPr>
        <w:pStyle w:val="4"/>
        <w:numPr>
          <w:ilvl w:val="255"/>
          <w:numId w:val="0"/>
        </w:numPr>
        <w:spacing w:before="312" w:after="156"/>
        <w:rPr>
          <w:rFonts w:hint="eastAsia" w:ascii="宋体" w:hAnsi="宋体" w:eastAsia="宋体" w:cs="Times New Roman"/>
        </w:rPr>
      </w:pPr>
      <w:bookmarkStart w:id="18" w:name="_Toc32566"/>
      <w:bookmarkStart w:id="19" w:name="_Toc22696"/>
      <w:r>
        <w:rPr>
          <w:rFonts w:hint="eastAsia" w:ascii="宋体" w:hAnsi="宋体" w:eastAsia="宋体" w:cs="Times New Roman"/>
          <w:lang w:val="en-US" w:eastAsia="zh-CN"/>
        </w:rPr>
        <w:t>5</w:t>
      </w:r>
      <w:r>
        <w:rPr>
          <w:rFonts w:hint="eastAsia" w:cs="Times New Roman"/>
          <w:lang w:val="en-US" w:eastAsia="zh-CN"/>
        </w:rPr>
        <w:t>.</w:t>
      </w:r>
      <w:r>
        <w:rPr>
          <w:rFonts w:hint="eastAsia" w:ascii="宋体" w:hAnsi="宋体" w:eastAsia="宋体" w:cs="Times New Roman"/>
        </w:rPr>
        <w:t>技术服务内容及方式</w:t>
      </w:r>
      <w:bookmarkEnd w:id="15"/>
      <w:bookmarkEnd w:id="18"/>
      <w:bookmarkEnd w:id="19"/>
    </w:p>
    <w:p>
      <w:pPr>
        <w:tabs>
          <w:tab w:val="left" w:pos="851"/>
        </w:tabs>
        <w:ind w:firstLine="480"/>
        <w:rPr>
          <w:rFonts w:hint="eastAsia" w:ascii="宋体" w:hAnsi="宋体" w:eastAsia="宋体" w:cs="宋体"/>
          <w:lang w:val="en-US" w:eastAsia="zh-CN"/>
        </w:rPr>
      </w:pPr>
      <w:bookmarkStart w:id="20" w:name="_Toc369561308"/>
      <w:bookmarkStart w:id="21" w:name="_Toc369559705"/>
      <w:r>
        <w:rPr>
          <w:rFonts w:hint="eastAsia" w:ascii="宋体" w:hAnsi="宋体" w:eastAsia="宋体" w:cs="宋体"/>
          <w:lang w:val="en-US" w:eastAsia="zh-CN"/>
        </w:rPr>
        <w:t>服务期限为合同生效之日起至2026年1</w:t>
      </w:r>
      <w:r>
        <w:rPr>
          <w:rFonts w:hint="eastAsia" w:ascii="宋体" w:hAnsi="宋体" w:cs="宋体"/>
          <w:lang w:val="en-US" w:eastAsia="zh-CN"/>
        </w:rPr>
        <w:t>2</w:t>
      </w:r>
      <w:r>
        <w:rPr>
          <w:rFonts w:hint="eastAsia" w:ascii="宋体" w:hAnsi="宋体" w:eastAsia="宋体" w:cs="宋体"/>
          <w:lang w:val="en-US" w:eastAsia="zh-CN"/>
        </w:rPr>
        <w:t>月</w:t>
      </w:r>
      <w:r>
        <w:rPr>
          <w:rFonts w:hint="eastAsia" w:ascii="宋体" w:hAnsi="宋体" w:cs="宋体"/>
          <w:lang w:val="en-US" w:eastAsia="zh-CN"/>
        </w:rPr>
        <w:t>20</w:t>
      </w:r>
      <w:r>
        <w:rPr>
          <w:rFonts w:hint="eastAsia" w:ascii="宋体" w:hAnsi="宋体" w:eastAsia="宋体" w:cs="宋体"/>
          <w:lang w:val="en-US" w:eastAsia="zh-CN"/>
        </w:rPr>
        <w:t>日。</w:t>
      </w:r>
    </w:p>
    <w:p>
      <w:pPr>
        <w:tabs>
          <w:tab w:val="left" w:pos="851"/>
        </w:tabs>
        <w:ind w:firstLine="480"/>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本创新项目需根据加工、制作、调试的实际情况前往现场开展勘查、安装及调试工作</w:t>
      </w:r>
      <w:r>
        <w:rPr>
          <w:rFonts w:hint="eastAsia" w:ascii="宋体" w:hAnsi="宋体" w:cs="宋体"/>
          <w:color w:val="000000" w:themeColor="text1"/>
          <w:lang w:val="en-US" w:eastAsia="zh-CN"/>
          <w14:textFill>
            <w14:solidFill>
              <w14:schemeClr w14:val="tx1"/>
            </w14:solidFill>
          </w14:textFill>
        </w:rPr>
        <w:t>，研制的输电线路合成绝缘子憎水性数智化检测装置需匹配招标方使用的大疆M400及以上无人机上使用。</w:t>
      </w:r>
    </w:p>
    <w:bookmarkEnd w:id="20"/>
    <w:bookmarkEnd w:id="21"/>
    <w:p>
      <w:pPr>
        <w:snapToGrid w:val="0"/>
        <w:spacing w:line="360" w:lineRule="auto"/>
        <w:ind w:firstLine="0" w:firstLineChars="0"/>
        <w:jc w:val="center"/>
        <w:rPr>
          <w:rFonts w:hint="eastAsia"/>
          <w:color w:val="auto"/>
          <w:szCs w:val="21"/>
          <w:highlight w:val="none"/>
        </w:rPr>
      </w:pPr>
      <w:bookmarkStart w:id="22" w:name="_Toc12318"/>
      <w:bookmarkStart w:id="23" w:name="_Toc27075"/>
    </w:p>
    <w:p>
      <w:pPr>
        <w:snapToGrid w:val="0"/>
        <w:spacing w:line="360" w:lineRule="auto"/>
        <w:ind w:firstLine="0" w:firstLineChars="0"/>
        <w:jc w:val="both"/>
        <w:rPr>
          <w:rFonts w:hint="eastAsia"/>
          <w:color w:val="auto"/>
          <w:szCs w:val="21"/>
          <w:highlight w:val="none"/>
        </w:rPr>
      </w:pPr>
    </w:p>
    <w:p>
      <w:pPr>
        <w:snapToGrid w:val="0"/>
        <w:spacing w:line="360" w:lineRule="auto"/>
        <w:ind w:firstLine="0" w:firstLineChars="0"/>
        <w:jc w:val="center"/>
        <w:rPr>
          <w:rFonts w:hint="eastAsia"/>
          <w:color w:val="auto"/>
          <w:szCs w:val="21"/>
          <w:highlight w:val="none"/>
          <w:lang w:val="en-US" w:eastAsia="zh-CN"/>
        </w:rPr>
      </w:pPr>
      <w:r>
        <w:rPr>
          <w:rFonts w:hint="eastAsia"/>
          <w:color w:val="auto"/>
          <w:szCs w:val="21"/>
          <w:highlight w:val="none"/>
        </w:rPr>
        <w:t>表</w:t>
      </w:r>
      <w:r>
        <w:rPr>
          <w:rFonts w:hint="eastAsia"/>
          <w:color w:val="auto"/>
          <w:szCs w:val="21"/>
          <w:highlight w:val="none"/>
          <w:lang w:val="en-US" w:eastAsia="zh-CN"/>
        </w:rPr>
        <w:t>5.1</w:t>
      </w:r>
      <w:r>
        <w:rPr>
          <w:rFonts w:hint="eastAsia"/>
          <w:color w:val="auto"/>
          <w:szCs w:val="21"/>
          <w:highlight w:val="none"/>
        </w:rPr>
        <w:t xml:space="preserve">  </w:t>
      </w:r>
      <w:r>
        <w:rPr>
          <w:rFonts w:hint="eastAsia"/>
          <w:color w:val="auto"/>
          <w:szCs w:val="21"/>
          <w:highlight w:val="none"/>
          <w:lang w:val="en-US" w:eastAsia="zh-CN"/>
        </w:rPr>
        <w:t>技术服务内容</w:t>
      </w:r>
    </w:p>
    <w:tbl>
      <w:tblPr>
        <w:tblStyle w:val="19"/>
        <w:tblW w:w="9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0"/>
        <w:gridCol w:w="1378"/>
        <w:gridCol w:w="4348"/>
        <w:gridCol w:w="2048"/>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dxa"/>
            <w:noWrap w:val="0"/>
            <w:vAlign w:val="center"/>
          </w:tcPr>
          <w:p>
            <w:pPr>
              <w:widowControl w:val="0"/>
              <w:spacing w:line="420" w:lineRule="exact"/>
              <w:jc w:val="both"/>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cs="Times New Roman"/>
                <w:kern w:val="2"/>
                <w:sz w:val="21"/>
                <w:szCs w:val="20"/>
                <w:highlight w:val="none"/>
                <w:vertAlign w:val="baseline"/>
                <w:lang w:val="en-US" w:eastAsia="zh-CN" w:bidi="ar-SA"/>
              </w:rPr>
              <w:t>序号</w:t>
            </w:r>
            <w:r>
              <w:rPr>
                <w:rFonts w:hint="eastAsia" w:ascii="Calibri" w:hAnsi="Calibri" w:eastAsia="宋体" w:cs="Times New Roman"/>
                <w:kern w:val="2"/>
                <w:sz w:val="21"/>
                <w:szCs w:val="20"/>
                <w:highlight w:val="none"/>
                <w:vertAlign w:val="baseline"/>
                <w:lang w:val="en-US" w:eastAsia="zh-CN" w:bidi="ar-SA"/>
              </w:rPr>
              <w:t>序</w:t>
            </w:r>
          </w:p>
        </w:tc>
        <w:tc>
          <w:tcPr>
            <w:tcW w:w="1378" w:type="dxa"/>
            <w:noWrap w:val="0"/>
            <w:vAlign w:val="center"/>
          </w:tcPr>
          <w:p>
            <w:pPr>
              <w:widowControl w:val="0"/>
              <w:spacing w:line="420" w:lineRule="exact"/>
              <w:ind w:left="0" w:leftChars="0" w:firstLine="0" w:firstLineChars="0"/>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标的名称</w:t>
            </w:r>
          </w:p>
        </w:tc>
        <w:tc>
          <w:tcPr>
            <w:tcW w:w="4348" w:type="dxa"/>
            <w:noWrap w:val="0"/>
            <w:vAlign w:val="center"/>
          </w:tcPr>
          <w:p>
            <w:pPr>
              <w:widowControl w:val="0"/>
              <w:spacing w:line="420" w:lineRule="exact"/>
              <w:ind w:left="0" w:leftChars="0" w:firstLine="0" w:firstLineChars="0"/>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服务内容</w:t>
            </w:r>
          </w:p>
        </w:tc>
        <w:tc>
          <w:tcPr>
            <w:tcW w:w="2048" w:type="dxa"/>
            <w:noWrap w:val="0"/>
            <w:vAlign w:val="center"/>
          </w:tcPr>
          <w:p>
            <w:pPr>
              <w:widowControl w:val="0"/>
              <w:spacing w:line="420" w:lineRule="exact"/>
              <w:ind w:left="0" w:leftChars="0" w:firstLine="0" w:firstLineChars="0"/>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交付物</w:t>
            </w:r>
          </w:p>
        </w:tc>
        <w:tc>
          <w:tcPr>
            <w:tcW w:w="1309" w:type="dxa"/>
            <w:noWrap w:val="0"/>
            <w:vAlign w:val="center"/>
          </w:tcPr>
          <w:p>
            <w:pPr>
              <w:widowControl w:val="0"/>
              <w:spacing w:line="420" w:lineRule="exact"/>
              <w:ind w:left="0" w:leftChars="0" w:firstLine="0" w:firstLineChars="0"/>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服务地点</w:t>
            </w:r>
          </w:p>
        </w:tc>
      </w:tr>
    </w:tbl>
    <w:tbl>
      <w:tblPr>
        <w:tblStyle w:val="19"/>
        <w:tblpPr w:leftFromText="180" w:rightFromText="180" w:vertAnchor="text" w:horzAnchor="page" w:tblpX="1809" w:tblpY="34"/>
        <w:tblOverlap w:val="never"/>
        <w:tblW w:w="9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6"/>
        <w:gridCol w:w="1338"/>
        <w:gridCol w:w="4348"/>
        <w:gridCol w:w="2064"/>
        <w:gridCol w:w="1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 w:type="dxa"/>
            <w:noWrap w:val="0"/>
            <w:vAlign w:val="center"/>
          </w:tcPr>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w:t>
            </w:r>
          </w:p>
        </w:tc>
        <w:tc>
          <w:tcPr>
            <w:tcW w:w="1338" w:type="dxa"/>
            <w:noWrap w:val="0"/>
            <w:vAlign w:val="center"/>
          </w:tcPr>
          <w:p>
            <w:pPr>
              <w:widowControl w:val="0"/>
              <w:spacing w:line="420" w:lineRule="exact"/>
              <w:ind w:left="0" w:leftChars="0" w:firstLine="0" w:firstLineChars="0"/>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cs="Times New Roman"/>
                <w:kern w:val="2"/>
                <w:sz w:val="21"/>
                <w:szCs w:val="20"/>
                <w:highlight w:val="none"/>
                <w:vertAlign w:val="baseline"/>
                <w:lang w:val="en-US" w:eastAsia="zh-CN" w:bidi="ar-SA"/>
              </w:rPr>
              <w:t>输电线路合成绝缘子憎水性数智化检测装置及其应用</w:t>
            </w:r>
          </w:p>
        </w:tc>
        <w:tc>
          <w:tcPr>
            <w:tcW w:w="4348" w:type="dxa"/>
            <w:noWrap w:val="0"/>
            <w:vAlign w:val="center"/>
          </w:tcPr>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根据招标方设计方案，协助完成：</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1.无人机检测载荷集成。研制可拆卸检测载荷结构，集成雾化喷头、多光谱相机等核心组件，实现自动巡航、动态定位等无人干预式检测。</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2.憎水性AI识别算法。构建30万+绝缘子样本数据集，基于YOLOv8n设计轻量化AI模型，融合多维度特征并完成模型压缩，实现HC等级判定。</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3.环境自适应校正算法。开发适配复杂光照、天气场景的环境校正算法，确保检测精度稳定性。</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4.全流程自动化软件系统。基于GIS地图与线路三维建模，开发一体化系统，具备避障轨迹生成、断点续飞等飞行控制功能，3分钟内生成标准化检测报告。</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5.负责完成成果的第三方检测（检测机构应具备CMA或CNAS认证资质），并配合完成专利文本优化。</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6.需在超特高压新型电气装备科技成果转化中试基地完成中试。</w:t>
            </w:r>
          </w:p>
        </w:tc>
        <w:tc>
          <w:tcPr>
            <w:tcW w:w="2064" w:type="dxa"/>
            <w:noWrap w:val="0"/>
            <w:vAlign w:val="center"/>
          </w:tcPr>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1.</w:t>
            </w:r>
            <w:r>
              <w:rPr>
                <w:rFonts w:hint="eastAsia" w:ascii="Calibri" w:hAnsi="Calibri" w:cs="Times New Roman"/>
                <w:kern w:val="2"/>
                <w:sz w:val="21"/>
                <w:szCs w:val="20"/>
                <w:highlight w:val="none"/>
                <w:vertAlign w:val="baseline"/>
                <w:lang w:val="en-US" w:eastAsia="zh-CN" w:bidi="ar-SA"/>
              </w:rPr>
              <w:t>配合研发输电线路合成绝缘子憎水性数智化检测装置及其应用</w:t>
            </w:r>
            <w:r>
              <w:rPr>
                <w:rFonts w:hint="eastAsia" w:ascii="Calibri" w:hAnsi="Calibri" w:eastAsia="宋体" w:cs="Times New Roman"/>
                <w:kern w:val="2"/>
                <w:sz w:val="21"/>
                <w:szCs w:val="20"/>
                <w:highlight w:val="none"/>
                <w:vertAlign w:val="baseline"/>
                <w:lang w:val="en-US" w:eastAsia="zh-CN" w:bidi="ar-SA"/>
              </w:rPr>
              <w:t>1套；</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2.</w:t>
            </w:r>
            <w:r>
              <w:rPr>
                <w:rFonts w:hint="eastAsia" w:ascii="Calibri" w:hAnsi="Calibri" w:cs="Times New Roman"/>
                <w:kern w:val="2"/>
                <w:sz w:val="21"/>
                <w:szCs w:val="20"/>
                <w:highlight w:val="none"/>
                <w:vertAlign w:val="baseline"/>
                <w:lang w:val="en-US" w:eastAsia="zh-CN" w:bidi="ar-SA"/>
              </w:rPr>
              <w:t>配合</w:t>
            </w:r>
            <w:r>
              <w:rPr>
                <w:rFonts w:hint="eastAsia" w:ascii="Calibri" w:hAnsi="Calibri" w:eastAsia="宋体" w:cs="Times New Roman"/>
                <w:kern w:val="2"/>
                <w:sz w:val="21"/>
                <w:szCs w:val="20"/>
                <w:highlight w:val="none"/>
                <w:vertAlign w:val="baseline"/>
                <w:lang w:val="en-US" w:eastAsia="zh-CN" w:bidi="ar-SA"/>
              </w:rPr>
              <w:t>编制发明专利申请文本1份；</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3.</w:t>
            </w:r>
            <w:r>
              <w:rPr>
                <w:rFonts w:hint="eastAsia" w:ascii="Calibri" w:hAnsi="Calibri" w:cs="Times New Roman"/>
                <w:kern w:val="2"/>
                <w:sz w:val="21"/>
                <w:szCs w:val="20"/>
                <w:highlight w:val="none"/>
                <w:vertAlign w:val="baseline"/>
                <w:lang w:val="en-US" w:eastAsia="zh-CN" w:bidi="ar-SA"/>
              </w:rPr>
              <w:t>配合</w:t>
            </w:r>
            <w:r>
              <w:rPr>
                <w:rFonts w:hint="eastAsia" w:ascii="Calibri" w:hAnsi="Calibri" w:eastAsia="宋体" w:cs="Times New Roman"/>
                <w:kern w:val="2"/>
                <w:sz w:val="21"/>
                <w:szCs w:val="20"/>
                <w:highlight w:val="none"/>
                <w:vertAlign w:val="baseline"/>
                <w:lang w:val="en-US" w:eastAsia="zh-CN" w:bidi="ar-SA"/>
              </w:rPr>
              <w:t>撰写论文1篇；</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4.</w:t>
            </w:r>
            <w:r>
              <w:rPr>
                <w:rFonts w:hint="eastAsia" w:ascii="Calibri" w:hAnsi="Calibri" w:cs="Times New Roman"/>
                <w:kern w:val="2"/>
                <w:sz w:val="21"/>
                <w:szCs w:val="20"/>
                <w:highlight w:val="none"/>
                <w:vertAlign w:val="baseline"/>
                <w:lang w:val="en-US" w:eastAsia="zh-CN" w:bidi="ar-SA"/>
              </w:rPr>
              <w:t>形成</w:t>
            </w:r>
            <w:r>
              <w:rPr>
                <w:rFonts w:hint="eastAsia" w:ascii="Calibri" w:hAnsi="Calibri" w:eastAsia="宋体" w:cs="Times New Roman"/>
                <w:kern w:val="2"/>
                <w:sz w:val="21"/>
                <w:szCs w:val="20"/>
                <w:highlight w:val="none"/>
                <w:vertAlign w:val="baseline"/>
                <w:lang w:val="en-US" w:eastAsia="zh-CN" w:bidi="ar-SA"/>
              </w:rPr>
              <w:t>轻量化 AI 识别模型1份；</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5.</w:t>
            </w:r>
            <w:r>
              <w:rPr>
                <w:rFonts w:hint="eastAsia" w:ascii="Calibri" w:hAnsi="Calibri" w:cs="Times New Roman"/>
                <w:kern w:val="2"/>
                <w:sz w:val="21"/>
                <w:szCs w:val="20"/>
                <w:highlight w:val="none"/>
                <w:vertAlign w:val="baseline"/>
                <w:lang w:val="en-US" w:eastAsia="zh-CN" w:bidi="ar-SA"/>
              </w:rPr>
              <w:t>形成</w:t>
            </w:r>
            <w:r>
              <w:rPr>
                <w:rFonts w:hint="eastAsia" w:ascii="Calibri" w:hAnsi="Calibri" w:eastAsia="宋体" w:cs="Times New Roman"/>
                <w:kern w:val="2"/>
                <w:sz w:val="21"/>
                <w:szCs w:val="20"/>
                <w:highlight w:val="none"/>
                <w:vertAlign w:val="baseline"/>
                <w:lang w:val="en-US" w:eastAsia="zh-CN" w:bidi="ar-SA"/>
              </w:rPr>
              <w:t>全流程自动化检测软件系统1份；</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6.</w:t>
            </w:r>
            <w:r>
              <w:rPr>
                <w:rFonts w:hint="eastAsia" w:ascii="Calibri" w:hAnsi="Calibri" w:cs="Times New Roman"/>
                <w:kern w:val="2"/>
                <w:sz w:val="21"/>
                <w:szCs w:val="20"/>
                <w:highlight w:val="none"/>
                <w:vertAlign w:val="baseline"/>
                <w:lang w:val="en-US" w:eastAsia="zh-CN" w:bidi="ar-SA"/>
              </w:rPr>
              <w:t>形成</w:t>
            </w:r>
            <w:r>
              <w:rPr>
                <w:rFonts w:hint="eastAsia" w:ascii="Calibri" w:hAnsi="Calibri" w:eastAsia="宋体" w:cs="Times New Roman"/>
                <w:kern w:val="2"/>
                <w:sz w:val="21"/>
                <w:szCs w:val="20"/>
                <w:highlight w:val="none"/>
                <w:vertAlign w:val="baseline"/>
                <w:lang w:val="en-US" w:eastAsia="zh-CN" w:bidi="ar-SA"/>
              </w:rPr>
              <w:t>绝缘子憎水性标注数据集1份；</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7.</w:t>
            </w:r>
            <w:r>
              <w:rPr>
                <w:rFonts w:hint="eastAsia" w:ascii="Calibri" w:hAnsi="Calibri" w:cs="Times New Roman"/>
                <w:kern w:val="2"/>
                <w:sz w:val="21"/>
                <w:szCs w:val="20"/>
                <w:highlight w:val="none"/>
                <w:vertAlign w:val="baseline"/>
                <w:lang w:val="en-US" w:eastAsia="zh-CN" w:bidi="ar-SA"/>
              </w:rPr>
              <w:t>形成输电线路合成绝缘子憎水性数智化检测装置及其应用</w:t>
            </w:r>
            <w:r>
              <w:rPr>
                <w:rFonts w:hint="eastAsia" w:ascii="Calibri" w:hAnsi="Calibri" w:eastAsia="宋体" w:cs="Times New Roman"/>
                <w:kern w:val="2"/>
                <w:sz w:val="21"/>
                <w:szCs w:val="20"/>
                <w:highlight w:val="none"/>
                <w:vertAlign w:val="baseline"/>
                <w:lang w:val="en-US" w:eastAsia="zh-CN" w:bidi="ar-SA"/>
              </w:rPr>
              <w:t>创新成果报告1份；</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8.</w:t>
            </w:r>
            <w:r>
              <w:rPr>
                <w:rFonts w:hint="eastAsia" w:ascii="Calibri" w:hAnsi="Calibri" w:cs="Times New Roman"/>
                <w:kern w:val="2"/>
                <w:sz w:val="21"/>
                <w:szCs w:val="20"/>
                <w:highlight w:val="none"/>
                <w:vertAlign w:val="baseline"/>
                <w:lang w:val="en-US" w:eastAsia="zh-CN" w:bidi="ar-SA"/>
              </w:rPr>
              <w:t>形成</w:t>
            </w:r>
            <w:r>
              <w:rPr>
                <w:rFonts w:hint="eastAsia" w:ascii="Calibri" w:hAnsi="Calibri" w:eastAsia="宋体" w:cs="Times New Roman"/>
                <w:kern w:val="2"/>
                <w:sz w:val="21"/>
                <w:szCs w:val="20"/>
                <w:highlight w:val="none"/>
                <w:vertAlign w:val="baseline"/>
                <w:lang w:val="en-US" w:eastAsia="zh-CN" w:bidi="ar-SA"/>
              </w:rPr>
              <w:t>操作手册1份。</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cs="Times New Roman"/>
                <w:kern w:val="2"/>
                <w:sz w:val="21"/>
                <w:szCs w:val="20"/>
                <w:highlight w:val="none"/>
                <w:vertAlign w:val="baseline"/>
                <w:lang w:val="en-US" w:eastAsia="zh-CN" w:bidi="ar-SA"/>
              </w:rPr>
              <w:t>9</w:t>
            </w:r>
            <w:r>
              <w:rPr>
                <w:rFonts w:hint="eastAsia" w:ascii="Calibri" w:hAnsi="Calibri" w:eastAsia="宋体" w:cs="Times New Roman"/>
                <w:kern w:val="2"/>
                <w:sz w:val="21"/>
                <w:szCs w:val="20"/>
                <w:highlight w:val="none"/>
                <w:vertAlign w:val="baseline"/>
                <w:lang w:val="en-US" w:eastAsia="zh-CN" w:bidi="ar-SA"/>
              </w:rPr>
              <w:t>.完成第三方检测（检测机构应具备CMA或CNAS认证资质）；</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cs="Times New Roman"/>
                <w:kern w:val="2"/>
                <w:sz w:val="21"/>
                <w:szCs w:val="20"/>
                <w:highlight w:val="none"/>
                <w:vertAlign w:val="baseline"/>
                <w:lang w:val="en-US" w:eastAsia="zh-CN" w:bidi="ar-SA"/>
              </w:rPr>
              <w:t>10</w:t>
            </w:r>
            <w:r>
              <w:rPr>
                <w:rFonts w:hint="eastAsia" w:ascii="Calibri" w:hAnsi="Calibri" w:eastAsia="宋体" w:cs="Times New Roman"/>
                <w:kern w:val="2"/>
                <w:sz w:val="21"/>
                <w:szCs w:val="20"/>
                <w:highlight w:val="none"/>
                <w:vertAlign w:val="baseline"/>
                <w:lang w:val="en-US" w:eastAsia="zh-CN" w:bidi="ar-SA"/>
              </w:rPr>
              <w:t>.在超特高压新型电气装备科技成果转化中试基地完成中试。</w:t>
            </w:r>
          </w:p>
        </w:tc>
        <w:tc>
          <w:tcPr>
            <w:tcW w:w="1293" w:type="dxa"/>
            <w:noWrap w:val="0"/>
            <w:vAlign w:val="center"/>
          </w:tcPr>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本职工创新项目需根据制作实际情况前往各站点及线路现场开展勘查、安装及调试工作，具体项目地点需联系相关项目负责人。</w:t>
            </w:r>
          </w:p>
          <w:p>
            <w:pPr>
              <w:widowControl w:val="0"/>
              <w:spacing w:line="420" w:lineRule="exact"/>
              <w:ind w:left="0" w:leftChars="0" w:firstLine="0" w:firstLineChars="0"/>
              <w:jc w:val="left"/>
              <w:textAlignment w:val="center"/>
              <w:rPr>
                <w:rFonts w:hint="eastAsia" w:ascii="Calibri" w:hAnsi="Calibri" w:eastAsia="宋体" w:cs="Times New Roman"/>
                <w:kern w:val="2"/>
                <w:sz w:val="21"/>
                <w:szCs w:val="20"/>
                <w:highlight w:val="none"/>
                <w:vertAlign w:val="baseline"/>
                <w:lang w:val="en-US" w:eastAsia="zh-CN" w:bidi="ar-SA"/>
              </w:rPr>
            </w:pPr>
          </w:p>
        </w:tc>
      </w:tr>
    </w:tbl>
    <w:p>
      <w:pPr>
        <w:pStyle w:val="2"/>
        <w:ind w:left="0" w:leftChars="0" w:firstLine="0" w:firstLineChars="0"/>
      </w:pPr>
    </w:p>
    <w:bookmarkEnd w:id="22"/>
    <w:bookmarkEnd w:id="23"/>
    <w:p>
      <w:pPr>
        <w:pStyle w:val="4"/>
        <w:numPr>
          <w:ilvl w:val="255"/>
          <w:numId w:val="0"/>
        </w:numPr>
        <w:spacing w:before="312" w:after="156"/>
        <w:rPr>
          <w:rFonts w:hint="eastAsia" w:ascii="宋体" w:hAnsi="宋体" w:eastAsia="宋体" w:cs="Times New Roman"/>
        </w:rPr>
      </w:pPr>
      <w:bookmarkStart w:id="24" w:name="_Toc14394"/>
      <w:bookmarkStart w:id="25" w:name="_Toc12691"/>
      <w:bookmarkStart w:id="26" w:name="_Toc369559710"/>
      <w:bookmarkStart w:id="27" w:name="_Toc2581"/>
      <w:bookmarkStart w:id="28" w:name="_Toc7886"/>
      <w:bookmarkStart w:id="29" w:name="_Toc23208"/>
      <w:bookmarkStart w:id="30" w:name="_Toc369561313"/>
      <w:r>
        <w:rPr>
          <w:rFonts w:hint="eastAsia" w:ascii="宋体" w:hAnsi="宋体" w:eastAsia="宋体" w:cs="Times New Roman"/>
          <w:lang w:val="en-US" w:eastAsia="zh-CN"/>
        </w:rPr>
        <w:t>6.</w:t>
      </w:r>
      <w:r>
        <w:rPr>
          <w:rFonts w:hint="eastAsia" w:ascii="宋体" w:hAnsi="宋体" w:eastAsia="宋体" w:cs="Times New Roman"/>
        </w:rPr>
        <w:t>对投标方的要求</w:t>
      </w:r>
      <w:bookmarkEnd w:id="24"/>
      <w:bookmarkEnd w:id="25"/>
      <w:bookmarkEnd w:id="26"/>
      <w:bookmarkEnd w:id="27"/>
      <w:bookmarkEnd w:id="28"/>
      <w:bookmarkEnd w:id="29"/>
      <w:bookmarkEnd w:id="30"/>
    </w:p>
    <w:p>
      <w:pPr>
        <w:tabs>
          <w:tab w:val="left" w:pos="851"/>
        </w:tabs>
        <w:ind w:firstLine="480"/>
        <w:rPr>
          <w:rFonts w:hint="eastAsia" w:ascii="宋体" w:hAnsi="宋体" w:eastAsia="宋体" w:cs="宋体"/>
          <w:lang w:val="en-US" w:eastAsia="zh-CN"/>
        </w:rPr>
      </w:pPr>
      <w:bookmarkStart w:id="31" w:name="_Toc28495"/>
      <w:bookmarkStart w:id="32" w:name="_Toc369561314"/>
      <w:bookmarkStart w:id="33" w:name="_Toc31887"/>
      <w:bookmarkStart w:id="34" w:name="_Toc369559711"/>
      <w:bookmarkStart w:id="35" w:name="_Toc16150"/>
      <w:r>
        <w:rPr>
          <w:rFonts w:hint="eastAsia" w:ascii="宋体" w:hAnsi="宋体" w:eastAsia="宋体" w:cs="宋体"/>
          <w:lang w:val="en-US" w:eastAsia="zh-CN"/>
        </w:rPr>
        <w:t>（1）投标方按照本技术规范书技术服务范围及技术指标要求等相关技术标准制定严谨、全面、可实现的技术实施方案，并严格按照实施方案进行实施。在项目服务周期内中标方有义务在实施过程中对项目涉及的技术问题进行答疑。在项目全周期中禁止投标方再次分包本项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（2）为保证投标方有效进行项目制作工作，招标方提供与项目有关的技术资料，并协助投标方协调项目实施过程中所需解决的事项。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（3）在项目实施期间，招标方可派出技术人员并参加项目的管理及实施，投标方有责任对其进行技术指导和答疑，同时投标方也应协助提供招标方编写论文或申请专利所需的项目数据。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在项目进行期内，双方均指定项目联系人。项目联系人承担以下责任：a、沟通项目所需的资料收集；b、沟通项目进度信息；c、协商解决项目执行过程中遇到的问题。一方变更项目联系人的，应当及时以书面形式通知另一方。未及时通知并影响项目进行或造成损失的，应承担相应的责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（5）投标方必须向招标方保证工程人员组织的稳定性，保证工程按招标方的要求如期进行；在本工程结束前，参加本工程的人员变动必须取得招标方同意；</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（6）投标方负责对招标方专业人员的技术培训 （包括硬件、软件的维护及运行培训），并提供必要的工作场地；</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（7）投标方协助招标方产品开发、负责产品制作、加工、测试、实施及现场调试，参加现场验收和整体考核验收；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（8）投标方负责提供制作范围内所有设备的文件资料和运行维护手册；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（9）保证期以后应招标方要求，投标方应协助招标方对所供系统进行扩容升级、增加功能等工作，并优惠提供最新开发的应用软件。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10）投标方应按照本规范书要求完成项目，项目制作的工具、方法、进度和全过程应在招标方可控的范围之内，并向招标方交付项目相关技术资料，不限于项目实施过程中产生的试验数据、电路布图、仿真模型、算法、程序、装置及零部件图纸等。未经招标方书面同意，投标方不得在其他项目中使用上述技术资料，或向任何第三方披露、使用上述技术资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项目实施过程中形成的知识产权归招标方所有，投标方经招标方书面同意后方可使用制作成果，但无转让权。招标方可以不定期（不限于项目期间）采取以下措施：对技术成果知识产权进行申请和保护，包括就任何技术成果申请专利、维持专利或专利有效性和对任何涉嫌或实际侵犯技术成果知识产权的行为采取一切合理必要措施。投标方参与到技术成果创造的学术应当为招标法采取上述措施提供合理的帮助。</w:t>
      </w:r>
    </w:p>
    <w:p>
      <w:pPr>
        <w:tabs>
          <w:tab w:val="left" w:pos="851"/>
        </w:tabs>
        <w:ind w:firstLine="480"/>
        <w:rPr>
          <w:rFonts w:hint="default" w:ascii="宋体" w:hAnsi="宋体" w:eastAsia="宋体" w:cs="宋体"/>
          <w:lang w:val="en-US" w:eastAsia="zh-CN"/>
        </w:rPr>
      </w:pPr>
      <w:r>
        <w:rPr>
          <w:rFonts w:hint="eastAsia" w:ascii="宋体" w:hAnsi="宋体" w:eastAsia="宋体" w:cs="宋体"/>
          <w:lang w:val="en-US" w:eastAsia="zh-CN"/>
        </w:rPr>
        <w:t>（12）</w:t>
      </w:r>
      <w:r>
        <w:rPr>
          <w:rFonts w:hint="default" w:ascii="宋体" w:hAnsi="宋体" w:eastAsia="宋体" w:cs="宋体"/>
          <w:lang w:val="en-US" w:eastAsia="zh-CN"/>
        </w:rPr>
        <w:t>投标方承担项目验收评审会议</w:t>
      </w:r>
      <w:r>
        <w:rPr>
          <w:rFonts w:hint="eastAsia" w:ascii="宋体" w:hAnsi="宋体" w:eastAsia="宋体" w:cs="宋体"/>
          <w:lang w:val="en-US" w:eastAsia="zh-CN"/>
        </w:rPr>
        <w:t>及至少1次专家讨论会</w:t>
      </w:r>
      <w:r>
        <w:rPr>
          <w:rFonts w:hint="default" w:ascii="宋体" w:hAnsi="宋体" w:eastAsia="宋体" w:cs="宋体"/>
          <w:lang w:val="en-US" w:eastAsia="zh-CN"/>
        </w:rPr>
        <w:t>的专家咨询费，并根据招标方要求承担相关会务工作。</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（13）投标方应在合同签订后3个月内完成合同登记并提供登记证明及财务加计扣除的相关材料。</w:t>
      </w:r>
    </w:p>
    <w:p>
      <w:pPr>
        <w:pStyle w:val="4"/>
        <w:numPr>
          <w:ilvl w:val="255"/>
          <w:numId w:val="0"/>
        </w:numPr>
        <w:spacing w:before="312" w:after="156"/>
        <w:rPr>
          <w:rFonts w:hint="eastAsia" w:ascii="宋体" w:hAnsi="宋体" w:eastAsia="宋体" w:cs="Times New Roman"/>
        </w:rPr>
      </w:pPr>
      <w:bookmarkStart w:id="36" w:name="_Toc30826"/>
      <w:bookmarkStart w:id="37" w:name="_Toc2553"/>
      <w:r>
        <w:rPr>
          <w:rFonts w:hint="eastAsia" w:ascii="宋体" w:hAnsi="宋体" w:eastAsia="宋体" w:cs="Times New Roman"/>
          <w:lang w:val="en-US" w:eastAsia="zh-CN"/>
        </w:rPr>
        <w:t>7</w:t>
      </w:r>
      <w:bookmarkEnd w:id="31"/>
      <w:bookmarkEnd w:id="32"/>
      <w:bookmarkEnd w:id="33"/>
      <w:bookmarkEnd w:id="34"/>
      <w:bookmarkEnd w:id="35"/>
      <w:r>
        <w:rPr>
          <w:rFonts w:hint="eastAsia" w:ascii="宋体" w:hAnsi="宋体" w:eastAsia="宋体" w:cs="Times New Roman"/>
          <w:lang w:val="en-US" w:eastAsia="zh-CN"/>
        </w:rPr>
        <w:t>.</w:t>
      </w:r>
      <w:r>
        <w:rPr>
          <w:rFonts w:hint="eastAsia" w:ascii="宋体" w:hAnsi="宋体" w:eastAsia="宋体" w:cs="Times New Roman"/>
        </w:rPr>
        <w:t>售后服务及其它服务要求</w:t>
      </w:r>
      <w:bookmarkEnd w:id="36"/>
      <w:bookmarkEnd w:id="37"/>
    </w:p>
    <w:p>
      <w:pPr>
        <w:tabs>
          <w:tab w:val="left" w:pos="851"/>
        </w:tabs>
        <w:ind w:firstLine="480"/>
        <w:rPr>
          <w:rFonts w:hint="eastAsia" w:ascii="宋体" w:hAnsi="宋体" w:eastAsia="宋体" w:cs="宋体"/>
          <w:lang w:val="en-US" w:eastAsia="zh-CN"/>
        </w:rPr>
      </w:pPr>
      <w:bookmarkStart w:id="38" w:name="_Toc10389"/>
      <w:bookmarkStart w:id="39" w:name="_Toc30582"/>
      <w:bookmarkStart w:id="40" w:name="_Toc28511"/>
      <w:bookmarkStart w:id="41" w:name="_Toc20620"/>
      <w:bookmarkStart w:id="42" w:name="_Toc10829"/>
      <w:bookmarkStart w:id="43" w:name="_Toc10420"/>
      <w:bookmarkStart w:id="44" w:name="_Toc29252"/>
      <w:bookmarkStart w:id="45" w:name="_Toc11564"/>
      <w:bookmarkStart w:id="46" w:name="_Toc13136"/>
      <w:bookmarkStart w:id="47" w:name="_Toc20198"/>
      <w:bookmarkStart w:id="48" w:name="_Toc26310"/>
      <w:bookmarkStart w:id="49" w:name="_Toc28372"/>
      <w:bookmarkStart w:id="50" w:name="_Toc26277"/>
      <w:bookmarkStart w:id="51" w:name="_Toc20141"/>
      <w:r>
        <w:rPr>
          <w:rFonts w:hint="eastAsia" w:ascii="宋体" w:hAnsi="宋体" w:eastAsia="宋体" w:cs="宋体"/>
          <w:lang w:val="en-US" w:eastAsia="zh-CN"/>
        </w:rPr>
        <w:t>7.1 售后服务</w:t>
      </w:r>
      <w:bookmarkEnd w:id="38"/>
      <w:bookmarkEnd w:id="39"/>
      <w:bookmarkEnd w:id="40"/>
      <w:bookmarkEnd w:id="41"/>
      <w:bookmarkEnd w:id="42"/>
      <w:bookmarkEnd w:id="43"/>
      <w:bookmarkEnd w:id="44"/>
      <w:bookmarkEnd w:id="45"/>
      <w:bookmarkEnd w:id="46"/>
      <w:bookmarkEnd w:id="4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（1）项目质保期为12个月，质保期自项目完工并通过招标方验收之日起开始计算。投标方应免费提供系统软件升级、培训、设计联络、技术服务，并保障设备生命周期内所有软件系统的技术支持；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（2）提供7×24小时的技术支持服务，制定固定的技术负责人及联络电话等，技术负责人变更前应书面通知招标方。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（3）在用户发现软件故障时，投标方必须在用户提出维护要求的4小时内作出响应，24小时内提交故障分析报告和解决方案，48小时内解决故障；</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（4）对于用户提出的软件性能提高、功能增加等改进要求，如属“技术规范书”的范畴，投标方应在2周内予以解决；如属“技术规范书”以外的功能制作，也应提供优惠服务。</w:t>
      </w:r>
    </w:p>
    <w:p>
      <w:pPr>
        <w:tabs>
          <w:tab w:val="left" w:pos="851"/>
        </w:tabs>
        <w:ind w:firstLine="480"/>
        <w:rPr>
          <w:rFonts w:hint="eastAsia" w:ascii="宋体" w:hAnsi="宋体" w:eastAsia="宋体" w:cs="宋体"/>
          <w:lang w:val="en-US" w:eastAsia="zh-CN"/>
        </w:rPr>
      </w:pPr>
      <w:bookmarkStart w:id="52" w:name="_Toc22421"/>
      <w:bookmarkStart w:id="53" w:name="_Toc12748"/>
      <w:bookmarkStart w:id="54" w:name="_Toc10191"/>
      <w:bookmarkStart w:id="55" w:name="_Toc24565"/>
      <w:bookmarkStart w:id="56" w:name="_Toc11532"/>
      <w:bookmarkStart w:id="57" w:name="_Toc3047"/>
      <w:bookmarkStart w:id="58" w:name="_Toc12828"/>
      <w:bookmarkStart w:id="59" w:name="_Toc6703"/>
      <w:bookmarkStart w:id="60" w:name="_Toc12127"/>
      <w:bookmarkStart w:id="61" w:name="_Toc9332"/>
      <w:bookmarkStart w:id="62" w:name="_Toc29014"/>
      <w:bookmarkStart w:id="63" w:name="_Toc17466"/>
      <w:r>
        <w:rPr>
          <w:rFonts w:hint="eastAsia" w:ascii="宋体" w:hAnsi="宋体" w:eastAsia="宋体" w:cs="宋体"/>
          <w:lang w:val="en-US" w:eastAsia="zh-CN"/>
        </w:rPr>
        <w:t>7.2 其它服务要求</w:t>
      </w:r>
      <w:bookmarkEnd w:id="52"/>
      <w:bookmarkEnd w:id="53"/>
      <w:bookmarkEnd w:id="54"/>
      <w:bookmarkEnd w:id="55"/>
      <w:bookmarkEnd w:id="56"/>
      <w:bookmarkEnd w:id="57"/>
      <w:bookmarkEnd w:id="58"/>
      <w:bookmarkEnd w:id="59"/>
      <w:bookmarkEnd w:id="60"/>
      <w:bookmarkEnd w:id="61"/>
      <w:bookmarkEnd w:id="62"/>
      <w:bookmarkEnd w:id="63"/>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（1）应对技术支持人员进行网络安全身份认证及背景审查，并进行安全教育、培训；</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 投标方人员现场按规定流程工作，严禁使用非专用终端（笔记本电脑）、移动介质（U盘），防范病毒感染等风险；系统应满足信息网络安全要求，以及南方电网公司网络安全合规库要求，系统涉及的操作系统、数据库等均应为自主可控的产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（3）投标方应做好有关信息的保密工作，严禁将带有南方电网公司标志及相关信息的制作、测试环境接入互联网等外部环境，严禁将系统运行的业务数据拷贝或发送到外部使用。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投标人提供的操作系统、数据库、中间件等应选用安全可靠的产品。操作系统须通过中国信息安全测评中心、国家保密科技测评中心的安全可靠测评（如麒麟、统信等操作系统）。使用的集中式数据库必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若涉及计算机（服务器、工作站、便携式电脑等）、网络设备（交换机、路由器）、网络安全设备（防火墙、加密、态势感知装置等）及计算机外接设备（打印机、扫描仪、多功能一体机）应选用安全可靠产品，其产品的中央处理器（CPU）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人提供的其他网信软、硬件产品应满足国产化要求，具有完整国产自主知识产权（提供专利证书或软件著作权证书），不得使用未通过国家网络安全审查的设备元件、组件。禁止选用经国家相关部门检测认定并经国家能源局通报存在漏洞和风险的系统及设备。除安全接入区外，禁止选用具有无线通信功能的设备。</w:t>
      </w:r>
      <w:bookmarkEnd w:id="48"/>
      <w:bookmarkEnd w:id="49"/>
      <w:bookmarkEnd w:id="50"/>
      <w:bookmarkEnd w:id="51"/>
      <w:bookmarkStart w:id="64" w:name="_Toc16657"/>
      <w:bookmarkStart w:id="65" w:name="_Toc1182"/>
    </w:p>
    <w:p>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8.</w:t>
      </w:r>
      <w:r>
        <w:rPr>
          <w:rFonts w:hint="eastAsia" w:ascii="宋体" w:hAnsi="宋体" w:eastAsia="宋体" w:cs="Times New Roman"/>
        </w:rPr>
        <w:t>对投标技术文件的要求</w:t>
      </w:r>
      <w:bookmarkEnd w:id="64"/>
      <w:bookmarkEnd w:id="65"/>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投标技术文件必须包括但不限于以下内容：投标技术文件响应，技术差异表。</w:t>
      </w:r>
    </w:p>
    <w:p>
      <w:pPr>
        <w:tabs>
          <w:tab w:val="left" w:pos="851"/>
        </w:tabs>
        <w:ind w:firstLine="480"/>
        <w:rPr>
          <w:rFonts w:hint="eastAsia" w:ascii="宋体" w:hAnsi="宋体" w:eastAsia="宋体" w:cs="宋体"/>
          <w:lang w:val="en-US" w:eastAsia="zh-CN"/>
        </w:rPr>
      </w:pPr>
      <w:bookmarkStart w:id="66" w:name="_Toc11575"/>
      <w:r>
        <w:rPr>
          <w:rFonts w:hint="eastAsia" w:ascii="宋体" w:hAnsi="宋体" w:eastAsia="宋体" w:cs="宋体"/>
          <w:lang w:val="en-US" w:eastAsia="zh-CN"/>
        </w:rPr>
        <w:t>8.1投标文件的响应</w:t>
      </w:r>
      <w:bookmarkEnd w:id="66"/>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snapToGrid w:val="0"/>
        <w:spacing w:line="360" w:lineRule="auto"/>
        <w:ind w:firstLine="0" w:firstLineChars="0"/>
        <w:jc w:val="center"/>
        <w:rPr>
          <w:color w:val="auto"/>
          <w:szCs w:val="21"/>
          <w:highlight w:val="none"/>
        </w:rPr>
      </w:pPr>
      <w:bookmarkStart w:id="67" w:name="_Toc283142574"/>
      <w:r>
        <w:rPr>
          <w:rFonts w:hint="eastAsia"/>
          <w:color w:val="auto"/>
          <w:szCs w:val="21"/>
          <w:highlight w:val="none"/>
        </w:rPr>
        <w:t>表</w:t>
      </w:r>
      <w:r>
        <w:rPr>
          <w:rFonts w:hint="eastAsia"/>
          <w:color w:val="auto"/>
          <w:szCs w:val="21"/>
          <w:highlight w:val="none"/>
          <w:lang w:val="en-US" w:eastAsia="zh-CN"/>
        </w:rPr>
        <w:t>8.1</w:t>
      </w:r>
      <w:r>
        <w:rPr>
          <w:color w:val="auto"/>
          <w:szCs w:val="21"/>
          <w:highlight w:val="none"/>
        </w:rPr>
        <w:t xml:space="preserve">  </w:t>
      </w:r>
      <w:bookmarkEnd w:id="67"/>
      <w:r>
        <w:rPr>
          <w:rFonts w:hint="eastAsia"/>
          <w:color w:val="auto"/>
          <w:szCs w:val="21"/>
          <w:highlight w:val="none"/>
        </w:rPr>
        <w:t>技术参数和性能要求响应表</w:t>
      </w:r>
    </w:p>
    <w:tbl>
      <w:tblPr>
        <w:tblStyle w:val="19"/>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136"/>
        <w:gridCol w:w="3644"/>
        <w:gridCol w:w="1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1258"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标的名称</w:t>
            </w:r>
          </w:p>
        </w:tc>
        <w:tc>
          <w:tcPr>
            <w:tcW w:w="2144"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项目要求值</w:t>
            </w:r>
          </w:p>
        </w:tc>
        <w:tc>
          <w:tcPr>
            <w:tcW w:w="1125"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tabs>
                <w:tab w:val="left" w:pos="851"/>
              </w:tabs>
              <w:ind w:firstLine="480"/>
              <w:jc w:val="both"/>
              <w:rPr>
                <w:rFonts w:hint="eastAsia" w:ascii="宋体" w:hAnsi="宋体" w:eastAsia="宋体" w:cs="宋体"/>
                <w:lang w:val="en-US" w:eastAsia="zh-CN"/>
              </w:rPr>
            </w:pPr>
            <w:r>
              <w:rPr>
                <w:rFonts w:hint="eastAsia" w:ascii="宋体" w:hAnsi="宋体" w:eastAsia="宋体" w:cs="宋体"/>
                <w:lang w:val="en-US" w:eastAsia="zh-CN"/>
              </w:rPr>
              <w:t>1</w:t>
            </w:r>
          </w:p>
        </w:tc>
        <w:tc>
          <w:tcPr>
            <w:tcW w:w="1258" w:type="pct"/>
            <w:noWrap w:val="0"/>
            <w:vAlign w:val="center"/>
          </w:tcPr>
          <w:p>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cs="宋体"/>
                <w:lang w:val="en-US" w:eastAsia="zh-CN"/>
              </w:rPr>
              <w:t>输电线路合成绝缘子憎水性数智化检测装置及其应用</w:t>
            </w:r>
          </w:p>
        </w:tc>
        <w:tc>
          <w:tcPr>
            <w:tcW w:w="2144" w:type="pct"/>
            <w:noWrap w:val="0"/>
            <w:vAlign w:val="center"/>
          </w:tcPr>
          <w:p>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1.配合研发</w:t>
            </w:r>
            <w:r>
              <w:rPr>
                <w:rFonts w:hint="eastAsia" w:ascii="宋体" w:hAnsi="宋体" w:cs="宋体"/>
                <w:lang w:val="en-US" w:eastAsia="zh-CN"/>
              </w:rPr>
              <w:t>输电线路合成绝缘子憎水性数智化检测装置及其应用</w:t>
            </w:r>
            <w:r>
              <w:rPr>
                <w:rFonts w:hint="eastAsia" w:ascii="宋体" w:hAnsi="宋体" w:eastAsia="宋体" w:cs="宋体"/>
                <w:lang w:val="en-US" w:eastAsia="zh-CN"/>
              </w:rPr>
              <w:t>1套；</w:t>
            </w:r>
          </w:p>
          <w:p>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2.配合编制发明专利申请文本1份；</w:t>
            </w:r>
          </w:p>
          <w:p>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3.配合撰写论文1篇；</w:t>
            </w:r>
          </w:p>
          <w:p>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4.形成轻量化 AI 识别模型1份；</w:t>
            </w:r>
          </w:p>
          <w:p>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5.形成全流程自动化检测软件系统1份；</w:t>
            </w:r>
          </w:p>
          <w:p>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6.形成绝缘子憎水性标注数据集1份；</w:t>
            </w:r>
          </w:p>
          <w:p>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7.形成</w:t>
            </w:r>
            <w:r>
              <w:rPr>
                <w:rFonts w:hint="eastAsia" w:ascii="宋体" w:hAnsi="宋体" w:cs="宋体"/>
                <w:lang w:val="en-US" w:eastAsia="zh-CN"/>
              </w:rPr>
              <w:t>输电线路合成绝缘子憎水性数智化检测装置及其应用</w:t>
            </w:r>
            <w:r>
              <w:rPr>
                <w:rFonts w:hint="eastAsia" w:ascii="宋体" w:hAnsi="宋体" w:eastAsia="宋体" w:cs="宋体"/>
                <w:lang w:val="en-US" w:eastAsia="zh-CN"/>
              </w:rPr>
              <w:t>创新成果报告1份；</w:t>
            </w:r>
          </w:p>
          <w:p>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8.形成操作手册1份。</w:t>
            </w:r>
          </w:p>
          <w:p>
            <w:pPr>
              <w:tabs>
                <w:tab w:val="left" w:pos="851"/>
              </w:tabs>
              <w:ind w:left="0" w:leftChars="0" w:firstLine="0" w:firstLineChars="0"/>
              <w:jc w:val="both"/>
              <w:rPr>
                <w:rFonts w:hint="eastAsia" w:ascii="宋体" w:hAnsi="宋体" w:eastAsia="宋体" w:cs="宋体"/>
                <w:lang w:val="en-US" w:eastAsia="zh-CN"/>
              </w:rPr>
            </w:pPr>
            <w:r>
              <w:rPr>
                <w:rFonts w:hint="eastAsia" w:ascii="宋体" w:hAnsi="宋体" w:eastAsia="宋体" w:cs="宋体"/>
                <w:lang w:val="en-US" w:eastAsia="zh-CN"/>
              </w:rPr>
              <w:t>9.完成第三方检测（检测机构应具备CMA或CNAS认证资质）；</w:t>
            </w:r>
          </w:p>
          <w:p>
            <w:pPr>
              <w:tabs>
                <w:tab w:val="left" w:pos="851"/>
              </w:tabs>
              <w:ind w:left="0" w:leftChars="0" w:firstLine="0" w:firstLineChars="0"/>
              <w:jc w:val="both"/>
              <w:rPr>
                <w:rFonts w:hint="default"/>
                <w:lang w:val="en-US" w:eastAsia="zh-CN"/>
              </w:rPr>
            </w:pPr>
            <w:r>
              <w:rPr>
                <w:rFonts w:hint="eastAsia" w:ascii="宋体" w:hAnsi="宋体" w:eastAsia="宋体" w:cs="宋体"/>
                <w:lang w:val="en-US" w:eastAsia="zh-CN"/>
              </w:rPr>
              <w:t>10.在超特高压新型电气装备科技成果转化中试基地完成中试。</w:t>
            </w:r>
          </w:p>
        </w:tc>
        <w:tc>
          <w:tcPr>
            <w:tcW w:w="1125" w:type="pct"/>
            <w:noWrap w:val="0"/>
            <w:vAlign w:val="top"/>
          </w:tcPr>
          <w:p>
            <w:pPr>
              <w:adjustRightInd w:val="0"/>
              <w:snapToGrid w:val="0"/>
              <w:spacing w:line="348" w:lineRule="auto"/>
              <w:ind w:firstLine="0" w:firstLineChars="0"/>
              <w:jc w:val="both"/>
              <w:rPr>
                <w:rFonts w:hint="eastAsia" w:ascii="宋体" w:hAnsi="宋体" w:eastAsia="宋体" w:cs="宋体"/>
                <w:sz w:val="24"/>
                <w:szCs w:val="24"/>
                <w:highlight w:val="none"/>
                <w:vertAlign w:val="baseline"/>
              </w:rPr>
            </w:pPr>
          </w:p>
        </w:tc>
      </w:tr>
    </w:tbl>
    <w:p>
      <w:pPr>
        <w:rPr>
          <w:rFonts w:hint="eastAsia" w:ascii="宋体" w:hAnsi="宋体" w:cs="宋体"/>
          <w:sz w:val="24"/>
          <w:szCs w:val="24"/>
          <w:highlight w:val="none"/>
        </w:rPr>
      </w:pPr>
    </w:p>
    <w:p>
      <w:pPr>
        <w:tabs>
          <w:tab w:val="left" w:pos="851"/>
        </w:tabs>
        <w:ind w:firstLine="480"/>
        <w:rPr>
          <w:rFonts w:hint="eastAsia" w:ascii="宋体" w:hAnsi="宋体" w:eastAsia="宋体" w:cs="宋体"/>
          <w:lang w:val="en-US" w:eastAsia="zh-CN"/>
        </w:rPr>
      </w:pPr>
      <w:bookmarkStart w:id="68" w:name="_Toc23057"/>
      <w:r>
        <w:rPr>
          <w:rFonts w:hint="eastAsia" w:ascii="宋体" w:hAnsi="宋体" w:eastAsia="宋体" w:cs="宋体"/>
          <w:lang w:val="en-US" w:eastAsia="zh-CN"/>
        </w:rPr>
        <w:t>8.2投标方技术偏差表</w:t>
      </w:r>
      <w:bookmarkEnd w:id="68"/>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投标方提供的产品技术规范应与本技术规范中规定的要求一致。若有偏差投标方应如实、认真地填写偏差值；若无技术偏差则视为完全满足本技术规范的要求，且在投标方技术偏差表中填写“无偏差”。</w:t>
      </w:r>
    </w:p>
    <w:p>
      <w:pPr>
        <w:jc w:val="center"/>
        <w:rPr>
          <w:rFonts w:eastAsia="宋"/>
          <w:color w:val="auto"/>
          <w:highlight w:val="none"/>
        </w:rPr>
      </w:pPr>
      <w:r>
        <w:rPr>
          <w:rFonts w:hint="eastAsia" w:eastAsia="宋"/>
          <w:color w:val="auto"/>
          <w:highlight w:val="none"/>
          <w:lang w:val="en-US" w:eastAsia="zh-CN"/>
        </w:rPr>
        <w:t>表8.2</w:t>
      </w:r>
      <w:r>
        <w:rPr>
          <w:rFonts w:hint="eastAsia" w:eastAsia="宋"/>
          <w:color w:val="auto"/>
          <w:highlight w:val="none"/>
        </w:rPr>
        <w:t>投标方技术偏差表</w:t>
      </w:r>
    </w:p>
    <w:tbl>
      <w:tblPr>
        <w:tblStyle w:val="18"/>
        <w:tblpPr w:leftFromText="180" w:rightFromText="180" w:vertAnchor="text" w:horzAnchor="page" w:tblpX="1857" w:tblpY="313"/>
        <w:tblOverlap w:val="never"/>
        <w:tblW w:w="841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601"/>
        <w:gridCol w:w="1104"/>
        <w:gridCol w:w="1760"/>
        <w:gridCol w:w="2013"/>
        <w:gridCol w:w="1613"/>
        <w:gridCol w:w="13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序号</w:t>
            </w:r>
          </w:p>
        </w:tc>
        <w:tc>
          <w:tcPr>
            <w:tcW w:w="1104"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项目</w:t>
            </w:r>
          </w:p>
        </w:tc>
        <w:tc>
          <w:tcPr>
            <w:tcW w:w="1760"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对应条款编号</w:t>
            </w:r>
          </w:p>
        </w:tc>
        <w:tc>
          <w:tcPr>
            <w:tcW w:w="2013"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技术招标文件要求</w:t>
            </w:r>
          </w:p>
        </w:tc>
        <w:tc>
          <w:tcPr>
            <w:tcW w:w="1613"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偏差</w:t>
            </w:r>
          </w:p>
        </w:tc>
        <w:tc>
          <w:tcPr>
            <w:tcW w:w="1326"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1</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2</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hint="eastAsia"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3</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bl>
    <w:p>
      <w:pPr>
        <w:ind w:firstLine="480"/>
        <w:rPr>
          <w:rFonts w:hint="eastAsia" w:ascii="宋体" w:hAnsi="宋体"/>
        </w:rPr>
      </w:pPr>
    </w:p>
    <w:sectPr>
      <w:headerReference r:id="rId17" w:type="default"/>
      <w:footerReference r:id="rId18"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宋">
    <w:altName w:val="宋体"/>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jc w:val="center"/>
    </w:pPr>
    <w:r>
      <w:fldChar w:fldCharType="begin"/>
    </w:r>
    <w:r>
      <w:instrText xml:space="preserve"> PAGE   \* MERGEFORMAT </w:instrText>
    </w:r>
    <w:r>
      <w:fldChar w:fldCharType="separate"/>
    </w:r>
    <w:r>
      <w:t>7</w:t>
    </w:r>
    <w:r>
      <w:fldChar w:fldCharType="end"/>
    </w:r>
  </w:p>
  <w:p>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top w:val="none" w:color="auto" w:sz="0" w:space="0"/>
        <w:left w:val="none" w:color="auto" w:sz="0" w:space="0"/>
        <w:bottom w:val="none" w:color="auto" w:sz="0" w:space="1"/>
        <w:right w:val="none" w:color="auto" w:sz="0" w:space="0"/>
        <w:between w:val="none" w:color="auto" w:sz="0" w:space="0"/>
      </w:pBdr>
      <w:ind w:firstLine="360"/>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-1138555</wp:posOffset>
          </wp:positionH>
          <wp:positionV relativeFrom="paragraph">
            <wp:posOffset>-828040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765415" cy="109791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72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xNTEzOTdjZTdkOGE4MWIyMGZiYWQ4MWJkOTIwYTIifQ=="/>
  </w:docVars>
  <w:rsids>
    <w:rsidRoot w:val="00172A27"/>
    <w:rsid w:val="00004157"/>
    <w:rsid w:val="000041A4"/>
    <w:rsid w:val="000052EC"/>
    <w:rsid w:val="00007D13"/>
    <w:rsid w:val="000224BF"/>
    <w:rsid w:val="000258D4"/>
    <w:rsid w:val="00030479"/>
    <w:rsid w:val="00032717"/>
    <w:rsid w:val="00033440"/>
    <w:rsid w:val="00033F7F"/>
    <w:rsid w:val="00035681"/>
    <w:rsid w:val="00035D33"/>
    <w:rsid w:val="00043144"/>
    <w:rsid w:val="00044CDB"/>
    <w:rsid w:val="00046DFE"/>
    <w:rsid w:val="00050BDA"/>
    <w:rsid w:val="00054AA8"/>
    <w:rsid w:val="00055E63"/>
    <w:rsid w:val="00056767"/>
    <w:rsid w:val="000661E0"/>
    <w:rsid w:val="00070856"/>
    <w:rsid w:val="00072157"/>
    <w:rsid w:val="000802B5"/>
    <w:rsid w:val="00085586"/>
    <w:rsid w:val="000874A2"/>
    <w:rsid w:val="00095CB6"/>
    <w:rsid w:val="00096F1E"/>
    <w:rsid w:val="000A263D"/>
    <w:rsid w:val="000A5721"/>
    <w:rsid w:val="000A722B"/>
    <w:rsid w:val="000B3BEC"/>
    <w:rsid w:val="000B435C"/>
    <w:rsid w:val="000B4BE8"/>
    <w:rsid w:val="000B5F9E"/>
    <w:rsid w:val="000D090E"/>
    <w:rsid w:val="000D5CC4"/>
    <w:rsid w:val="000E0498"/>
    <w:rsid w:val="000E0616"/>
    <w:rsid w:val="000E0E62"/>
    <w:rsid w:val="000E5032"/>
    <w:rsid w:val="000E5C42"/>
    <w:rsid w:val="000E64A4"/>
    <w:rsid w:val="000F0767"/>
    <w:rsid w:val="00104CFA"/>
    <w:rsid w:val="001109DD"/>
    <w:rsid w:val="00111650"/>
    <w:rsid w:val="001148D6"/>
    <w:rsid w:val="00122043"/>
    <w:rsid w:val="00122E5E"/>
    <w:rsid w:val="00122E78"/>
    <w:rsid w:val="00124416"/>
    <w:rsid w:val="00124504"/>
    <w:rsid w:val="00135D83"/>
    <w:rsid w:val="00150A8E"/>
    <w:rsid w:val="00151D98"/>
    <w:rsid w:val="0016086E"/>
    <w:rsid w:val="001626EF"/>
    <w:rsid w:val="00166883"/>
    <w:rsid w:val="001668FD"/>
    <w:rsid w:val="00171826"/>
    <w:rsid w:val="00172A27"/>
    <w:rsid w:val="00176332"/>
    <w:rsid w:val="001825A1"/>
    <w:rsid w:val="0018662B"/>
    <w:rsid w:val="001945DC"/>
    <w:rsid w:val="00197251"/>
    <w:rsid w:val="00197F2E"/>
    <w:rsid w:val="001A79DB"/>
    <w:rsid w:val="001B531B"/>
    <w:rsid w:val="001C4316"/>
    <w:rsid w:val="001C52D8"/>
    <w:rsid w:val="001C5D9F"/>
    <w:rsid w:val="001D1368"/>
    <w:rsid w:val="001D3DBA"/>
    <w:rsid w:val="001D73FA"/>
    <w:rsid w:val="001D7C43"/>
    <w:rsid w:val="001E16E7"/>
    <w:rsid w:val="001E240F"/>
    <w:rsid w:val="001E5350"/>
    <w:rsid w:val="001E56E3"/>
    <w:rsid w:val="001E6310"/>
    <w:rsid w:val="001F1B3A"/>
    <w:rsid w:val="001F2E26"/>
    <w:rsid w:val="001F5E12"/>
    <w:rsid w:val="00200344"/>
    <w:rsid w:val="00204DDE"/>
    <w:rsid w:val="00206CA6"/>
    <w:rsid w:val="002076A9"/>
    <w:rsid w:val="002129DB"/>
    <w:rsid w:val="00214076"/>
    <w:rsid w:val="00215454"/>
    <w:rsid w:val="00215C24"/>
    <w:rsid w:val="002170DB"/>
    <w:rsid w:val="00221DD8"/>
    <w:rsid w:val="00223528"/>
    <w:rsid w:val="00227267"/>
    <w:rsid w:val="002272F7"/>
    <w:rsid w:val="00232F10"/>
    <w:rsid w:val="002447E5"/>
    <w:rsid w:val="00244A2F"/>
    <w:rsid w:val="00244F7C"/>
    <w:rsid w:val="00253136"/>
    <w:rsid w:val="00254812"/>
    <w:rsid w:val="0025554B"/>
    <w:rsid w:val="00256DFA"/>
    <w:rsid w:val="002578A1"/>
    <w:rsid w:val="00263624"/>
    <w:rsid w:val="0026366A"/>
    <w:rsid w:val="00273D45"/>
    <w:rsid w:val="0027655A"/>
    <w:rsid w:val="00277AB6"/>
    <w:rsid w:val="0028170E"/>
    <w:rsid w:val="00281CC3"/>
    <w:rsid w:val="00284961"/>
    <w:rsid w:val="00286DFD"/>
    <w:rsid w:val="00291885"/>
    <w:rsid w:val="00293207"/>
    <w:rsid w:val="00296ABB"/>
    <w:rsid w:val="00297FC6"/>
    <w:rsid w:val="002A2204"/>
    <w:rsid w:val="002A3CE3"/>
    <w:rsid w:val="002B11FE"/>
    <w:rsid w:val="002B3FC8"/>
    <w:rsid w:val="002B6605"/>
    <w:rsid w:val="002C3F8E"/>
    <w:rsid w:val="002C416A"/>
    <w:rsid w:val="002C6F94"/>
    <w:rsid w:val="002D2215"/>
    <w:rsid w:val="002E4799"/>
    <w:rsid w:val="002F0B3F"/>
    <w:rsid w:val="00303976"/>
    <w:rsid w:val="00304504"/>
    <w:rsid w:val="003056CF"/>
    <w:rsid w:val="00323D15"/>
    <w:rsid w:val="00330DB3"/>
    <w:rsid w:val="00331942"/>
    <w:rsid w:val="003374FB"/>
    <w:rsid w:val="00337E95"/>
    <w:rsid w:val="0035398A"/>
    <w:rsid w:val="00367D06"/>
    <w:rsid w:val="00370CBE"/>
    <w:rsid w:val="00374D73"/>
    <w:rsid w:val="00375A24"/>
    <w:rsid w:val="00383D96"/>
    <w:rsid w:val="0038428A"/>
    <w:rsid w:val="00384DD9"/>
    <w:rsid w:val="00387572"/>
    <w:rsid w:val="00390743"/>
    <w:rsid w:val="003A5221"/>
    <w:rsid w:val="003B44D9"/>
    <w:rsid w:val="003B4B63"/>
    <w:rsid w:val="003B71DA"/>
    <w:rsid w:val="003C474C"/>
    <w:rsid w:val="003D2D90"/>
    <w:rsid w:val="003D518E"/>
    <w:rsid w:val="003D5A88"/>
    <w:rsid w:val="003D6855"/>
    <w:rsid w:val="003E1652"/>
    <w:rsid w:val="003E7211"/>
    <w:rsid w:val="003F3D66"/>
    <w:rsid w:val="003F6647"/>
    <w:rsid w:val="0041096A"/>
    <w:rsid w:val="00410AB4"/>
    <w:rsid w:val="00413078"/>
    <w:rsid w:val="00414022"/>
    <w:rsid w:val="004141AF"/>
    <w:rsid w:val="00420404"/>
    <w:rsid w:val="00424010"/>
    <w:rsid w:val="004319DD"/>
    <w:rsid w:val="00431A70"/>
    <w:rsid w:val="0043697B"/>
    <w:rsid w:val="0044008D"/>
    <w:rsid w:val="004428FF"/>
    <w:rsid w:val="004436AF"/>
    <w:rsid w:val="00445A6C"/>
    <w:rsid w:val="004460FA"/>
    <w:rsid w:val="00450340"/>
    <w:rsid w:val="0046254A"/>
    <w:rsid w:val="00464CA7"/>
    <w:rsid w:val="004656FF"/>
    <w:rsid w:val="004715E2"/>
    <w:rsid w:val="00481534"/>
    <w:rsid w:val="004824FD"/>
    <w:rsid w:val="00483253"/>
    <w:rsid w:val="00486E6D"/>
    <w:rsid w:val="00490469"/>
    <w:rsid w:val="00496968"/>
    <w:rsid w:val="004977C0"/>
    <w:rsid w:val="004A3092"/>
    <w:rsid w:val="004A5258"/>
    <w:rsid w:val="004B422D"/>
    <w:rsid w:val="004B73DC"/>
    <w:rsid w:val="004B7665"/>
    <w:rsid w:val="004C2C32"/>
    <w:rsid w:val="004C679B"/>
    <w:rsid w:val="004D40D4"/>
    <w:rsid w:val="004D4E92"/>
    <w:rsid w:val="004D5806"/>
    <w:rsid w:val="004D632E"/>
    <w:rsid w:val="004E0983"/>
    <w:rsid w:val="004E0AD2"/>
    <w:rsid w:val="004E1EF8"/>
    <w:rsid w:val="004E7B53"/>
    <w:rsid w:val="004F5CCD"/>
    <w:rsid w:val="00503AB9"/>
    <w:rsid w:val="00504879"/>
    <w:rsid w:val="005067D0"/>
    <w:rsid w:val="00510D9A"/>
    <w:rsid w:val="00511A84"/>
    <w:rsid w:val="00515454"/>
    <w:rsid w:val="005200C1"/>
    <w:rsid w:val="0052107D"/>
    <w:rsid w:val="00521DD7"/>
    <w:rsid w:val="00525600"/>
    <w:rsid w:val="00532496"/>
    <w:rsid w:val="00533557"/>
    <w:rsid w:val="0053627F"/>
    <w:rsid w:val="005365C7"/>
    <w:rsid w:val="00541F49"/>
    <w:rsid w:val="00542F5A"/>
    <w:rsid w:val="0054505D"/>
    <w:rsid w:val="00546480"/>
    <w:rsid w:val="0055140F"/>
    <w:rsid w:val="005546AC"/>
    <w:rsid w:val="00555060"/>
    <w:rsid w:val="005550E0"/>
    <w:rsid w:val="00570A2E"/>
    <w:rsid w:val="00575B70"/>
    <w:rsid w:val="00576175"/>
    <w:rsid w:val="005770D1"/>
    <w:rsid w:val="00577103"/>
    <w:rsid w:val="005808E9"/>
    <w:rsid w:val="00584106"/>
    <w:rsid w:val="00586294"/>
    <w:rsid w:val="0058651D"/>
    <w:rsid w:val="00594E70"/>
    <w:rsid w:val="005950C1"/>
    <w:rsid w:val="005B5AAA"/>
    <w:rsid w:val="005B7391"/>
    <w:rsid w:val="005C0E9A"/>
    <w:rsid w:val="005C42F8"/>
    <w:rsid w:val="005C45D2"/>
    <w:rsid w:val="005C5FA1"/>
    <w:rsid w:val="005D1816"/>
    <w:rsid w:val="005D3538"/>
    <w:rsid w:val="005D3C76"/>
    <w:rsid w:val="005D5795"/>
    <w:rsid w:val="005D7E95"/>
    <w:rsid w:val="005E1C0A"/>
    <w:rsid w:val="005E4AF6"/>
    <w:rsid w:val="005F0D01"/>
    <w:rsid w:val="005F5385"/>
    <w:rsid w:val="005F642B"/>
    <w:rsid w:val="005F6C08"/>
    <w:rsid w:val="00602D5B"/>
    <w:rsid w:val="00603B29"/>
    <w:rsid w:val="006120BA"/>
    <w:rsid w:val="0061273D"/>
    <w:rsid w:val="00615391"/>
    <w:rsid w:val="00616713"/>
    <w:rsid w:val="00620489"/>
    <w:rsid w:val="00621C69"/>
    <w:rsid w:val="00624B4E"/>
    <w:rsid w:val="0063112A"/>
    <w:rsid w:val="006316A0"/>
    <w:rsid w:val="006346A1"/>
    <w:rsid w:val="00634AA5"/>
    <w:rsid w:val="0063794D"/>
    <w:rsid w:val="00640D51"/>
    <w:rsid w:val="006449DC"/>
    <w:rsid w:val="00651BDE"/>
    <w:rsid w:val="00654782"/>
    <w:rsid w:val="00660BAE"/>
    <w:rsid w:val="006620B3"/>
    <w:rsid w:val="0066639C"/>
    <w:rsid w:val="00667765"/>
    <w:rsid w:val="0067357A"/>
    <w:rsid w:val="00674005"/>
    <w:rsid w:val="00684EB5"/>
    <w:rsid w:val="006856EE"/>
    <w:rsid w:val="00685814"/>
    <w:rsid w:val="00687E51"/>
    <w:rsid w:val="006961CC"/>
    <w:rsid w:val="0069730B"/>
    <w:rsid w:val="006A050D"/>
    <w:rsid w:val="006A0C95"/>
    <w:rsid w:val="006A32DC"/>
    <w:rsid w:val="006A3E2E"/>
    <w:rsid w:val="006B31C3"/>
    <w:rsid w:val="006B7B48"/>
    <w:rsid w:val="006C3FD9"/>
    <w:rsid w:val="006C431A"/>
    <w:rsid w:val="006D1FF4"/>
    <w:rsid w:val="006E0A4A"/>
    <w:rsid w:val="006F0594"/>
    <w:rsid w:val="006F1E19"/>
    <w:rsid w:val="006F53B4"/>
    <w:rsid w:val="0070068F"/>
    <w:rsid w:val="0070113F"/>
    <w:rsid w:val="00702201"/>
    <w:rsid w:val="00702BCA"/>
    <w:rsid w:val="0071238D"/>
    <w:rsid w:val="007131CA"/>
    <w:rsid w:val="0071489E"/>
    <w:rsid w:val="00714D09"/>
    <w:rsid w:val="007157EB"/>
    <w:rsid w:val="0071769C"/>
    <w:rsid w:val="00725DF9"/>
    <w:rsid w:val="00733A12"/>
    <w:rsid w:val="007423F8"/>
    <w:rsid w:val="007429C8"/>
    <w:rsid w:val="007475B0"/>
    <w:rsid w:val="00751F29"/>
    <w:rsid w:val="0075277E"/>
    <w:rsid w:val="00755E29"/>
    <w:rsid w:val="00761415"/>
    <w:rsid w:val="00764ABD"/>
    <w:rsid w:val="00770633"/>
    <w:rsid w:val="00771A04"/>
    <w:rsid w:val="00784867"/>
    <w:rsid w:val="0078561A"/>
    <w:rsid w:val="00785A56"/>
    <w:rsid w:val="00785EFB"/>
    <w:rsid w:val="00795F84"/>
    <w:rsid w:val="0079699C"/>
    <w:rsid w:val="007B1B67"/>
    <w:rsid w:val="007B4054"/>
    <w:rsid w:val="007B7C28"/>
    <w:rsid w:val="007C0F94"/>
    <w:rsid w:val="007C3F03"/>
    <w:rsid w:val="007C5204"/>
    <w:rsid w:val="007D2307"/>
    <w:rsid w:val="007D649B"/>
    <w:rsid w:val="007E7EC8"/>
    <w:rsid w:val="007F2444"/>
    <w:rsid w:val="007F4718"/>
    <w:rsid w:val="007F5D7D"/>
    <w:rsid w:val="007F6999"/>
    <w:rsid w:val="00815AC7"/>
    <w:rsid w:val="008232D4"/>
    <w:rsid w:val="00843392"/>
    <w:rsid w:val="00843E35"/>
    <w:rsid w:val="008457D7"/>
    <w:rsid w:val="00846536"/>
    <w:rsid w:val="00856A73"/>
    <w:rsid w:val="00857C8F"/>
    <w:rsid w:val="008602E4"/>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53B"/>
    <w:rsid w:val="008B7C6C"/>
    <w:rsid w:val="008C020E"/>
    <w:rsid w:val="008C26D9"/>
    <w:rsid w:val="008C342F"/>
    <w:rsid w:val="008D0CA5"/>
    <w:rsid w:val="008E3EC8"/>
    <w:rsid w:val="00901522"/>
    <w:rsid w:val="00911DA9"/>
    <w:rsid w:val="00915C4F"/>
    <w:rsid w:val="00925041"/>
    <w:rsid w:val="00925365"/>
    <w:rsid w:val="00932F76"/>
    <w:rsid w:val="00933388"/>
    <w:rsid w:val="0093674E"/>
    <w:rsid w:val="00940243"/>
    <w:rsid w:val="00941926"/>
    <w:rsid w:val="00952503"/>
    <w:rsid w:val="00955B4E"/>
    <w:rsid w:val="00957002"/>
    <w:rsid w:val="009605FE"/>
    <w:rsid w:val="009628F5"/>
    <w:rsid w:val="009673C9"/>
    <w:rsid w:val="00976C40"/>
    <w:rsid w:val="00981E3E"/>
    <w:rsid w:val="00984CEB"/>
    <w:rsid w:val="009862DA"/>
    <w:rsid w:val="00986BB2"/>
    <w:rsid w:val="009A5C45"/>
    <w:rsid w:val="009B081C"/>
    <w:rsid w:val="009B1C8B"/>
    <w:rsid w:val="009B4C85"/>
    <w:rsid w:val="009B61D9"/>
    <w:rsid w:val="009C0827"/>
    <w:rsid w:val="009C0B63"/>
    <w:rsid w:val="009C24DF"/>
    <w:rsid w:val="009D5878"/>
    <w:rsid w:val="009D5B5D"/>
    <w:rsid w:val="009E0FE9"/>
    <w:rsid w:val="009E23F4"/>
    <w:rsid w:val="009E5BFB"/>
    <w:rsid w:val="009F04C4"/>
    <w:rsid w:val="009F04C9"/>
    <w:rsid w:val="009F2843"/>
    <w:rsid w:val="009F2B89"/>
    <w:rsid w:val="009F3C0C"/>
    <w:rsid w:val="009F4C8D"/>
    <w:rsid w:val="009F7F98"/>
    <w:rsid w:val="00A02D44"/>
    <w:rsid w:val="00A0383B"/>
    <w:rsid w:val="00A12B0B"/>
    <w:rsid w:val="00A1763A"/>
    <w:rsid w:val="00A21FC7"/>
    <w:rsid w:val="00A24519"/>
    <w:rsid w:val="00A27151"/>
    <w:rsid w:val="00A34954"/>
    <w:rsid w:val="00A349BC"/>
    <w:rsid w:val="00A41D34"/>
    <w:rsid w:val="00A54CE4"/>
    <w:rsid w:val="00A6014B"/>
    <w:rsid w:val="00A642C5"/>
    <w:rsid w:val="00A82E92"/>
    <w:rsid w:val="00A84A0D"/>
    <w:rsid w:val="00A86CD6"/>
    <w:rsid w:val="00A92999"/>
    <w:rsid w:val="00AA3762"/>
    <w:rsid w:val="00AA3949"/>
    <w:rsid w:val="00AA489A"/>
    <w:rsid w:val="00AB2957"/>
    <w:rsid w:val="00AC262B"/>
    <w:rsid w:val="00AC4AA8"/>
    <w:rsid w:val="00AC53E4"/>
    <w:rsid w:val="00AD5385"/>
    <w:rsid w:val="00AE174D"/>
    <w:rsid w:val="00AE467A"/>
    <w:rsid w:val="00AF4B61"/>
    <w:rsid w:val="00AF56F2"/>
    <w:rsid w:val="00AF6D39"/>
    <w:rsid w:val="00B000D2"/>
    <w:rsid w:val="00B014D1"/>
    <w:rsid w:val="00B0578B"/>
    <w:rsid w:val="00B06D17"/>
    <w:rsid w:val="00B1695C"/>
    <w:rsid w:val="00B20308"/>
    <w:rsid w:val="00B332D9"/>
    <w:rsid w:val="00B35E5D"/>
    <w:rsid w:val="00B35FCE"/>
    <w:rsid w:val="00B36D6A"/>
    <w:rsid w:val="00B41150"/>
    <w:rsid w:val="00B44C64"/>
    <w:rsid w:val="00B4557C"/>
    <w:rsid w:val="00B47E7F"/>
    <w:rsid w:val="00B5337C"/>
    <w:rsid w:val="00B53BC3"/>
    <w:rsid w:val="00B559B7"/>
    <w:rsid w:val="00B61A55"/>
    <w:rsid w:val="00B65B69"/>
    <w:rsid w:val="00B677F9"/>
    <w:rsid w:val="00B7364F"/>
    <w:rsid w:val="00B832D0"/>
    <w:rsid w:val="00B94945"/>
    <w:rsid w:val="00B97175"/>
    <w:rsid w:val="00BA0AF7"/>
    <w:rsid w:val="00BA37BB"/>
    <w:rsid w:val="00BA4322"/>
    <w:rsid w:val="00BA6AEB"/>
    <w:rsid w:val="00BB0D8D"/>
    <w:rsid w:val="00BB204F"/>
    <w:rsid w:val="00BB3130"/>
    <w:rsid w:val="00BC0CE4"/>
    <w:rsid w:val="00BC1DF0"/>
    <w:rsid w:val="00BD3953"/>
    <w:rsid w:val="00BE3A35"/>
    <w:rsid w:val="00BF3D2F"/>
    <w:rsid w:val="00BF520A"/>
    <w:rsid w:val="00BF706B"/>
    <w:rsid w:val="00C0619F"/>
    <w:rsid w:val="00C074A9"/>
    <w:rsid w:val="00C12CF2"/>
    <w:rsid w:val="00C172C3"/>
    <w:rsid w:val="00C25569"/>
    <w:rsid w:val="00C302FA"/>
    <w:rsid w:val="00C30946"/>
    <w:rsid w:val="00C334C5"/>
    <w:rsid w:val="00C34AE5"/>
    <w:rsid w:val="00C40698"/>
    <w:rsid w:val="00C451EA"/>
    <w:rsid w:val="00C517D1"/>
    <w:rsid w:val="00C53028"/>
    <w:rsid w:val="00C542F7"/>
    <w:rsid w:val="00C56DEE"/>
    <w:rsid w:val="00C600C7"/>
    <w:rsid w:val="00C636B7"/>
    <w:rsid w:val="00C66A18"/>
    <w:rsid w:val="00C7216E"/>
    <w:rsid w:val="00C842BD"/>
    <w:rsid w:val="00C921CD"/>
    <w:rsid w:val="00C93C34"/>
    <w:rsid w:val="00C97BF9"/>
    <w:rsid w:val="00CA30C0"/>
    <w:rsid w:val="00CB1AD1"/>
    <w:rsid w:val="00CB4083"/>
    <w:rsid w:val="00CB7961"/>
    <w:rsid w:val="00CC555F"/>
    <w:rsid w:val="00CC6711"/>
    <w:rsid w:val="00CD16D2"/>
    <w:rsid w:val="00CD1731"/>
    <w:rsid w:val="00CD1C9F"/>
    <w:rsid w:val="00CD7BD4"/>
    <w:rsid w:val="00CD7DA4"/>
    <w:rsid w:val="00CE29D1"/>
    <w:rsid w:val="00CF46C9"/>
    <w:rsid w:val="00CF66A6"/>
    <w:rsid w:val="00CF6719"/>
    <w:rsid w:val="00D03B03"/>
    <w:rsid w:val="00D06041"/>
    <w:rsid w:val="00D128FD"/>
    <w:rsid w:val="00D1332B"/>
    <w:rsid w:val="00D24E2D"/>
    <w:rsid w:val="00D30F60"/>
    <w:rsid w:val="00D42328"/>
    <w:rsid w:val="00D46B74"/>
    <w:rsid w:val="00D548D9"/>
    <w:rsid w:val="00D56005"/>
    <w:rsid w:val="00D6301D"/>
    <w:rsid w:val="00D74DA6"/>
    <w:rsid w:val="00D770CD"/>
    <w:rsid w:val="00D86FBA"/>
    <w:rsid w:val="00D877D8"/>
    <w:rsid w:val="00D92539"/>
    <w:rsid w:val="00D9290E"/>
    <w:rsid w:val="00D936B8"/>
    <w:rsid w:val="00D93872"/>
    <w:rsid w:val="00D94D3B"/>
    <w:rsid w:val="00DA06B5"/>
    <w:rsid w:val="00DA4723"/>
    <w:rsid w:val="00DA4A72"/>
    <w:rsid w:val="00DB06E8"/>
    <w:rsid w:val="00DB6A2A"/>
    <w:rsid w:val="00DB781A"/>
    <w:rsid w:val="00DC3AA5"/>
    <w:rsid w:val="00DC4367"/>
    <w:rsid w:val="00DC4368"/>
    <w:rsid w:val="00DC53BB"/>
    <w:rsid w:val="00DD2F52"/>
    <w:rsid w:val="00DD4126"/>
    <w:rsid w:val="00DD6EC5"/>
    <w:rsid w:val="00DE41CF"/>
    <w:rsid w:val="00DF3C0C"/>
    <w:rsid w:val="00DF57F5"/>
    <w:rsid w:val="00DF58D7"/>
    <w:rsid w:val="00E033D5"/>
    <w:rsid w:val="00E046DA"/>
    <w:rsid w:val="00E137EF"/>
    <w:rsid w:val="00E22B77"/>
    <w:rsid w:val="00E24F8F"/>
    <w:rsid w:val="00E24F93"/>
    <w:rsid w:val="00E327BA"/>
    <w:rsid w:val="00E33503"/>
    <w:rsid w:val="00E36B58"/>
    <w:rsid w:val="00E37E74"/>
    <w:rsid w:val="00E4290E"/>
    <w:rsid w:val="00E47476"/>
    <w:rsid w:val="00E5152A"/>
    <w:rsid w:val="00E524C1"/>
    <w:rsid w:val="00E65502"/>
    <w:rsid w:val="00E67613"/>
    <w:rsid w:val="00E67E90"/>
    <w:rsid w:val="00E7510A"/>
    <w:rsid w:val="00E80769"/>
    <w:rsid w:val="00E8103A"/>
    <w:rsid w:val="00E8536E"/>
    <w:rsid w:val="00E87412"/>
    <w:rsid w:val="00E914F5"/>
    <w:rsid w:val="00E92D2F"/>
    <w:rsid w:val="00EA076D"/>
    <w:rsid w:val="00EA1090"/>
    <w:rsid w:val="00EA1201"/>
    <w:rsid w:val="00EA35A1"/>
    <w:rsid w:val="00EB702A"/>
    <w:rsid w:val="00EB7D0B"/>
    <w:rsid w:val="00EC1C6D"/>
    <w:rsid w:val="00EC2DB6"/>
    <w:rsid w:val="00EC6991"/>
    <w:rsid w:val="00EC6A5C"/>
    <w:rsid w:val="00EC6C7B"/>
    <w:rsid w:val="00ED58A5"/>
    <w:rsid w:val="00ED76F8"/>
    <w:rsid w:val="00EE3F7F"/>
    <w:rsid w:val="00EE7B24"/>
    <w:rsid w:val="00EF07D2"/>
    <w:rsid w:val="00EF40E7"/>
    <w:rsid w:val="00EF7E26"/>
    <w:rsid w:val="00F05D7C"/>
    <w:rsid w:val="00F10131"/>
    <w:rsid w:val="00F11B25"/>
    <w:rsid w:val="00F21728"/>
    <w:rsid w:val="00F306AF"/>
    <w:rsid w:val="00F34F40"/>
    <w:rsid w:val="00F354F3"/>
    <w:rsid w:val="00F35CA2"/>
    <w:rsid w:val="00F36D3A"/>
    <w:rsid w:val="00F41E93"/>
    <w:rsid w:val="00F7145F"/>
    <w:rsid w:val="00F76968"/>
    <w:rsid w:val="00F83D9D"/>
    <w:rsid w:val="00F871A0"/>
    <w:rsid w:val="00F87440"/>
    <w:rsid w:val="00F9269A"/>
    <w:rsid w:val="00F94332"/>
    <w:rsid w:val="00F943CC"/>
    <w:rsid w:val="00F9673E"/>
    <w:rsid w:val="00FB0EC3"/>
    <w:rsid w:val="00FB1093"/>
    <w:rsid w:val="00FC1D1E"/>
    <w:rsid w:val="00FC2BA1"/>
    <w:rsid w:val="00FC70CA"/>
    <w:rsid w:val="00FD532A"/>
    <w:rsid w:val="00FD75F1"/>
    <w:rsid w:val="00FE3E95"/>
    <w:rsid w:val="00FE55AE"/>
    <w:rsid w:val="00FF15D5"/>
    <w:rsid w:val="00FF7B7F"/>
    <w:rsid w:val="0115077C"/>
    <w:rsid w:val="0116312F"/>
    <w:rsid w:val="0175001E"/>
    <w:rsid w:val="017C66DE"/>
    <w:rsid w:val="01804A4C"/>
    <w:rsid w:val="01890D0B"/>
    <w:rsid w:val="01963062"/>
    <w:rsid w:val="01AC1887"/>
    <w:rsid w:val="01DD1E9F"/>
    <w:rsid w:val="01E37A17"/>
    <w:rsid w:val="01F55FA8"/>
    <w:rsid w:val="020578DD"/>
    <w:rsid w:val="022425D7"/>
    <w:rsid w:val="026C4FD1"/>
    <w:rsid w:val="027A2971"/>
    <w:rsid w:val="028606DA"/>
    <w:rsid w:val="02B11EFA"/>
    <w:rsid w:val="02C9546D"/>
    <w:rsid w:val="03604AE8"/>
    <w:rsid w:val="03A521F2"/>
    <w:rsid w:val="03EE0393"/>
    <w:rsid w:val="04155920"/>
    <w:rsid w:val="04305357"/>
    <w:rsid w:val="044E2BE0"/>
    <w:rsid w:val="0452141E"/>
    <w:rsid w:val="04842AA6"/>
    <w:rsid w:val="048707FB"/>
    <w:rsid w:val="04980A96"/>
    <w:rsid w:val="049D5915"/>
    <w:rsid w:val="04DD0CB1"/>
    <w:rsid w:val="04ED66A4"/>
    <w:rsid w:val="05087233"/>
    <w:rsid w:val="05406EB7"/>
    <w:rsid w:val="059D2DF8"/>
    <w:rsid w:val="05BA78F4"/>
    <w:rsid w:val="05C55124"/>
    <w:rsid w:val="05CB7B8E"/>
    <w:rsid w:val="05CE4396"/>
    <w:rsid w:val="05F17CC7"/>
    <w:rsid w:val="062A122C"/>
    <w:rsid w:val="06E65352"/>
    <w:rsid w:val="074B6D85"/>
    <w:rsid w:val="07713C35"/>
    <w:rsid w:val="07B63B11"/>
    <w:rsid w:val="07D720B6"/>
    <w:rsid w:val="07DB403D"/>
    <w:rsid w:val="07ED0B0D"/>
    <w:rsid w:val="080D690E"/>
    <w:rsid w:val="081F390C"/>
    <w:rsid w:val="08B275D1"/>
    <w:rsid w:val="08E001B0"/>
    <w:rsid w:val="09222209"/>
    <w:rsid w:val="098826F0"/>
    <w:rsid w:val="09BB55BA"/>
    <w:rsid w:val="09C87119"/>
    <w:rsid w:val="09E922F6"/>
    <w:rsid w:val="09F75AC8"/>
    <w:rsid w:val="0A0C3321"/>
    <w:rsid w:val="0A0D0E47"/>
    <w:rsid w:val="0A18464F"/>
    <w:rsid w:val="0A291D87"/>
    <w:rsid w:val="0A2E2341"/>
    <w:rsid w:val="0A366207"/>
    <w:rsid w:val="0A8B0EAB"/>
    <w:rsid w:val="0A922065"/>
    <w:rsid w:val="0AA049F3"/>
    <w:rsid w:val="0AA96DC2"/>
    <w:rsid w:val="0ABF3E2E"/>
    <w:rsid w:val="0ADC03EB"/>
    <w:rsid w:val="0B441098"/>
    <w:rsid w:val="0B4D3BF1"/>
    <w:rsid w:val="0B95124F"/>
    <w:rsid w:val="0BBD1D37"/>
    <w:rsid w:val="0BC56F5F"/>
    <w:rsid w:val="0BDB3721"/>
    <w:rsid w:val="0C073E59"/>
    <w:rsid w:val="0C314090"/>
    <w:rsid w:val="0C51682D"/>
    <w:rsid w:val="0C5F46D0"/>
    <w:rsid w:val="0CB27CB2"/>
    <w:rsid w:val="0CB3217A"/>
    <w:rsid w:val="0CD10852"/>
    <w:rsid w:val="0D2336F8"/>
    <w:rsid w:val="0D8D2D08"/>
    <w:rsid w:val="0E0D0C45"/>
    <w:rsid w:val="0E236A3E"/>
    <w:rsid w:val="0E3E5A73"/>
    <w:rsid w:val="0E740F48"/>
    <w:rsid w:val="0E9B5403"/>
    <w:rsid w:val="0EA37FCC"/>
    <w:rsid w:val="0F3048C7"/>
    <w:rsid w:val="0F55354B"/>
    <w:rsid w:val="0FD51371"/>
    <w:rsid w:val="0FDB4A43"/>
    <w:rsid w:val="0FDE3679"/>
    <w:rsid w:val="0FDF3286"/>
    <w:rsid w:val="10635C65"/>
    <w:rsid w:val="107D339A"/>
    <w:rsid w:val="10961B97"/>
    <w:rsid w:val="10AD2295"/>
    <w:rsid w:val="11060FEB"/>
    <w:rsid w:val="11332C1D"/>
    <w:rsid w:val="11424B3C"/>
    <w:rsid w:val="115434A7"/>
    <w:rsid w:val="1186164E"/>
    <w:rsid w:val="11893269"/>
    <w:rsid w:val="11DA6313"/>
    <w:rsid w:val="11F67716"/>
    <w:rsid w:val="120C6381"/>
    <w:rsid w:val="120E6D62"/>
    <w:rsid w:val="12263756"/>
    <w:rsid w:val="129C0FBA"/>
    <w:rsid w:val="12BC3060"/>
    <w:rsid w:val="12CF1390"/>
    <w:rsid w:val="12EA61CA"/>
    <w:rsid w:val="12EB7263"/>
    <w:rsid w:val="12F42BA4"/>
    <w:rsid w:val="13270D7A"/>
    <w:rsid w:val="13352C8C"/>
    <w:rsid w:val="134B775D"/>
    <w:rsid w:val="134E01D7"/>
    <w:rsid w:val="13584DCD"/>
    <w:rsid w:val="13624C7F"/>
    <w:rsid w:val="136B4AD7"/>
    <w:rsid w:val="137E3987"/>
    <w:rsid w:val="1382238D"/>
    <w:rsid w:val="13B25860"/>
    <w:rsid w:val="13DB2AF9"/>
    <w:rsid w:val="141B1331"/>
    <w:rsid w:val="14324EA6"/>
    <w:rsid w:val="143809CF"/>
    <w:rsid w:val="14565BE9"/>
    <w:rsid w:val="1457366A"/>
    <w:rsid w:val="145D1E98"/>
    <w:rsid w:val="147C1835"/>
    <w:rsid w:val="147C5E29"/>
    <w:rsid w:val="14D54096"/>
    <w:rsid w:val="14DD044C"/>
    <w:rsid w:val="14DD31E2"/>
    <w:rsid w:val="15142B24"/>
    <w:rsid w:val="153C0833"/>
    <w:rsid w:val="15BA2D4A"/>
    <w:rsid w:val="15D62A35"/>
    <w:rsid w:val="15E74C42"/>
    <w:rsid w:val="16315EBE"/>
    <w:rsid w:val="163341DB"/>
    <w:rsid w:val="168F1DFA"/>
    <w:rsid w:val="16A77525"/>
    <w:rsid w:val="16A9400E"/>
    <w:rsid w:val="16D276A1"/>
    <w:rsid w:val="16D30CDD"/>
    <w:rsid w:val="17156845"/>
    <w:rsid w:val="171928BE"/>
    <w:rsid w:val="173E6AE4"/>
    <w:rsid w:val="174723F2"/>
    <w:rsid w:val="174943E9"/>
    <w:rsid w:val="1757657C"/>
    <w:rsid w:val="176519FD"/>
    <w:rsid w:val="17654C1B"/>
    <w:rsid w:val="176F167E"/>
    <w:rsid w:val="17814E1C"/>
    <w:rsid w:val="17932850"/>
    <w:rsid w:val="17C41659"/>
    <w:rsid w:val="17D849D6"/>
    <w:rsid w:val="180E527E"/>
    <w:rsid w:val="18184694"/>
    <w:rsid w:val="182B30B6"/>
    <w:rsid w:val="182C673E"/>
    <w:rsid w:val="18C313DF"/>
    <w:rsid w:val="18EE0BF6"/>
    <w:rsid w:val="19131D2F"/>
    <w:rsid w:val="192405E7"/>
    <w:rsid w:val="195C76F5"/>
    <w:rsid w:val="19600305"/>
    <w:rsid w:val="19714CB9"/>
    <w:rsid w:val="19753246"/>
    <w:rsid w:val="19923A79"/>
    <w:rsid w:val="19CC2CC4"/>
    <w:rsid w:val="1A142085"/>
    <w:rsid w:val="1A2C3DD7"/>
    <w:rsid w:val="1A606D71"/>
    <w:rsid w:val="1A6B245E"/>
    <w:rsid w:val="1A7E2606"/>
    <w:rsid w:val="1AAA4EE5"/>
    <w:rsid w:val="1AAE5A45"/>
    <w:rsid w:val="1AAF59FC"/>
    <w:rsid w:val="1AB10FB0"/>
    <w:rsid w:val="1AD5150D"/>
    <w:rsid w:val="1AEB1A05"/>
    <w:rsid w:val="1AEB5F51"/>
    <w:rsid w:val="1B205A92"/>
    <w:rsid w:val="1B3058D0"/>
    <w:rsid w:val="1B31572D"/>
    <w:rsid w:val="1B494FD0"/>
    <w:rsid w:val="1B6C5B53"/>
    <w:rsid w:val="1C3310A9"/>
    <w:rsid w:val="1D2F77CB"/>
    <w:rsid w:val="1D40117C"/>
    <w:rsid w:val="1D785B20"/>
    <w:rsid w:val="1D8760B4"/>
    <w:rsid w:val="1DA805C1"/>
    <w:rsid w:val="1DB00010"/>
    <w:rsid w:val="1DB72D4D"/>
    <w:rsid w:val="1DD469C9"/>
    <w:rsid w:val="1DDF5840"/>
    <w:rsid w:val="1DFD14A7"/>
    <w:rsid w:val="1E033CFE"/>
    <w:rsid w:val="1E2F53D8"/>
    <w:rsid w:val="1E4E1D03"/>
    <w:rsid w:val="1E562965"/>
    <w:rsid w:val="1E566E09"/>
    <w:rsid w:val="1E960FB4"/>
    <w:rsid w:val="1E966DAA"/>
    <w:rsid w:val="1EB83620"/>
    <w:rsid w:val="1ECE4BF1"/>
    <w:rsid w:val="1ED84278"/>
    <w:rsid w:val="1ED97BFC"/>
    <w:rsid w:val="1EE73B09"/>
    <w:rsid w:val="1F0C23CC"/>
    <w:rsid w:val="1F1545CE"/>
    <w:rsid w:val="1F2C1918"/>
    <w:rsid w:val="1F316326"/>
    <w:rsid w:val="1F5D4A06"/>
    <w:rsid w:val="1F964F4E"/>
    <w:rsid w:val="1F9A2D26"/>
    <w:rsid w:val="1F9F6536"/>
    <w:rsid w:val="1FB92045"/>
    <w:rsid w:val="1FE87E47"/>
    <w:rsid w:val="1FF42436"/>
    <w:rsid w:val="1FF53618"/>
    <w:rsid w:val="20215745"/>
    <w:rsid w:val="203647FC"/>
    <w:rsid w:val="205A5529"/>
    <w:rsid w:val="20631369"/>
    <w:rsid w:val="207B66B3"/>
    <w:rsid w:val="20A0436C"/>
    <w:rsid w:val="20AE4DC8"/>
    <w:rsid w:val="20C20786"/>
    <w:rsid w:val="20C274CD"/>
    <w:rsid w:val="20C34F92"/>
    <w:rsid w:val="20DD55C0"/>
    <w:rsid w:val="20EC75B1"/>
    <w:rsid w:val="21024A33"/>
    <w:rsid w:val="21224D81"/>
    <w:rsid w:val="2184139D"/>
    <w:rsid w:val="218F1C0A"/>
    <w:rsid w:val="21912162"/>
    <w:rsid w:val="2191233E"/>
    <w:rsid w:val="219A0DBB"/>
    <w:rsid w:val="21AB2FC8"/>
    <w:rsid w:val="21FB04CE"/>
    <w:rsid w:val="221F6235"/>
    <w:rsid w:val="224A27E1"/>
    <w:rsid w:val="225D2D35"/>
    <w:rsid w:val="226B066F"/>
    <w:rsid w:val="227A2080"/>
    <w:rsid w:val="22834430"/>
    <w:rsid w:val="22E10344"/>
    <w:rsid w:val="22E942A6"/>
    <w:rsid w:val="22EC3DDE"/>
    <w:rsid w:val="22F45DE8"/>
    <w:rsid w:val="22FF76A7"/>
    <w:rsid w:val="236E082B"/>
    <w:rsid w:val="237C10C0"/>
    <w:rsid w:val="237F64DC"/>
    <w:rsid w:val="241A2A47"/>
    <w:rsid w:val="244C451B"/>
    <w:rsid w:val="24524D99"/>
    <w:rsid w:val="24A600AD"/>
    <w:rsid w:val="24AB7DB8"/>
    <w:rsid w:val="24C21763"/>
    <w:rsid w:val="24CD5D6E"/>
    <w:rsid w:val="25421E95"/>
    <w:rsid w:val="26091A0C"/>
    <w:rsid w:val="261F5032"/>
    <w:rsid w:val="2628108B"/>
    <w:rsid w:val="26431A21"/>
    <w:rsid w:val="26C239CA"/>
    <w:rsid w:val="26C90E2D"/>
    <w:rsid w:val="26D747CC"/>
    <w:rsid w:val="270B25DA"/>
    <w:rsid w:val="270F17A0"/>
    <w:rsid w:val="273705EE"/>
    <w:rsid w:val="27723A43"/>
    <w:rsid w:val="278542BB"/>
    <w:rsid w:val="27DA4607"/>
    <w:rsid w:val="27E06514"/>
    <w:rsid w:val="2827575A"/>
    <w:rsid w:val="28801A02"/>
    <w:rsid w:val="28902F18"/>
    <w:rsid w:val="28994B2A"/>
    <w:rsid w:val="28B46433"/>
    <w:rsid w:val="28CD560F"/>
    <w:rsid w:val="28ED0D31"/>
    <w:rsid w:val="29032BEF"/>
    <w:rsid w:val="2927562A"/>
    <w:rsid w:val="298A7967"/>
    <w:rsid w:val="29AC36EE"/>
    <w:rsid w:val="2A0B0AA8"/>
    <w:rsid w:val="2A1B0D71"/>
    <w:rsid w:val="2A4C7902"/>
    <w:rsid w:val="2A62490E"/>
    <w:rsid w:val="2A663F30"/>
    <w:rsid w:val="2A6A39E8"/>
    <w:rsid w:val="2AC670C5"/>
    <w:rsid w:val="2B2D01CF"/>
    <w:rsid w:val="2B4F2A6E"/>
    <w:rsid w:val="2B4F631D"/>
    <w:rsid w:val="2B7375A1"/>
    <w:rsid w:val="2B7D5B67"/>
    <w:rsid w:val="2BCA23E3"/>
    <w:rsid w:val="2BCB64B2"/>
    <w:rsid w:val="2BCD490E"/>
    <w:rsid w:val="2BD51A79"/>
    <w:rsid w:val="2BDB094E"/>
    <w:rsid w:val="2BDF04C0"/>
    <w:rsid w:val="2BE50244"/>
    <w:rsid w:val="2BED6F1A"/>
    <w:rsid w:val="2C255C58"/>
    <w:rsid w:val="2C365B84"/>
    <w:rsid w:val="2C532B0F"/>
    <w:rsid w:val="2C6E29F7"/>
    <w:rsid w:val="2C931228"/>
    <w:rsid w:val="2CC41C04"/>
    <w:rsid w:val="2CF40263"/>
    <w:rsid w:val="2D48195B"/>
    <w:rsid w:val="2D7363DF"/>
    <w:rsid w:val="2D8C0151"/>
    <w:rsid w:val="2DDF2977"/>
    <w:rsid w:val="2E5642BC"/>
    <w:rsid w:val="2E7620ED"/>
    <w:rsid w:val="2ECD498D"/>
    <w:rsid w:val="2EE724DC"/>
    <w:rsid w:val="2EF51D26"/>
    <w:rsid w:val="2EF76C06"/>
    <w:rsid w:val="2F0D20DE"/>
    <w:rsid w:val="2F177EEF"/>
    <w:rsid w:val="2F5D30B3"/>
    <w:rsid w:val="2F7009B1"/>
    <w:rsid w:val="2F7964B4"/>
    <w:rsid w:val="2FA07728"/>
    <w:rsid w:val="2FB318C4"/>
    <w:rsid w:val="2FC002D5"/>
    <w:rsid w:val="30083A5D"/>
    <w:rsid w:val="30162726"/>
    <w:rsid w:val="302E6AE1"/>
    <w:rsid w:val="306A6A79"/>
    <w:rsid w:val="309335A5"/>
    <w:rsid w:val="309537C1"/>
    <w:rsid w:val="30963B52"/>
    <w:rsid w:val="30BD0622"/>
    <w:rsid w:val="30E3277E"/>
    <w:rsid w:val="30E82380"/>
    <w:rsid w:val="31324444"/>
    <w:rsid w:val="31476967"/>
    <w:rsid w:val="315453F8"/>
    <w:rsid w:val="31653193"/>
    <w:rsid w:val="31973FCB"/>
    <w:rsid w:val="31C003CA"/>
    <w:rsid w:val="31D21342"/>
    <w:rsid w:val="31E21586"/>
    <w:rsid w:val="31FA6300"/>
    <w:rsid w:val="320E50AB"/>
    <w:rsid w:val="321118B3"/>
    <w:rsid w:val="32170A8D"/>
    <w:rsid w:val="32525BDF"/>
    <w:rsid w:val="32786E04"/>
    <w:rsid w:val="328B6984"/>
    <w:rsid w:val="32983FD4"/>
    <w:rsid w:val="32AF23C2"/>
    <w:rsid w:val="32DC4F67"/>
    <w:rsid w:val="32EE1A36"/>
    <w:rsid w:val="33723946"/>
    <w:rsid w:val="3396307D"/>
    <w:rsid w:val="33BF4A72"/>
    <w:rsid w:val="33D7599C"/>
    <w:rsid w:val="342D1BFF"/>
    <w:rsid w:val="342F480F"/>
    <w:rsid w:val="343E26EE"/>
    <w:rsid w:val="344F3C87"/>
    <w:rsid w:val="3475581F"/>
    <w:rsid w:val="347E1DA2"/>
    <w:rsid w:val="349B682B"/>
    <w:rsid w:val="34B34830"/>
    <w:rsid w:val="34C649F1"/>
    <w:rsid w:val="34ED54E4"/>
    <w:rsid w:val="3503309E"/>
    <w:rsid w:val="35435064"/>
    <w:rsid w:val="35476E77"/>
    <w:rsid w:val="35A1628C"/>
    <w:rsid w:val="361707D4"/>
    <w:rsid w:val="3620672B"/>
    <w:rsid w:val="36250A64"/>
    <w:rsid w:val="365B1287"/>
    <w:rsid w:val="365C313C"/>
    <w:rsid w:val="36831F44"/>
    <w:rsid w:val="36A209E6"/>
    <w:rsid w:val="36BE109A"/>
    <w:rsid w:val="36E01197"/>
    <w:rsid w:val="36FA2163"/>
    <w:rsid w:val="37042CD1"/>
    <w:rsid w:val="37293B7E"/>
    <w:rsid w:val="375F2433"/>
    <w:rsid w:val="377B3D13"/>
    <w:rsid w:val="37886F93"/>
    <w:rsid w:val="37A54EB9"/>
    <w:rsid w:val="37B86AAF"/>
    <w:rsid w:val="37BC7880"/>
    <w:rsid w:val="37C14982"/>
    <w:rsid w:val="37C44C8D"/>
    <w:rsid w:val="37DB3ACA"/>
    <w:rsid w:val="38082ACA"/>
    <w:rsid w:val="3810525E"/>
    <w:rsid w:val="381D6482"/>
    <w:rsid w:val="381E409C"/>
    <w:rsid w:val="38234CA6"/>
    <w:rsid w:val="383407C4"/>
    <w:rsid w:val="385E26EA"/>
    <w:rsid w:val="38684E80"/>
    <w:rsid w:val="3875617F"/>
    <w:rsid w:val="389573C2"/>
    <w:rsid w:val="38A00D60"/>
    <w:rsid w:val="38B52017"/>
    <w:rsid w:val="390521E1"/>
    <w:rsid w:val="390C65EA"/>
    <w:rsid w:val="39184F8F"/>
    <w:rsid w:val="39415126"/>
    <w:rsid w:val="39BC591B"/>
    <w:rsid w:val="39D24B04"/>
    <w:rsid w:val="39DF13C4"/>
    <w:rsid w:val="39E032E9"/>
    <w:rsid w:val="3A1E08C5"/>
    <w:rsid w:val="3A3A347C"/>
    <w:rsid w:val="3A6D1368"/>
    <w:rsid w:val="3A8332F9"/>
    <w:rsid w:val="3A914FF9"/>
    <w:rsid w:val="3AC94E98"/>
    <w:rsid w:val="3AD16E8E"/>
    <w:rsid w:val="3AD2258E"/>
    <w:rsid w:val="3AD62764"/>
    <w:rsid w:val="3AFA3A3A"/>
    <w:rsid w:val="3AFE1F63"/>
    <w:rsid w:val="3B035B6A"/>
    <w:rsid w:val="3B135B6F"/>
    <w:rsid w:val="3B2A71FC"/>
    <w:rsid w:val="3B455DE4"/>
    <w:rsid w:val="3B4B6B6F"/>
    <w:rsid w:val="3B4F1DA6"/>
    <w:rsid w:val="3B510544"/>
    <w:rsid w:val="3B6250F8"/>
    <w:rsid w:val="3B7003FD"/>
    <w:rsid w:val="3BAE7806"/>
    <w:rsid w:val="3BB16FD5"/>
    <w:rsid w:val="3BCF3DE2"/>
    <w:rsid w:val="3BFF5F92"/>
    <w:rsid w:val="3C022A83"/>
    <w:rsid w:val="3C342B36"/>
    <w:rsid w:val="3C3876DA"/>
    <w:rsid w:val="3C6E7B33"/>
    <w:rsid w:val="3C8F2735"/>
    <w:rsid w:val="3D697A4C"/>
    <w:rsid w:val="3DA637B6"/>
    <w:rsid w:val="3DC70DA6"/>
    <w:rsid w:val="3E2A2088"/>
    <w:rsid w:val="3E4203B8"/>
    <w:rsid w:val="3E433531"/>
    <w:rsid w:val="3E8310FD"/>
    <w:rsid w:val="3E8D51C5"/>
    <w:rsid w:val="3E911ED8"/>
    <w:rsid w:val="3E9776C5"/>
    <w:rsid w:val="3E9B4698"/>
    <w:rsid w:val="3EF4070F"/>
    <w:rsid w:val="3F345912"/>
    <w:rsid w:val="3F456AA7"/>
    <w:rsid w:val="3F4A39C9"/>
    <w:rsid w:val="3FC76DC7"/>
    <w:rsid w:val="3FCC0881"/>
    <w:rsid w:val="3FE86074"/>
    <w:rsid w:val="404350E0"/>
    <w:rsid w:val="404C79E5"/>
    <w:rsid w:val="407549A4"/>
    <w:rsid w:val="40A33F45"/>
    <w:rsid w:val="40BE38AE"/>
    <w:rsid w:val="40E32281"/>
    <w:rsid w:val="413E57AF"/>
    <w:rsid w:val="414F176A"/>
    <w:rsid w:val="41694E7F"/>
    <w:rsid w:val="41AD3D25"/>
    <w:rsid w:val="41EC6FB9"/>
    <w:rsid w:val="42675C80"/>
    <w:rsid w:val="42857E42"/>
    <w:rsid w:val="429C3481"/>
    <w:rsid w:val="42AE426E"/>
    <w:rsid w:val="42F775E0"/>
    <w:rsid w:val="432934FC"/>
    <w:rsid w:val="433A3A5A"/>
    <w:rsid w:val="433B7B45"/>
    <w:rsid w:val="4346094B"/>
    <w:rsid w:val="43461DE8"/>
    <w:rsid w:val="43600284"/>
    <w:rsid w:val="43642BE7"/>
    <w:rsid w:val="43860D47"/>
    <w:rsid w:val="438F36C0"/>
    <w:rsid w:val="43943464"/>
    <w:rsid w:val="439D5CFD"/>
    <w:rsid w:val="442C26BD"/>
    <w:rsid w:val="44463ADF"/>
    <w:rsid w:val="447A4D50"/>
    <w:rsid w:val="44BA6EFA"/>
    <w:rsid w:val="44C70737"/>
    <w:rsid w:val="450862B9"/>
    <w:rsid w:val="452B429C"/>
    <w:rsid w:val="45442CA9"/>
    <w:rsid w:val="45525FCE"/>
    <w:rsid w:val="45AF7D25"/>
    <w:rsid w:val="45BA7421"/>
    <w:rsid w:val="45FA1F13"/>
    <w:rsid w:val="461036EB"/>
    <w:rsid w:val="4642740B"/>
    <w:rsid w:val="46603AD2"/>
    <w:rsid w:val="46621D09"/>
    <w:rsid w:val="466D2298"/>
    <w:rsid w:val="46896345"/>
    <w:rsid w:val="468F024E"/>
    <w:rsid w:val="46985A97"/>
    <w:rsid w:val="469F0A9E"/>
    <w:rsid w:val="46E23A2A"/>
    <w:rsid w:val="46E37CD8"/>
    <w:rsid w:val="47195F8F"/>
    <w:rsid w:val="47347438"/>
    <w:rsid w:val="475450F8"/>
    <w:rsid w:val="476C7959"/>
    <w:rsid w:val="4795557D"/>
    <w:rsid w:val="47A63299"/>
    <w:rsid w:val="47C737CE"/>
    <w:rsid w:val="4828256E"/>
    <w:rsid w:val="482E4477"/>
    <w:rsid w:val="48362D3C"/>
    <w:rsid w:val="48711FC6"/>
    <w:rsid w:val="487318F4"/>
    <w:rsid w:val="48E174F1"/>
    <w:rsid w:val="48F6071D"/>
    <w:rsid w:val="490E7AA5"/>
    <w:rsid w:val="494012EE"/>
    <w:rsid w:val="495C67D2"/>
    <w:rsid w:val="498948AA"/>
    <w:rsid w:val="49994D4E"/>
    <w:rsid w:val="49E04860"/>
    <w:rsid w:val="49F243DB"/>
    <w:rsid w:val="49FB156F"/>
    <w:rsid w:val="49FC5D5A"/>
    <w:rsid w:val="4A286E62"/>
    <w:rsid w:val="4A471230"/>
    <w:rsid w:val="4A780610"/>
    <w:rsid w:val="4A8E676D"/>
    <w:rsid w:val="4AC54194"/>
    <w:rsid w:val="4B0C433A"/>
    <w:rsid w:val="4B35476F"/>
    <w:rsid w:val="4B475260"/>
    <w:rsid w:val="4B5A07E8"/>
    <w:rsid w:val="4BA25344"/>
    <w:rsid w:val="4BDA4326"/>
    <w:rsid w:val="4BEB36BA"/>
    <w:rsid w:val="4BEF33B4"/>
    <w:rsid w:val="4C2F38A5"/>
    <w:rsid w:val="4C320988"/>
    <w:rsid w:val="4C331F8F"/>
    <w:rsid w:val="4C54044A"/>
    <w:rsid w:val="4C7306FC"/>
    <w:rsid w:val="4C7C5EF5"/>
    <w:rsid w:val="4CB57E51"/>
    <w:rsid w:val="4CEE0B24"/>
    <w:rsid w:val="4CF514BF"/>
    <w:rsid w:val="4D0F7FFF"/>
    <w:rsid w:val="4D1717E9"/>
    <w:rsid w:val="4D287306"/>
    <w:rsid w:val="4D3B2BA3"/>
    <w:rsid w:val="4D9E3AFA"/>
    <w:rsid w:val="4DC12B9F"/>
    <w:rsid w:val="4E233D62"/>
    <w:rsid w:val="4E962786"/>
    <w:rsid w:val="4ECF2AD4"/>
    <w:rsid w:val="4F195165"/>
    <w:rsid w:val="4F273FBE"/>
    <w:rsid w:val="4F2C6C47"/>
    <w:rsid w:val="4F2F65F9"/>
    <w:rsid w:val="4F31194C"/>
    <w:rsid w:val="4F506DD9"/>
    <w:rsid w:val="4F602AB3"/>
    <w:rsid w:val="4F6C34E7"/>
    <w:rsid w:val="500D6ABF"/>
    <w:rsid w:val="501C315F"/>
    <w:rsid w:val="502B5150"/>
    <w:rsid w:val="506505B6"/>
    <w:rsid w:val="5082298F"/>
    <w:rsid w:val="508A631B"/>
    <w:rsid w:val="50A867A1"/>
    <w:rsid w:val="50C231AF"/>
    <w:rsid w:val="50C64E79"/>
    <w:rsid w:val="51121E6C"/>
    <w:rsid w:val="5145397C"/>
    <w:rsid w:val="51966FAB"/>
    <w:rsid w:val="51C714B0"/>
    <w:rsid w:val="52085A22"/>
    <w:rsid w:val="52242D7E"/>
    <w:rsid w:val="52255532"/>
    <w:rsid w:val="52545EA1"/>
    <w:rsid w:val="527313D2"/>
    <w:rsid w:val="52A5133D"/>
    <w:rsid w:val="52AE4A26"/>
    <w:rsid w:val="52BA6550"/>
    <w:rsid w:val="52C36E5D"/>
    <w:rsid w:val="52D518F2"/>
    <w:rsid w:val="52F413F9"/>
    <w:rsid w:val="53162A7A"/>
    <w:rsid w:val="53466052"/>
    <w:rsid w:val="53693E4A"/>
    <w:rsid w:val="5393682D"/>
    <w:rsid w:val="53BF72F1"/>
    <w:rsid w:val="53C77F81"/>
    <w:rsid w:val="54013AED"/>
    <w:rsid w:val="542D56BA"/>
    <w:rsid w:val="54405E87"/>
    <w:rsid w:val="545C37CE"/>
    <w:rsid w:val="548825BE"/>
    <w:rsid w:val="548E488F"/>
    <w:rsid w:val="54AC0E74"/>
    <w:rsid w:val="54C10E48"/>
    <w:rsid w:val="54F3048A"/>
    <w:rsid w:val="55024FEE"/>
    <w:rsid w:val="557B1FBF"/>
    <w:rsid w:val="55910872"/>
    <w:rsid w:val="55C8213D"/>
    <w:rsid w:val="55D97B52"/>
    <w:rsid w:val="5624334F"/>
    <w:rsid w:val="56890087"/>
    <w:rsid w:val="56941399"/>
    <w:rsid w:val="56FE35BF"/>
    <w:rsid w:val="5704401B"/>
    <w:rsid w:val="575F7ED8"/>
    <w:rsid w:val="580D12D8"/>
    <w:rsid w:val="580F0E14"/>
    <w:rsid w:val="58175C92"/>
    <w:rsid w:val="582E1C82"/>
    <w:rsid w:val="583A640D"/>
    <w:rsid w:val="5855257E"/>
    <w:rsid w:val="58650B29"/>
    <w:rsid w:val="58907EDA"/>
    <w:rsid w:val="59142B31"/>
    <w:rsid w:val="592A00D8"/>
    <w:rsid w:val="59594278"/>
    <w:rsid w:val="595B7AB0"/>
    <w:rsid w:val="596040BD"/>
    <w:rsid w:val="59965D30"/>
    <w:rsid w:val="59B34C89"/>
    <w:rsid w:val="59C832BE"/>
    <w:rsid w:val="5A3D2DC3"/>
    <w:rsid w:val="5A5F5106"/>
    <w:rsid w:val="5A6951E1"/>
    <w:rsid w:val="5A6F70EB"/>
    <w:rsid w:val="5A8C2C8F"/>
    <w:rsid w:val="5ACB5EC5"/>
    <w:rsid w:val="5ADD34EB"/>
    <w:rsid w:val="5AF54CD9"/>
    <w:rsid w:val="5B0A558E"/>
    <w:rsid w:val="5B327420"/>
    <w:rsid w:val="5B45438C"/>
    <w:rsid w:val="5B5B06A3"/>
    <w:rsid w:val="5BAB33C9"/>
    <w:rsid w:val="5BDB7642"/>
    <w:rsid w:val="5C000D60"/>
    <w:rsid w:val="5C0564B8"/>
    <w:rsid w:val="5C1C1980"/>
    <w:rsid w:val="5C4202EB"/>
    <w:rsid w:val="5C487FF6"/>
    <w:rsid w:val="5C751D60"/>
    <w:rsid w:val="5C7B2FBB"/>
    <w:rsid w:val="5C9003EA"/>
    <w:rsid w:val="5CAA6836"/>
    <w:rsid w:val="5CAF45D9"/>
    <w:rsid w:val="5CB8263D"/>
    <w:rsid w:val="5D09221E"/>
    <w:rsid w:val="5D494E95"/>
    <w:rsid w:val="5D525F29"/>
    <w:rsid w:val="5D704AEA"/>
    <w:rsid w:val="5DB56F1E"/>
    <w:rsid w:val="5DC32AF4"/>
    <w:rsid w:val="5DEB6E57"/>
    <w:rsid w:val="5E565A8E"/>
    <w:rsid w:val="5E5A675C"/>
    <w:rsid w:val="5E5F0DE7"/>
    <w:rsid w:val="5E7A598C"/>
    <w:rsid w:val="5E9F7C10"/>
    <w:rsid w:val="5EA41431"/>
    <w:rsid w:val="5EAF73F9"/>
    <w:rsid w:val="5ED715A9"/>
    <w:rsid w:val="5F3673C4"/>
    <w:rsid w:val="5F3B0796"/>
    <w:rsid w:val="5F463DDB"/>
    <w:rsid w:val="5F4D6FE9"/>
    <w:rsid w:val="5F563F98"/>
    <w:rsid w:val="5FB33FD2"/>
    <w:rsid w:val="5FBE1B5B"/>
    <w:rsid w:val="600D4872"/>
    <w:rsid w:val="602F47E9"/>
    <w:rsid w:val="604B0B39"/>
    <w:rsid w:val="607C288E"/>
    <w:rsid w:val="60890F6F"/>
    <w:rsid w:val="60A26D69"/>
    <w:rsid w:val="60C95C15"/>
    <w:rsid w:val="60DC2E87"/>
    <w:rsid w:val="61334426"/>
    <w:rsid w:val="61351088"/>
    <w:rsid w:val="61E53D27"/>
    <w:rsid w:val="622C0E17"/>
    <w:rsid w:val="62605093"/>
    <w:rsid w:val="62695C01"/>
    <w:rsid w:val="62775FD3"/>
    <w:rsid w:val="627E3805"/>
    <w:rsid w:val="62805827"/>
    <w:rsid w:val="62EC6490"/>
    <w:rsid w:val="63D01E3F"/>
    <w:rsid w:val="63E43B3C"/>
    <w:rsid w:val="640E4535"/>
    <w:rsid w:val="643A375C"/>
    <w:rsid w:val="64466AD2"/>
    <w:rsid w:val="644D74F4"/>
    <w:rsid w:val="645F71AC"/>
    <w:rsid w:val="646F78AA"/>
    <w:rsid w:val="6482678D"/>
    <w:rsid w:val="64AA5237"/>
    <w:rsid w:val="65253FDA"/>
    <w:rsid w:val="65300472"/>
    <w:rsid w:val="65347A1E"/>
    <w:rsid w:val="65452F82"/>
    <w:rsid w:val="65546A82"/>
    <w:rsid w:val="6560518B"/>
    <w:rsid w:val="65A11F4C"/>
    <w:rsid w:val="65B221E6"/>
    <w:rsid w:val="65DA79A0"/>
    <w:rsid w:val="65DB0E2C"/>
    <w:rsid w:val="6632293D"/>
    <w:rsid w:val="664A365E"/>
    <w:rsid w:val="669D4225"/>
    <w:rsid w:val="66D47E98"/>
    <w:rsid w:val="672158C0"/>
    <w:rsid w:val="677B0314"/>
    <w:rsid w:val="677F6F74"/>
    <w:rsid w:val="67CA2A68"/>
    <w:rsid w:val="67DB2AF0"/>
    <w:rsid w:val="68A11FFC"/>
    <w:rsid w:val="68C013D7"/>
    <w:rsid w:val="693105D7"/>
    <w:rsid w:val="69386092"/>
    <w:rsid w:val="695119B2"/>
    <w:rsid w:val="69584DB0"/>
    <w:rsid w:val="69840267"/>
    <w:rsid w:val="69A407A8"/>
    <w:rsid w:val="69BF6BDD"/>
    <w:rsid w:val="69D31EB9"/>
    <w:rsid w:val="69D83EDA"/>
    <w:rsid w:val="6A192046"/>
    <w:rsid w:val="6A306175"/>
    <w:rsid w:val="6A526EE5"/>
    <w:rsid w:val="6AA560DB"/>
    <w:rsid w:val="6B0B1A2E"/>
    <w:rsid w:val="6B9D2F4E"/>
    <w:rsid w:val="6BA02A3F"/>
    <w:rsid w:val="6BA03046"/>
    <w:rsid w:val="6BC7249D"/>
    <w:rsid w:val="6BD04C6F"/>
    <w:rsid w:val="6BDC20C6"/>
    <w:rsid w:val="6BEB329A"/>
    <w:rsid w:val="6BF86C35"/>
    <w:rsid w:val="6C166F5C"/>
    <w:rsid w:val="6C1D5E3D"/>
    <w:rsid w:val="6C1E448D"/>
    <w:rsid w:val="6C68193F"/>
    <w:rsid w:val="6C783074"/>
    <w:rsid w:val="6C9500C9"/>
    <w:rsid w:val="6C9F05FC"/>
    <w:rsid w:val="6CCD7110"/>
    <w:rsid w:val="6CFA617E"/>
    <w:rsid w:val="6D2D0302"/>
    <w:rsid w:val="6D760823"/>
    <w:rsid w:val="6D806BB4"/>
    <w:rsid w:val="6D894A65"/>
    <w:rsid w:val="6DD50E85"/>
    <w:rsid w:val="6DDD3F44"/>
    <w:rsid w:val="6DF10A88"/>
    <w:rsid w:val="6DF47A72"/>
    <w:rsid w:val="6DF76D93"/>
    <w:rsid w:val="6E2E1E7D"/>
    <w:rsid w:val="6E737672"/>
    <w:rsid w:val="6EA5282A"/>
    <w:rsid w:val="6EB04D47"/>
    <w:rsid w:val="6EC425A0"/>
    <w:rsid w:val="6EDD2A32"/>
    <w:rsid w:val="6F593630"/>
    <w:rsid w:val="6F620721"/>
    <w:rsid w:val="6F7076E4"/>
    <w:rsid w:val="6F9D176F"/>
    <w:rsid w:val="6FB04A89"/>
    <w:rsid w:val="6FCA78EF"/>
    <w:rsid w:val="6FE864B6"/>
    <w:rsid w:val="7040659E"/>
    <w:rsid w:val="704412F5"/>
    <w:rsid w:val="70CF2E0D"/>
    <w:rsid w:val="70F55BA8"/>
    <w:rsid w:val="70F57C3D"/>
    <w:rsid w:val="711C6296"/>
    <w:rsid w:val="7148570A"/>
    <w:rsid w:val="714B6FA9"/>
    <w:rsid w:val="71551BD5"/>
    <w:rsid w:val="71785618"/>
    <w:rsid w:val="719173FA"/>
    <w:rsid w:val="71C63C72"/>
    <w:rsid w:val="71C965BE"/>
    <w:rsid w:val="727069B4"/>
    <w:rsid w:val="72AD133E"/>
    <w:rsid w:val="72F14A43"/>
    <w:rsid w:val="733E6754"/>
    <w:rsid w:val="734D525A"/>
    <w:rsid w:val="737D0B03"/>
    <w:rsid w:val="73BB0416"/>
    <w:rsid w:val="73D31E97"/>
    <w:rsid w:val="73E133AB"/>
    <w:rsid w:val="73E612C3"/>
    <w:rsid w:val="74674908"/>
    <w:rsid w:val="747D4685"/>
    <w:rsid w:val="74AF4CFD"/>
    <w:rsid w:val="7550560B"/>
    <w:rsid w:val="756845CD"/>
    <w:rsid w:val="757906F5"/>
    <w:rsid w:val="758E216C"/>
    <w:rsid w:val="762F1A8F"/>
    <w:rsid w:val="763A78B0"/>
    <w:rsid w:val="763C2FCD"/>
    <w:rsid w:val="7646191B"/>
    <w:rsid w:val="769E45BB"/>
    <w:rsid w:val="76D25BC0"/>
    <w:rsid w:val="76E41FD4"/>
    <w:rsid w:val="77130569"/>
    <w:rsid w:val="77281135"/>
    <w:rsid w:val="77407237"/>
    <w:rsid w:val="7743475F"/>
    <w:rsid w:val="77503688"/>
    <w:rsid w:val="77F160D3"/>
    <w:rsid w:val="77F63BF7"/>
    <w:rsid w:val="77F6629C"/>
    <w:rsid w:val="78212811"/>
    <w:rsid w:val="784D2C1B"/>
    <w:rsid w:val="78CC6C6A"/>
    <w:rsid w:val="79134850"/>
    <w:rsid w:val="791372BB"/>
    <w:rsid w:val="79B0623B"/>
    <w:rsid w:val="7A123748"/>
    <w:rsid w:val="7A2533FD"/>
    <w:rsid w:val="7A345D59"/>
    <w:rsid w:val="7A9E7923"/>
    <w:rsid w:val="7ADE32A3"/>
    <w:rsid w:val="7AEA32BE"/>
    <w:rsid w:val="7B2737E9"/>
    <w:rsid w:val="7B564EC8"/>
    <w:rsid w:val="7B5733E2"/>
    <w:rsid w:val="7B781151"/>
    <w:rsid w:val="7B9861E4"/>
    <w:rsid w:val="7BC57958"/>
    <w:rsid w:val="7BDF0A19"/>
    <w:rsid w:val="7BE774B8"/>
    <w:rsid w:val="7C047802"/>
    <w:rsid w:val="7C0A3603"/>
    <w:rsid w:val="7C0B180E"/>
    <w:rsid w:val="7C3A18F2"/>
    <w:rsid w:val="7C3F770A"/>
    <w:rsid w:val="7C60423E"/>
    <w:rsid w:val="7C741AA9"/>
    <w:rsid w:val="7C7554D3"/>
    <w:rsid w:val="7CA659DB"/>
    <w:rsid w:val="7CB67C2D"/>
    <w:rsid w:val="7D7A0E23"/>
    <w:rsid w:val="7DDE371C"/>
    <w:rsid w:val="7E245210"/>
    <w:rsid w:val="7E345FE1"/>
    <w:rsid w:val="7E3B3A15"/>
    <w:rsid w:val="7E621509"/>
    <w:rsid w:val="7E7B38B3"/>
    <w:rsid w:val="7E9868C2"/>
    <w:rsid w:val="7F2A14D1"/>
    <w:rsid w:val="7F4852A7"/>
    <w:rsid w:val="7F614579"/>
    <w:rsid w:val="7F972282"/>
    <w:rsid w:val="7F9D1EA4"/>
    <w:rsid w:val="7FC505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4">
    <w:name w:val="heading 1"/>
    <w:basedOn w:val="1"/>
    <w:next w:val="1"/>
    <w:link w:val="26"/>
    <w:qFormat/>
    <w:uiPriority w:val="0"/>
    <w:pPr>
      <w:keepNext/>
      <w:numPr>
        <w:ilvl w:val="0"/>
        <w:numId w:val="1"/>
      </w:numPr>
      <w:spacing w:beforeLines="100" w:afterLines="50"/>
      <w:outlineLvl w:val="0"/>
    </w:pPr>
    <w:rPr>
      <w:rFonts w:ascii="宋体" w:hAnsi="宋体"/>
      <w:b/>
      <w:bCs/>
      <w:kern w:val="24"/>
      <w:sz w:val="30"/>
      <w:u w:color="000000"/>
    </w:rPr>
  </w:style>
  <w:style w:type="paragraph" w:styleId="5">
    <w:name w:val="heading 2"/>
    <w:basedOn w:val="1"/>
    <w:next w:val="6"/>
    <w:qFormat/>
    <w:uiPriority w:val="0"/>
    <w:pPr>
      <w:keepNext/>
      <w:keepLines/>
      <w:spacing w:before="260" w:beforeLines="0" w:after="260" w:afterLines="0" w:line="416" w:lineRule="auto"/>
      <w:outlineLvl w:val="1"/>
    </w:pPr>
    <w:rPr>
      <w:rFonts w:ascii="Cambria" w:hAnsi="Cambria"/>
      <w:b/>
      <w:bCs/>
      <w:sz w:val="30"/>
      <w:szCs w:val="32"/>
    </w:rPr>
  </w:style>
  <w:style w:type="paragraph" w:styleId="7">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kern w:val="0"/>
      <w:sz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6">
    <w:name w:val="Normal Indent"/>
    <w:basedOn w:val="1"/>
    <w:unhideWhenUsed/>
    <w:qFormat/>
    <w:uiPriority w:val="0"/>
    <w:pPr>
      <w:ind w:firstLine="420" w:firstLineChars="200"/>
    </w:p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qFormat/>
    <w:uiPriority w:val="0"/>
    <w:pPr>
      <w:shd w:val="clear" w:color="auto" w:fill="000080"/>
    </w:pPr>
  </w:style>
  <w:style w:type="paragraph" w:styleId="10">
    <w:name w:val="annotation text"/>
    <w:basedOn w:val="1"/>
    <w:link w:val="28"/>
    <w:qFormat/>
    <w:uiPriority w:val="0"/>
  </w:style>
  <w:style w:type="paragraph" w:styleId="11">
    <w:name w:val="Plain Text"/>
    <w:basedOn w:val="1"/>
    <w:qFormat/>
    <w:uiPriority w:val="99"/>
    <w:rPr>
      <w:rFonts w:ascii="宋体" w:hAnsi="Courier New" w:cs="Courier New"/>
      <w:szCs w:val="21"/>
    </w:rPr>
  </w:style>
  <w:style w:type="paragraph" w:styleId="12">
    <w:name w:val="Balloon Text"/>
    <w:basedOn w:val="1"/>
    <w:link w:val="29"/>
    <w:qFormat/>
    <w:uiPriority w:val="0"/>
    <w:rPr>
      <w:sz w:val="18"/>
      <w:szCs w:val="18"/>
    </w:rPr>
  </w:style>
  <w:style w:type="paragraph" w:styleId="13">
    <w:name w:val="footer"/>
    <w:basedOn w:val="1"/>
    <w:link w:val="25"/>
    <w:qFormat/>
    <w:uiPriority w:val="0"/>
    <w:pPr>
      <w:tabs>
        <w:tab w:val="center" w:pos="4153"/>
        <w:tab w:val="right" w:pos="8306"/>
      </w:tabs>
      <w:snapToGrid w:val="0"/>
    </w:pPr>
    <w:rPr>
      <w:sz w:val="18"/>
    </w:rPr>
  </w:style>
  <w:style w:type="paragraph" w:styleId="14">
    <w:name w:val="header"/>
    <w:basedOn w:val="1"/>
    <w:link w:val="27"/>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spacing w:line="240" w:lineRule="auto"/>
      <w:ind w:firstLine="0" w:firstLineChars="0"/>
    </w:pPr>
    <w:rPr>
      <w:sz w:val="21"/>
    </w:rPr>
  </w:style>
  <w:style w:type="paragraph" w:styleId="16">
    <w:name w:val="toc 2"/>
    <w:basedOn w:val="1"/>
    <w:next w:val="1"/>
    <w:unhideWhenUsed/>
    <w:qFormat/>
    <w:uiPriority w:val="39"/>
    <w:pPr>
      <w:widowControl/>
      <w:spacing w:after="100" w:line="259" w:lineRule="auto"/>
      <w:ind w:left="220"/>
    </w:pPr>
    <w:rPr>
      <w:kern w:val="0"/>
      <w:sz w:val="22"/>
    </w:rPr>
  </w:style>
  <w:style w:type="paragraph" w:styleId="17">
    <w:name w:val="annotation subject"/>
    <w:basedOn w:val="10"/>
    <w:next w:val="10"/>
    <w:link w:val="30"/>
    <w:qFormat/>
    <w:uiPriority w:val="0"/>
    <w:rPr>
      <w:b/>
      <w:bCs/>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rPr>
  </w:style>
  <w:style w:type="character" w:styleId="22">
    <w:name w:val="page number"/>
    <w:semiHidden/>
    <w:qFormat/>
    <w:uiPriority w:val="0"/>
  </w:style>
  <w:style w:type="character" w:styleId="23">
    <w:name w:val="Hyperlink"/>
    <w:qFormat/>
    <w:uiPriority w:val="99"/>
    <w:rPr>
      <w:color w:val="0000FF"/>
      <w:u w:val="single"/>
    </w:rPr>
  </w:style>
  <w:style w:type="character" w:styleId="24">
    <w:name w:val="annotation reference"/>
    <w:qFormat/>
    <w:uiPriority w:val="0"/>
    <w:rPr>
      <w:sz w:val="21"/>
      <w:szCs w:val="21"/>
    </w:rPr>
  </w:style>
  <w:style w:type="character" w:customStyle="1" w:styleId="25">
    <w:name w:val="页脚 字符"/>
    <w:link w:val="13"/>
    <w:qFormat/>
    <w:uiPriority w:val="0"/>
    <w:rPr>
      <w:rFonts w:ascii="Times New Roman" w:hAnsi="Times New Roman" w:eastAsia="宋体" w:cs="Times New Roman"/>
      <w:sz w:val="18"/>
      <w:szCs w:val="24"/>
    </w:rPr>
  </w:style>
  <w:style w:type="character" w:customStyle="1" w:styleId="26">
    <w:name w:val="标题 1 字符"/>
    <w:link w:val="4"/>
    <w:qFormat/>
    <w:uiPriority w:val="0"/>
    <w:rPr>
      <w:rFonts w:ascii="宋体" w:hAnsi="宋体"/>
      <w:b/>
      <w:bCs/>
      <w:kern w:val="24"/>
      <w:sz w:val="30"/>
      <w:szCs w:val="24"/>
      <w:u w:color="000000"/>
    </w:rPr>
  </w:style>
  <w:style w:type="character" w:customStyle="1" w:styleId="27">
    <w:name w:val="页眉 字符"/>
    <w:link w:val="14"/>
    <w:qFormat/>
    <w:uiPriority w:val="0"/>
    <w:rPr>
      <w:rFonts w:ascii="Times New Roman" w:hAnsi="Times New Roman" w:eastAsia="宋体" w:cs="Times New Roman"/>
      <w:sz w:val="18"/>
      <w:szCs w:val="18"/>
    </w:rPr>
  </w:style>
  <w:style w:type="character" w:customStyle="1" w:styleId="28">
    <w:name w:val="批注文字 字符"/>
    <w:link w:val="10"/>
    <w:qFormat/>
    <w:uiPriority w:val="0"/>
    <w:rPr>
      <w:rFonts w:ascii="Times New Roman" w:hAnsi="Times New Roman"/>
      <w:kern w:val="2"/>
      <w:sz w:val="21"/>
      <w:szCs w:val="24"/>
    </w:rPr>
  </w:style>
  <w:style w:type="character" w:customStyle="1" w:styleId="29">
    <w:name w:val="批注框文本 字符"/>
    <w:link w:val="12"/>
    <w:qFormat/>
    <w:uiPriority w:val="0"/>
    <w:rPr>
      <w:rFonts w:ascii="Times New Roman" w:hAnsi="Times New Roman"/>
      <w:kern w:val="2"/>
      <w:sz w:val="18"/>
      <w:szCs w:val="18"/>
    </w:rPr>
  </w:style>
  <w:style w:type="character" w:customStyle="1" w:styleId="30">
    <w:name w:val="批注主题 字符"/>
    <w:link w:val="17"/>
    <w:qFormat/>
    <w:uiPriority w:val="0"/>
    <w:rPr>
      <w:rFonts w:ascii="Times New Roman" w:hAnsi="Times New Roman"/>
      <w:b/>
      <w:bCs/>
      <w:kern w:val="2"/>
      <w:sz w:val="21"/>
      <w:szCs w:val="24"/>
    </w:rPr>
  </w:style>
  <w:style w:type="paragraph" w:customStyle="1" w:styleId="31">
    <w:name w:val="修订1"/>
    <w:qFormat/>
    <w:uiPriority w:val="0"/>
    <w:rPr>
      <w:rFonts w:ascii="Times New Roman" w:hAnsi="Times New Roman" w:eastAsia="宋体" w:cs="Times New Roman"/>
      <w:kern w:val="2"/>
      <w:sz w:val="21"/>
      <w:szCs w:val="24"/>
      <w:lang w:val="en-US" w:eastAsia="zh-CN" w:bidi="ar-SA"/>
    </w:rPr>
  </w:style>
  <w:style w:type="paragraph" w:customStyle="1" w:styleId="32">
    <w:name w:val="ZHR标题2"/>
    <w:qFormat/>
    <w:uiPriority w:val="0"/>
    <w:pPr>
      <w:spacing w:beforeLines="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3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修订2"/>
    <w:hidden/>
    <w:unhideWhenUsed/>
    <w:qFormat/>
    <w:uiPriority w:val="99"/>
    <w:rPr>
      <w:rFonts w:ascii="Times New Roman" w:hAnsi="Times New Roman" w:eastAsia="宋体" w:cs="Times New Roman"/>
      <w:kern w:val="2"/>
      <w:sz w:val="24"/>
      <w:szCs w:val="24"/>
      <w:lang w:val="en-US" w:eastAsia="zh-CN" w:bidi="ar-SA"/>
    </w:rPr>
  </w:style>
  <w:style w:type="paragraph" w:customStyle="1" w:styleId="35">
    <w:name w:val="WPSOffice手动目录 1"/>
    <w:qFormat/>
    <w:uiPriority w:val="0"/>
    <w:rPr>
      <w:rFonts w:ascii="Times New Roman" w:hAnsi="Times New Roman" w:eastAsia="宋体" w:cs="Times New Roman"/>
      <w:lang w:val="en-US" w:eastAsia="zh-CN" w:bidi="ar-SA"/>
    </w:rPr>
  </w:style>
  <w:style w:type="paragraph" w:customStyle="1" w:styleId="36">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7">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8">
    <w:name w:val="首行缩进"/>
    <w:basedOn w:val="1"/>
    <w:qFormat/>
    <w:uiPriority w:val="0"/>
    <w:pPr>
      <w:spacing w:line="300" w:lineRule="auto"/>
      <w:ind w:firstLine="420" w:firstLineChars="200"/>
    </w:pPr>
    <w:rPr>
      <w:rFonts w:eastAsia="方正书宋简体" w:cs="宋体"/>
      <w:kern w:val="2"/>
      <w:sz w:val="21"/>
      <w:lang w:val="en-US" w:eastAsia="zh-CN" w:bidi="ar-SA"/>
    </w:rPr>
  </w:style>
  <w:style w:type="paragraph" w:customStyle="1" w:styleId="39">
    <w:name w:val="正文首先缩进"/>
    <w:basedOn w:val="1"/>
    <w:qFormat/>
    <w:uiPriority w:val="0"/>
    <w:pPr>
      <w:spacing w:line="360" w:lineRule="auto"/>
      <w:ind w:firstLine="420" w:firstLineChars="200"/>
    </w:pPr>
  </w:style>
  <w:style w:type="paragraph" w:customStyle="1" w:styleId="40">
    <w:name w:val="Bg"/>
    <w:basedOn w:val="1"/>
    <w:qFormat/>
    <w:uiPriority w:val="0"/>
    <w:pPr>
      <w:topLinePunct/>
      <w:snapToGrid w:val="0"/>
      <w:spacing w:before="60" w:after="60"/>
      <w:contextualSpacing/>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B3E7A-6C58-421D-A3C7-862D2BF5EF1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16</Pages>
  <Words>9835</Words>
  <Characters>10821</Characters>
  <Lines>128</Lines>
  <Paragraphs>114</Paragraphs>
  <TotalTime>0</TotalTime>
  <ScaleCrop>false</ScaleCrop>
  <LinksUpToDate>false</LinksUpToDate>
  <CharactersWithSpaces>10963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2025-03-19T16:10:00Z</dcterms:created>
  <dc:creator>Chen Xiangyu</dc:creator>
  <cp:lastModifiedBy>bsj_weichenzhao</cp:lastModifiedBy>
  <cp:lastPrinted>2025-03-06T07:48:00Z</cp:lastPrinted>
  <dcterms:modified xsi:type="dcterms:W3CDTF">2026-06-30T09:01:18Z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00E6CABBB689427287090CAF0D0EBB46_13</vt:lpwstr>
  </property>
  <property fmtid="{D5CDD505-2E9C-101B-9397-08002B2CF9AE}" pid="4" name="KSOTemplateDocerSaveRecord">
    <vt:lpwstr>eyJoZGlkIjoiZjVhNGJiMWVmZTg4ZjFhYWZhYWFiMzBkODkwYWRkZmUiLCJ1c2VySWQiOiIyNjMwNzY1ODMifQ==</vt:lpwstr>
  </property>
</Properties>
</file>