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t>超高压公司百色局零星采购项目报价文件</w:t>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【超高压输电公司百色局2026年职工创新项目（面向超高压输电线路登塔作业的无源储能式外骨骼机器人研发）相关技术服务零星采购】</w:t>
      </w:r>
    </w:p>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一、资格要求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资格要求</w:t>
            </w:r>
          </w:p>
        </w:tc>
        <w:tc>
          <w:tcPr>
            <w:tcW w:w="4006"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项目需求标准</w:t>
            </w:r>
          </w:p>
        </w:tc>
        <w:tc>
          <w:tcPr>
            <w:tcW w:w="2841"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投标方响应</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（是否满足或偏差情况）</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bookmarkStart w:id="3" w:name="_GoBack" w:colFirst="0" w:colLast="2"/>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5.不允许转包。</w:t>
            </w:r>
          </w:p>
          <w:p>
            <w:pPr>
              <w:keepNext w:val="0"/>
              <w:keepLines w:val="0"/>
              <w:widowControl/>
              <w:suppressLineNumbers w:val="0"/>
              <w:shd w:val="clear"/>
              <w:jc w:val="left"/>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6.其他不得存在的情形：南方电网公司供应链管理部门暂停或取消其投标资格，且未解除的。</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投标方必填</w:t>
            </w:r>
          </w:p>
        </w:tc>
      </w:tr>
      <w:bookmarkEnd w:id="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44"/>
                <w:sz w:val="24"/>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专用资格资质要求</w:t>
            </w:r>
          </w:p>
        </w:tc>
        <w:tc>
          <w:tcPr>
            <w:tcW w:w="4006" w:type="dxa"/>
            <w:vAlign w:val="center"/>
          </w:tcPr>
          <w:p>
            <w:pPr>
              <w:widowControl/>
              <w:jc w:val="left"/>
              <w:textAlignment w:val="center"/>
              <w:rPr>
                <w:rFonts w:ascii="宋体" w:hAnsi="宋体" w:eastAsia="宋体" w:cs="宋体"/>
                <w:b/>
                <w:bCs/>
                <w:color w:val="000000" w:themeColor="text1"/>
                <w:kern w:val="44"/>
                <w:sz w:val="24"/>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投标人具有机械设计研究或开发相关业绩，并提供相关证明文件。</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bl>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商务要求</w:t>
            </w:r>
          </w:p>
        </w:tc>
        <w:tc>
          <w:tcPr>
            <w:tcW w:w="4006"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项目需求标准</w:t>
            </w:r>
          </w:p>
        </w:tc>
        <w:tc>
          <w:tcPr>
            <w:tcW w:w="2841"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投标方响应</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（是否满足或偏差情况）</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2.1 服务要求</w:t>
            </w:r>
          </w:p>
        </w:tc>
        <w:tc>
          <w:tcPr>
            <w:tcW w:w="4006" w:type="dxa"/>
            <w:vAlign w:val="center"/>
          </w:tcPr>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default" w:ascii="宋体" w:hAnsi="宋体" w:eastAsia="宋体" w:cs="宋体"/>
                <w:color w:val="000000" w:themeColor="text1"/>
                <w:kern w:val="0"/>
                <w:sz w:val="24"/>
                <w:lang w:val="en-US" w:eastAsia="zh-CN" w:bidi="ar"/>
                <w14:textFill>
                  <w14:solidFill>
                    <w14:schemeClr w14:val="tx1"/>
                  </w14:solidFill>
                </w14:textFill>
              </w:rPr>
              <w:t>1</w:t>
            </w:r>
            <w:r>
              <w:rPr>
                <w:rFonts w:hint="eastAsia" w:ascii="宋体" w:hAnsi="宋体" w:eastAsia="宋体" w:cs="宋体"/>
                <w:color w:val="000000" w:themeColor="text1"/>
                <w:kern w:val="0"/>
                <w:sz w:val="24"/>
                <w:lang w:val="en-US" w:eastAsia="zh-CN" w:bidi="ar"/>
                <w14:textFill>
                  <w14:solidFill>
                    <w14:schemeClr w14:val="tx1"/>
                  </w14:solidFill>
                </w14:textFill>
              </w:rPr>
              <w:t>、全流程配套技术服务覆盖</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服务商需完整支撑「面向超高压输电线路登塔作业的无源储能式外骨骼机器人研发」全周期工作，涵盖前期力学建模、核心机构研发、轻量化结构设计、现场实塔测试、成果汇编全阶段配套技术服务，全程配合百色局项目负责人开展职工创新项目实施，保障项目按期完成全部预期成果。</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2、专业技术人员配合服务</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按需赴百色局500kV线路铁塔现场开展数据采集、样机调试、登塔对比试验；全程配合项目开展数据测算、仿真分析、故障调试、性能优化工作。</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3、配合全套技术文档编制服务</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按项目预期成果要求，配合编制全套规范技术资料，包含：整机技术设计与计算文档、实塔登攀测试报告、外骨骼应用指南与标准化操作手册、可投稿期刊论文文稿，所有文档格式、内容满足南网职工创新项目验收归档标准。</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4、样机研发配套技术支撑服务</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为无源储能式外骨骼机器人1套样机研发提供全套技术服务，包含机构方案设计、力学仿真、零部件参数计算、轻量化结构优化、势能回收机构调试，确保整机满足重量、助力效率、穿戴适配等全部指标要求。</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5、现场试验与效能评估服务</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配合在500kV猫头塔、酒杯塔开展多组实塔登塔对比试验，完成人体心率、血氧、RPE疲劳量表、登塔耗时、关节肌肉负荷等数据采集与分析，出具完整效能评估结论，形成标准化现场应用规范。</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6、项目验收全流程保障服务</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全程配合百色局完成职工创新项目阶段性检查、最终验收；按需提供技术汇报材料、试验原始数据、样机调试记录等佐证材料，协助完成创新成果整理、资料归档。</w:t>
            </w:r>
          </w:p>
          <w:p>
            <w:pPr>
              <w:widowControl/>
              <w:jc w:val="left"/>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7、售后技术优化服务</w:t>
            </w:r>
          </w:p>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项目验收完成后提供周期技术答疑、样机优化调整、文档修订完善服务，针对登塔作业现场使用反馈对机械结构、助力逻辑、穿戴结构提供技术方案。</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2.2 服务地址</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招标方指定（需到百色局所辖线路开展服务）</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2.3 服务期限要求</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2026年12月20日前。</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2.4 服务人员要求</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2.5 发票要求</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需提供符合规定税率的全额发票。</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2.6 结算及支付条件</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2.7 服务方式要求</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现场服务+远程服务</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2.8 售后服务要求</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质保期1年。招标方有疑问时，投标方应安排专业技术人员积极配合，并提供专业的技术支持和意见建议。</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2.9 其他要求</w:t>
            </w:r>
          </w:p>
        </w:tc>
        <w:tc>
          <w:tcPr>
            <w:tcW w:w="4006"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报价包含完成本项目所需全部费用。</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bl>
    <w:p>
      <w:pPr>
        <w:rPr>
          <w:b/>
          <w:bCs/>
          <w:color w:val="000000" w:themeColor="text1"/>
          <w:kern w:val="44"/>
          <w:sz w:val="30"/>
          <w:szCs w:val="30"/>
          <w14:textFill>
            <w14:solidFill>
              <w14:schemeClr w14:val="tx1"/>
            </w14:solidFill>
          </w14:textFill>
        </w:rPr>
      </w:pPr>
    </w:p>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三、技术要求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技术要求</w:t>
            </w:r>
          </w:p>
        </w:tc>
        <w:tc>
          <w:tcPr>
            <w:tcW w:w="4234"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项目需求标准</w:t>
            </w:r>
          </w:p>
        </w:tc>
        <w:tc>
          <w:tcPr>
            <w:tcW w:w="2841"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投标方响应</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（是否满足或偏差情况）</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3.1 技术服务内容及标准</w:t>
            </w:r>
          </w:p>
        </w:tc>
        <w:tc>
          <w:tcPr>
            <w:tcW w:w="4234" w:type="dxa"/>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1、力学建模服务：采集500kV猫头塔、酒杯塔登塔受力能耗数据，搭建人-机-塔耦合动力学模型，输出储能机构设计参数；</w:t>
            </w:r>
          </w:p>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2、储能机构研发：研制弹簧势能回收模块，势能回收效率≥70%，整机自重≤6kg，无源无电池，配备髋膝二级助力传动结构；</w:t>
            </w:r>
          </w:p>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3、轻量化结构设计：碳纤+铝合金混合结构，穿戴尺寸适160-185cm/50-90kg人员，穿戴时长≤2分钟，步态运动无阻碍；</w:t>
            </w:r>
          </w:p>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4、现场实测评估：在500kV铁塔开展对照登塔试验，采集心率、疲劳度、耗时数据，验证减负50%以上，出具实塔测试报告；</w:t>
            </w:r>
          </w:p>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5、成果交付标准：配合开展配套全套设计计算文件、现场应用操作指南、可投稿期刊论文，全部技术指标、资料满足创新项目验收要求。</w:t>
            </w:r>
          </w:p>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6</w:t>
            </w: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投标方根据招标方制定的项目研发方案要求开展研制工作，并有义务向采购方（招标方）明确整个研制过程可能存在的风险因素（如装置结构稳定性、力学性能达标等方面风险）和防控措施；若现场条件不满足研制要求，投标方应积极配合调整研发方案，编制新的解决方案并提供相应资源支持。</w:t>
            </w:r>
          </w:p>
          <w:p>
            <w:pPr>
              <w:widowControl/>
              <w:jc w:val="left"/>
              <w:textAlignment w:val="cente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
                <w14:textFill>
                  <w14:solidFill>
                    <w14:schemeClr w14:val="tx1"/>
                  </w14:solidFill>
                </w14:textFill>
              </w:rPr>
              <w:t>7</w:t>
            </w:r>
            <w: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投标方所安排技术人员应严格遵守招标方现场安全管理规定，清楚并严格遵守补充安全管理协议各项要求及罚则。</w:t>
            </w:r>
          </w:p>
        </w:tc>
        <w:tc>
          <w:tcPr>
            <w:tcW w:w="2841" w:type="dxa"/>
            <w:shd w:val="clear" w:color="auto" w:fill="auto"/>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3.2 技术服务质量要求及验收标准</w:t>
            </w:r>
          </w:p>
        </w:tc>
        <w:tc>
          <w:tcPr>
            <w:tcW w:w="4234"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1、技术服务成果包括：</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无源储能式外骨骼机器人样机1套</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w:t>
            </w:r>
            <w:r>
              <w:rPr>
                <w:rFonts w:hint="eastAsia" w:ascii="宋体" w:hAnsi="宋体" w:eastAsia="宋体" w:cs="宋体"/>
                <w:color w:val="000000" w:themeColor="text1"/>
                <w:kern w:val="0"/>
                <w:sz w:val="24"/>
                <w:lang w:val="en-US" w:eastAsia="zh-CN" w:bidi="ar"/>
                <w14:textFill>
                  <w14:solidFill>
                    <w14:schemeClr w14:val="tx1"/>
                  </w14:solidFill>
                </w14:textFill>
              </w:rPr>
              <w:t>)配合</w:t>
            </w:r>
            <w:r>
              <w:rPr>
                <w:rFonts w:hint="eastAsia" w:ascii="宋体" w:hAnsi="宋体" w:eastAsia="宋体" w:cs="宋体"/>
                <w:color w:val="000000" w:themeColor="text1"/>
                <w:kern w:val="0"/>
                <w:sz w:val="24"/>
                <w:lang w:bidi="ar"/>
                <w14:textFill>
                  <w14:solidFill>
                    <w14:schemeClr w14:val="tx1"/>
                  </w14:solidFill>
                </w14:textFill>
              </w:rPr>
              <w:t>编制技术设计与计算文档1套</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w:t>
            </w:r>
            <w:r>
              <w:rPr>
                <w:rFonts w:hint="eastAsia" w:ascii="宋体" w:hAnsi="宋体" w:eastAsia="宋体" w:cs="宋体"/>
                <w:color w:val="000000" w:themeColor="text1"/>
                <w:kern w:val="0"/>
                <w:sz w:val="24"/>
                <w:lang w:val="en-US" w:eastAsia="zh-CN" w:bidi="ar"/>
                <w14:textFill>
                  <w14:solidFill>
                    <w14:schemeClr w14:val="tx1"/>
                  </w14:solidFill>
                </w14:textFill>
              </w:rPr>
              <w:t>)配合</w:t>
            </w:r>
            <w:r>
              <w:rPr>
                <w:rFonts w:hint="eastAsia" w:ascii="宋体" w:hAnsi="宋体" w:eastAsia="宋体" w:cs="宋体"/>
                <w:color w:val="000000" w:themeColor="text1"/>
                <w:kern w:val="0"/>
                <w:sz w:val="24"/>
                <w:lang w:bidi="ar"/>
                <w14:textFill>
                  <w14:solidFill>
                    <w14:schemeClr w14:val="tx1"/>
                  </w14:solidFill>
                </w14:textFill>
              </w:rPr>
              <w:t>编制500kV铁塔实塔登攀测试报告1份</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4</w:t>
            </w:r>
            <w:r>
              <w:rPr>
                <w:rFonts w:hint="eastAsia" w:ascii="宋体" w:hAnsi="宋体" w:eastAsia="宋体" w:cs="宋体"/>
                <w:color w:val="000000" w:themeColor="text1"/>
                <w:kern w:val="0"/>
                <w:sz w:val="24"/>
                <w:lang w:val="en-US" w:eastAsia="zh-CN" w:bidi="ar"/>
                <w14:textFill>
                  <w14:solidFill>
                    <w14:schemeClr w14:val="tx1"/>
                  </w14:solidFill>
                </w14:textFill>
              </w:rPr>
              <w:t>)配合</w:t>
            </w:r>
            <w:r>
              <w:rPr>
                <w:rFonts w:hint="eastAsia" w:ascii="宋体" w:hAnsi="宋体" w:eastAsia="宋体" w:cs="宋体"/>
                <w:color w:val="000000" w:themeColor="text1"/>
                <w:kern w:val="0"/>
                <w:sz w:val="24"/>
                <w:lang w:bidi="ar"/>
                <w14:textFill>
                  <w14:solidFill>
                    <w14:schemeClr w14:val="tx1"/>
                  </w14:solidFill>
                </w14:textFill>
              </w:rPr>
              <w:t>编制超高压线路外骨骼应用指南及操作手册。</w:t>
            </w:r>
          </w:p>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5</w:t>
            </w:r>
            <w:r>
              <w:rPr>
                <w:rFonts w:hint="eastAsia" w:ascii="宋体" w:hAnsi="宋体" w:eastAsia="宋体" w:cs="宋体"/>
                <w:color w:val="000000" w:themeColor="text1"/>
                <w:kern w:val="0"/>
                <w:sz w:val="24"/>
                <w:lang w:val="en-US" w:eastAsia="zh-CN" w:bidi="ar"/>
                <w14:textFill>
                  <w14:solidFill>
                    <w14:schemeClr w14:val="tx1"/>
                  </w14:solidFill>
                </w14:textFill>
              </w:rPr>
              <w:t>)配合</w:t>
            </w:r>
            <w:r>
              <w:rPr>
                <w:rFonts w:hint="eastAsia" w:ascii="宋体" w:hAnsi="宋体" w:eastAsia="宋体" w:cs="宋体"/>
                <w:color w:val="000000" w:themeColor="text1"/>
                <w:kern w:val="0"/>
                <w:sz w:val="24"/>
                <w:lang w:bidi="ar"/>
                <w14:textFill>
                  <w14:solidFill>
                    <w14:schemeClr w14:val="tx1"/>
                  </w14:solidFill>
                </w14:textFill>
              </w:rPr>
              <w:t>编制期刊论文文本1项。</w:t>
            </w:r>
          </w:p>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2、质量要求及验收标准：</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所有技术方案、仿真计算、试验数据贴合超高压登塔作业工况，全部性能指标达标，无负偏离；</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服务全过程响应及时，现场调试、资料修改配合高效，样机运行稳定、穿戴适配无卡顿；</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交付全套完整可溯源技术资料，图纸、报告、</w:t>
            </w:r>
            <w:r>
              <w:rPr>
                <w:rFonts w:hint="eastAsia" w:ascii="宋体" w:hAnsi="宋体" w:eastAsia="宋体" w:cs="宋体"/>
                <w:color w:val="000000" w:themeColor="text1"/>
                <w:kern w:val="0"/>
                <w:sz w:val="24"/>
                <w:lang w:eastAsia="zh-CN" w:bidi="ar"/>
                <w14:textFill>
                  <w14:solidFill>
                    <w14:schemeClr w14:val="tx1"/>
                  </w14:solidFill>
                </w14:textFill>
              </w:rPr>
              <w:t>配合撰写的</w:t>
            </w:r>
            <w:r>
              <w:rPr>
                <w:rFonts w:hint="eastAsia" w:ascii="宋体" w:hAnsi="宋体" w:eastAsia="宋体" w:cs="宋体"/>
                <w:color w:val="000000" w:themeColor="text1"/>
                <w:kern w:val="0"/>
                <w:sz w:val="24"/>
                <w:lang w:bidi="ar"/>
                <w14:textFill>
                  <w14:solidFill>
                    <w14:schemeClr w14:val="tx1"/>
                  </w14:solidFill>
                </w14:textFill>
              </w:rPr>
              <w:t>论文规范齐全，满足职工创新项目归档验收；</w:t>
            </w:r>
          </w:p>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4</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实塔测试可复现减负50%以上、势能回收≥70%等核心效果，通过百色局现场效能核验即为验收合格。</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3.3 其他技术要求</w:t>
            </w:r>
          </w:p>
        </w:tc>
        <w:tc>
          <w:tcPr>
            <w:tcW w:w="4234" w:type="dxa"/>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1）投标方应配合招标方根据项目研究过程中的技术亮点和创新点，提供相关技术资料和数据支持，协助专利撰写人员完成</w:t>
            </w:r>
            <w:r>
              <w:rPr>
                <w:rFonts w:hint="eastAsia" w:ascii="宋体" w:hAnsi="宋体" w:eastAsia="宋体" w:cs="宋体"/>
                <w:color w:val="000000" w:themeColor="text1"/>
                <w:kern w:val="0"/>
                <w:sz w:val="24"/>
                <w:lang w:eastAsia="zh-CN" w:bidi="ar"/>
                <w14:textFill>
                  <w14:solidFill>
                    <w14:schemeClr w14:val="tx1"/>
                  </w14:solidFill>
                </w14:textFill>
              </w:rPr>
              <w:t>论文</w:t>
            </w:r>
            <w:r>
              <w:rPr>
                <w:rFonts w:hint="eastAsia" w:ascii="宋体" w:hAnsi="宋体" w:eastAsia="宋体" w:cs="宋体"/>
                <w:color w:val="000000" w:themeColor="text1"/>
                <w:kern w:val="0"/>
                <w:sz w:val="24"/>
                <w:lang w:bidi="ar"/>
                <w14:textFill>
                  <w14:solidFill>
                    <w14:schemeClr w14:val="tx1"/>
                  </w14:solidFill>
                </w14:textFill>
              </w:rPr>
              <w:t>文本的撰写，</w:t>
            </w:r>
            <w:r>
              <w:rPr>
                <w:rFonts w:hint="eastAsia" w:ascii="宋体" w:hAnsi="宋体" w:eastAsia="宋体" w:cs="宋体"/>
                <w:color w:val="000000" w:themeColor="text1"/>
                <w:kern w:val="0"/>
                <w:sz w:val="24"/>
                <w:lang w:eastAsia="zh-CN" w:bidi="ar"/>
                <w14:textFill>
                  <w14:solidFill>
                    <w14:schemeClr w14:val="tx1"/>
                  </w14:solidFill>
                </w14:textFill>
              </w:rPr>
              <w:t>确保论文质量</w:t>
            </w:r>
            <w:r>
              <w:rPr>
                <w:rFonts w:hint="eastAsia" w:ascii="宋体" w:hAnsi="宋体" w:eastAsia="宋体" w:cs="宋体"/>
                <w:color w:val="000000" w:themeColor="text1"/>
                <w:kern w:val="0"/>
                <w:sz w:val="24"/>
                <w:lang w:bidi="ar"/>
                <w14:textFill>
                  <w14:solidFill>
                    <w14:schemeClr w14:val="tx1"/>
                  </w14:solidFill>
                </w14:textFill>
              </w:rPr>
              <w:t>。</w:t>
            </w:r>
          </w:p>
          <w:p>
            <w:pPr>
              <w:widowControl/>
              <w:jc w:val="left"/>
              <w:textAlignment w:val="center"/>
              <w:rPr>
                <w:color w:val="000000" w:themeColor="text1"/>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投标方在项目实施过程中，应每月到现场向招标方汇报项目进展情况，及时沟通解决遇到的技术问题，确保项目按照预定计划顺利推进，如遇不可抗力因素影响项目进度，应及时通知招标方并协商调整项目计划。</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bl>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序号</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工程/服务内容</w:t>
            </w:r>
          </w:p>
        </w:tc>
        <w:tc>
          <w:tcPr>
            <w:tcW w:w="176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ascii="宋体" w:hAnsi="宋体" w:eastAsia="宋体" w:cs="宋体"/>
                <w:b/>
                <w:bCs/>
                <w:color w:val="000000" w:themeColor="text1"/>
                <w:kern w:val="0"/>
                <w:sz w:val="24"/>
                <w:lang w:bidi="ar"/>
                <w14:textFill>
                  <w14:solidFill>
                    <w14:schemeClr w14:val="tx1"/>
                  </w14:solidFill>
                </w14:textFill>
              </w:rPr>
              <w:t>单位</w:t>
            </w:r>
          </w:p>
        </w:tc>
        <w:tc>
          <w:tcPr>
            <w:tcW w:w="17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ascii="宋体" w:hAnsi="宋体" w:eastAsia="宋体" w:cs="宋体"/>
                <w:b/>
                <w:bCs/>
                <w:color w:val="000000" w:themeColor="text1"/>
                <w:kern w:val="0"/>
                <w:sz w:val="24"/>
                <w:lang w:bidi="ar"/>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1</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配合研究生产无源储能式外骨骼机器人样机</w:t>
            </w:r>
          </w:p>
        </w:tc>
        <w:tc>
          <w:tcPr>
            <w:tcW w:w="176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套</w:t>
            </w:r>
          </w:p>
        </w:tc>
        <w:tc>
          <w:tcPr>
            <w:tcW w:w="17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2</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配合撰写技术设计与计算文档</w:t>
            </w:r>
          </w:p>
        </w:tc>
        <w:tc>
          <w:tcPr>
            <w:tcW w:w="176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default"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7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3</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配合撰写500kV铁塔实塔登攀测试报告</w:t>
            </w:r>
          </w:p>
        </w:tc>
        <w:tc>
          <w:tcPr>
            <w:tcW w:w="176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7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4</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配合撰写超高压线路外骨骼应用指南及操作手册</w:t>
            </w:r>
          </w:p>
        </w:tc>
        <w:tc>
          <w:tcPr>
            <w:tcW w:w="176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7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bookmarkStart w:id="0" w:name="_Toc351322324"/>
            <w:bookmarkStart w:id="1" w:name="_Toc432171539"/>
            <w:bookmarkStart w:id="2" w:name="_Toc350159239"/>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5</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配合撰写期刊论文文本</w:t>
            </w:r>
          </w:p>
        </w:tc>
        <w:tc>
          <w:tcPr>
            <w:tcW w:w="176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篇</w:t>
            </w:r>
          </w:p>
        </w:tc>
        <w:tc>
          <w:tcPr>
            <w:tcW w:w="17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6</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7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7</w:t>
            </w:r>
          </w:p>
        </w:tc>
        <w:tc>
          <w:tcPr>
            <w:tcW w:w="4317"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hd w:val="clear"/>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7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hd w:val="clear"/>
              <w:jc w:val="center"/>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i w:val="0"/>
                <w:iCs w:val="0"/>
                <w:color w:val="auto"/>
                <w:kern w:val="0"/>
                <w:sz w:val="24"/>
                <w:szCs w:val="24"/>
                <w:highlight w:val="none"/>
                <w:u w:val="none"/>
                <w:lang w:val="en-US" w:eastAsia="zh-CN" w:bidi="ar"/>
              </w:rPr>
              <w:t>1</w:t>
            </w:r>
          </w:p>
        </w:tc>
      </w:tr>
    </w:tbl>
    <w:p>
      <w:pPr>
        <w:rPr>
          <w:b/>
          <w:bCs/>
          <w:color w:val="auto"/>
          <w:kern w:val="44"/>
          <w:sz w:val="30"/>
          <w:szCs w:val="30"/>
        </w:rPr>
      </w:pPr>
      <w:r>
        <w:rPr>
          <w:rFonts w:hint="eastAsia"/>
          <w:b/>
          <w:bCs/>
          <w:color w:val="auto"/>
          <w:kern w:val="44"/>
          <w:sz w:val="30"/>
          <w:szCs w:val="30"/>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widowControl/>
              <w:jc w:val="center"/>
              <w:textAlignment w:val="center"/>
              <w:rPr>
                <w:rFonts w:ascii="宋体" w:hAnsi="宋体" w:eastAsia="宋体" w:cs="宋体"/>
                <w:b/>
                <w:bCs/>
                <w:color w:val="auto"/>
                <w:kern w:val="0"/>
                <w:sz w:val="24"/>
                <w:lang w:bidi="ar"/>
              </w:rPr>
            </w:pPr>
            <w:r>
              <w:rPr>
                <w:rFonts w:hint="eastAsia" w:ascii="宋体" w:hAnsi="宋体" w:eastAsia="宋体" w:cs="宋体"/>
                <w:b/>
                <w:bCs/>
                <w:color w:val="auto"/>
                <w:kern w:val="0"/>
                <w:sz w:val="24"/>
                <w:lang w:bidi="ar"/>
              </w:rPr>
              <w:t>序号</w:t>
            </w:r>
          </w:p>
        </w:tc>
        <w:tc>
          <w:tcPr>
            <w:tcW w:w="4890" w:type="dxa"/>
            <w:vAlign w:val="center"/>
          </w:tcPr>
          <w:p>
            <w:pPr>
              <w:widowControl/>
              <w:jc w:val="center"/>
              <w:textAlignment w:val="center"/>
              <w:rPr>
                <w:rFonts w:ascii="宋体" w:hAnsi="宋体" w:eastAsia="宋体" w:cs="宋体"/>
                <w:b/>
                <w:bCs/>
                <w:color w:val="auto"/>
                <w:kern w:val="0"/>
                <w:sz w:val="24"/>
                <w:lang w:bidi="ar"/>
              </w:rPr>
            </w:pPr>
            <w:r>
              <w:rPr>
                <w:rFonts w:hint="eastAsia" w:ascii="宋体" w:hAnsi="宋体" w:eastAsia="宋体" w:cs="宋体"/>
                <w:b/>
                <w:bCs/>
                <w:color w:val="auto"/>
                <w:kern w:val="0"/>
                <w:sz w:val="24"/>
                <w:lang w:bidi="ar"/>
              </w:rPr>
              <w:t>证明文件名称</w:t>
            </w:r>
          </w:p>
        </w:tc>
        <w:tc>
          <w:tcPr>
            <w:tcW w:w="2841" w:type="dxa"/>
            <w:vAlign w:val="center"/>
          </w:tcPr>
          <w:p>
            <w:pPr>
              <w:widowControl/>
              <w:jc w:val="center"/>
              <w:textAlignment w:val="center"/>
              <w:rPr>
                <w:rFonts w:ascii="宋体" w:hAnsi="宋体" w:eastAsia="宋体" w:cs="宋体"/>
                <w:b/>
                <w:bCs/>
                <w:color w:val="auto"/>
                <w:kern w:val="0"/>
                <w:sz w:val="24"/>
                <w:lang w:bidi="ar"/>
              </w:rPr>
            </w:pPr>
            <w:r>
              <w:rPr>
                <w:rFonts w:hint="eastAsia" w:ascii="宋体" w:hAnsi="宋体" w:eastAsia="宋体" w:cs="宋体"/>
                <w:b/>
                <w:bCs/>
                <w:color w:val="auto"/>
                <w:kern w:val="0"/>
                <w:sz w:val="24"/>
                <w:lang w:bidi="ar"/>
              </w:rPr>
              <w:t>投标方响应</w:t>
            </w:r>
          </w:p>
          <w:p>
            <w:pPr>
              <w:widowControl/>
              <w:jc w:val="center"/>
              <w:textAlignment w:val="center"/>
              <w:rPr>
                <w:rFonts w:ascii="宋体" w:hAnsi="宋体" w:eastAsia="宋体" w:cs="宋体"/>
                <w:b/>
                <w:bCs/>
                <w:color w:val="auto"/>
                <w:kern w:val="0"/>
                <w:sz w:val="24"/>
                <w:lang w:bidi="ar"/>
              </w:rPr>
            </w:pPr>
            <w:r>
              <w:rPr>
                <w:rFonts w:hint="eastAsia" w:ascii="宋体" w:hAnsi="宋体" w:eastAsia="宋体" w:cs="宋体"/>
                <w:b/>
                <w:bCs/>
                <w:color w:val="auto"/>
                <w:kern w:val="0"/>
                <w:sz w:val="24"/>
                <w:lang w:bidi="ar"/>
              </w:rPr>
              <w:t>（是否满足或偏差情况）</w:t>
            </w:r>
          </w:p>
          <w:p>
            <w:pPr>
              <w:widowControl/>
              <w:jc w:val="center"/>
              <w:textAlignment w:val="center"/>
              <w:rPr>
                <w:rFonts w:ascii="宋体" w:hAnsi="宋体" w:eastAsia="宋体" w:cs="宋体"/>
                <w:b/>
                <w:bCs/>
                <w:color w:val="auto"/>
                <w:kern w:val="0"/>
                <w:sz w:val="24"/>
                <w:lang w:bidi="ar"/>
              </w:rPr>
            </w:pPr>
            <w:r>
              <w:rPr>
                <w:rFonts w:hint="eastAsia" w:ascii="宋体" w:hAnsi="宋体" w:eastAsia="宋体" w:cs="宋体"/>
                <w:b/>
                <w:bCs/>
                <w:color w:val="auto"/>
                <w:kern w:val="0"/>
                <w:sz w:val="24"/>
                <w:lang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ascii="宋体" w:hAnsi="宋体" w:eastAsia="宋体" w:cs="宋体"/>
                <w:color w:val="auto"/>
                <w:kern w:val="0"/>
                <w:sz w:val="24"/>
                <w:lang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both"/>
              <w:textAlignment w:val="center"/>
              <w:rPr>
                <w:rFonts w:ascii="宋体" w:hAnsi="宋体" w:eastAsia="宋体" w:cs="宋体"/>
                <w:color w:val="auto"/>
                <w:kern w:val="0"/>
                <w:sz w:val="24"/>
                <w:lang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ascii="宋体" w:hAnsi="宋体" w:eastAsia="宋体" w:cs="宋体"/>
                <w:color w:val="auto"/>
                <w:kern w:val="0"/>
                <w:sz w:val="24"/>
                <w:lang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ascii="宋体" w:hAnsi="宋体" w:eastAsia="宋体" w:cs="宋体"/>
                <w:color w:val="auto"/>
                <w:kern w:val="0"/>
                <w:sz w:val="24"/>
                <w:lang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both"/>
              <w:textAlignment w:val="center"/>
              <w:rPr>
                <w:rFonts w:ascii="宋体" w:hAnsi="宋体" w:eastAsia="宋体" w:cs="宋体"/>
                <w:color w:val="auto"/>
                <w:kern w:val="0"/>
                <w:sz w:val="24"/>
                <w:lang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ascii="宋体" w:hAnsi="宋体" w:eastAsia="宋体" w:cs="宋体"/>
                <w:color w:val="auto"/>
                <w:kern w:val="0"/>
                <w:sz w:val="24"/>
                <w:lang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ascii="宋体" w:hAnsi="宋体" w:eastAsia="宋体" w:cs="宋体"/>
                <w:color w:val="auto"/>
                <w:kern w:val="0"/>
                <w:sz w:val="24"/>
                <w:lang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both"/>
              <w:textAlignment w:val="center"/>
              <w:rPr>
                <w:rFonts w:ascii="宋体" w:hAnsi="宋体" w:eastAsia="宋体" w:cs="宋体"/>
                <w:color w:val="auto"/>
                <w:kern w:val="0"/>
                <w:sz w:val="24"/>
                <w:lang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ascii="宋体" w:hAnsi="宋体" w:eastAsia="宋体" w:cs="宋体"/>
                <w:color w:val="auto"/>
                <w:kern w:val="0"/>
                <w:sz w:val="24"/>
                <w:lang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六、报价表</w:t>
      </w:r>
    </w:p>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（一）报总价</w:t>
      </w:r>
    </w:p>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widowControl/>
              <w:jc w:val="left"/>
              <w:textAlignment w:val="center"/>
              <w:rPr>
                <w:rFonts w:hint="eastAsia" w:ascii="宋体" w:hAnsi="宋体" w:eastAsia="宋体" w:cs="宋体"/>
                <w:b/>
                <w:bCs/>
                <w:color w:val="000000" w:themeColor="text1"/>
                <w:kern w:val="0"/>
                <w:sz w:val="24"/>
                <w:lang w:eastAsia="zh-CN"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超高压输电公司百色局2026年职工创新项目（面向超高压输电线路登塔作业的无源储能式外骨骼机器人研发</w:t>
            </w:r>
            <w:r>
              <w:rPr>
                <w:rFonts w:hint="eastAsia" w:ascii="宋体" w:hAnsi="宋体" w:eastAsia="宋体" w:cs="宋体"/>
                <w:color w:val="000000" w:themeColor="text1"/>
                <w:kern w:val="0"/>
                <w:sz w:val="24"/>
                <w:lang w:eastAsia="zh-CN"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序号</w:t>
            </w:r>
          </w:p>
        </w:tc>
        <w:tc>
          <w:tcPr>
            <w:tcW w:w="2517"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报价项目</w:t>
            </w:r>
          </w:p>
        </w:tc>
        <w:tc>
          <w:tcPr>
            <w:tcW w:w="5297"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投标方响应</w:t>
            </w:r>
          </w:p>
          <w:p>
            <w:pPr>
              <w:pStyle w:val="2"/>
              <w:ind w:firstLine="0" w:firstLineChars="0"/>
              <w:jc w:val="center"/>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1</w:t>
            </w:r>
          </w:p>
        </w:tc>
        <w:tc>
          <w:tcPr>
            <w:tcW w:w="2517" w:type="dxa"/>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投标总报价</w:t>
            </w:r>
          </w:p>
        </w:tc>
        <w:tc>
          <w:tcPr>
            <w:tcW w:w="5297"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大写：           元</w:t>
            </w:r>
          </w:p>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2</w:t>
            </w:r>
          </w:p>
        </w:tc>
        <w:tc>
          <w:tcPr>
            <w:tcW w:w="2517"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发票类型</w:t>
            </w:r>
          </w:p>
        </w:tc>
        <w:tc>
          <w:tcPr>
            <w:tcW w:w="5297"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sym w:font="Wingdings" w:char="00A8"/>
            </w:r>
            <w:r>
              <w:rPr>
                <w:rFonts w:hint="eastAsia" w:ascii="宋体" w:hAnsi="宋体" w:eastAsia="宋体" w:cs="宋体"/>
                <w:color w:val="000000" w:themeColor="text1"/>
                <w:kern w:val="0"/>
                <w:sz w:val="24"/>
                <w:lang w:bidi="ar"/>
                <w14:textFill>
                  <w14:solidFill>
                    <w14:schemeClr w14:val="tx1"/>
                  </w14:solidFill>
                </w14:textFill>
              </w:rPr>
              <w:t>增值税专用发票</w:t>
            </w:r>
          </w:p>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sym w:font="Wingdings" w:char="00A8"/>
            </w:r>
            <w:r>
              <w:rPr>
                <w:rFonts w:hint="eastAsia" w:ascii="宋体" w:hAnsi="宋体" w:eastAsia="宋体" w:cs="宋体"/>
                <w:color w:val="000000" w:themeColor="text1"/>
                <w:kern w:val="0"/>
                <w:sz w:val="24"/>
                <w:lang w:bidi="ar"/>
                <w14:textFill>
                  <w14:solidFill>
                    <w14:schemeClr w14:val="tx1"/>
                  </w14:solidFill>
                </w14:textFill>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3</w:t>
            </w:r>
          </w:p>
        </w:tc>
        <w:tc>
          <w:tcPr>
            <w:tcW w:w="2517"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发票税率</w:t>
            </w:r>
          </w:p>
        </w:tc>
        <w:tc>
          <w:tcPr>
            <w:tcW w:w="5297"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总价报价说明：投标人为实施本项目所发生的一切费用均已包含在总价中。</w:t>
            </w:r>
          </w:p>
        </w:tc>
      </w:tr>
    </w:tbl>
    <w:p>
      <w:pPr>
        <w:rPr>
          <w:b/>
          <w:bCs/>
          <w:color w:val="000000" w:themeColor="text1"/>
          <w:kern w:val="44"/>
          <w:sz w:val="30"/>
          <w:szCs w:val="30"/>
          <w14:textFill>
            <w14:solidFill>
              <w14:schemeClr w14:val="tx1"/>
            </w14:solidFill>
          </w14:textFill>
        </w:rPr>
      </w:pPr>
    </w:p>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544"/>
        <w:gridCol w:w="1544"/>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widowControl/>
              <w:jc w:val="left"/>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超高压输电公司百色局2026年职工创新项目（面向超高压输电线路登塔作业的无源储能式外骨骼机器人研发</w:t>
            </w:r>
            <w:r>
              <w:rPr>
                <w:rFonts w:hint="eastAsia" w:ascii="宋体" w:hAnsi="宋体" w:eastAsia="宋体" w:cs="宋体"/>
                <w:color w:val="000000" w:themeColor="text1"/>
                <w:kern w:val="0"/>
                <w:sz w:val="24"/>
                <w:lang w:eastAsia="zh-CN"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序号</w:t>
            </w:r>
          </w:p>
        </w:tc>
        <w:tc>
          <w:tcPr>
            <w:tcW w:w="1544"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分项名称</w:t>
            </w:r>
          </w:p>
        </w:tc>
        <w:tc>
          <w:tcPr>
            <w:tcW w:w="1544"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数量/工作量</w:t>
            </w:r>
          </w:p>
        </w:tc>
        <w:tc>
          <w:tcPr>
            <w:tcW w:w="1545"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单价</w:t>
            </w:r>
          </w:p>
        </w:tc>
        <w:tc>
          <w:tcPr>
            <w:tcW w:w="1590" w:type="dxa"/>
            <w:vAlign w:val="center"/>
          </w:tcPr>
          <w:p>
            <w:pPr>
              <w:pStyle w:val="2"/>
              <w:ind w:firstLine="0" w:firstLineChars="0"/>
              <w:jc w:val="center"/>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小计</w:t>
            </w:r>
          </w:p>
        </w:tc>
        <w:tc>
          <w:tcPr>
            <w:tcW w:w="1591" w:type="dxa"/>
            <w:vAlign w:val="center"/>
          </w:tcPr>
          <w:p>
            <w:pPr>
              <w:pStyle w:val="2"/>
              <w:ind w:firstLine="0" w:firstLineChars="0"/>
              <w:jc w:val="center"/>
              <w:rPr>
                <w:rFonts w:ascii="宋体" w:hAnsi="宋体" w:eastAsia="宋体" w:cs="宋体"/>
                <w:b/>
                <w:bCs/>
                <w:color w:val="000000" w:themeColor="text1"/>
                <w:kern w:val="0"/>
                <w:sz w:val="24"/>
                <w:szCs w:val="24"/>
                <w:lang w:bidi="ar"/>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1</w:t>
            </w:r>
          </w:p>
        </w:tc>
        <w:tc>
          <w:tcPr>
            <w:tcW w:w="1544" w:type="dxa"/>
            <w:shd w:val="clear" w:color="auto" w:fill="auto"/>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配合研究生产无源储能式外骨骼机器人样机</w:t>
            </w:r>
          </w:p>
        </w:tc>
        <w:tc>
          <w:tcPr>
            <w:tcW w:w="1544" w:type="dxa"/>
            <w:shd w:val="clear" w:color="auto" w:fill="auto"/>
            <w:vAlign w:val="center"/>
          </w:tcPr>
          <w:p>
            <w:pPr>
              <w:widowControl/>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套</w:t>
            </w:r>
          </w:p>
        </w:tc>
        <w:tc>
          <w:tcPr>
            <w:tcW w:w="1545"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0"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1"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2</w:t>
            </w:r>
          </w:p>
        </w:tc>
        <w:tc>
          <w:tcPr>
            <w:tcW w:w="1544" w:type="dxa"/>
            <w:shd w:val="clear" w:color="auto" w:fill="auto"/>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配合撰写技术设计与计算文档</w:t>
            </w:r>
          </w:p>
        </w:tc>
        <w:tc>
          <w:tcPr>
            <w:tcW w:w="1544" w:type="dxa"/>
            <w:shd w:val="clear" w:color="auto" w:fill="auto"/>
            <w:vAlign w:val="center"/>
          </w:tcPr>
          <w:p>
            <w:pPr>
              <w:widowControl/>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545"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0"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1"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3</w:t>
            </w:r>
          </w:p>
        </w:tc>
        <w:tc>
          <w:tcPr>
            <w:tcW w:w="1544" w:type="dxa"/>
            <w:shd w:val="clear" w:color="auto" w:fill="auto"/>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配合撰写500kV铁塔实塔登攀测试报告</w:t>
            </w:r>
          </w:p>
        </w:tc>
        <w:tc>
          <w:tcPr>
            <w:tcW w:w="1544" w:type="dxa"/>
            <w:shd w:val="clear" w:color="auto" w:fill="auto"/>
            <w:vAlign w:val="center"/>
          </w:tcPr>
          <w:p>
            <w:pPr>
              <w:widowControl/>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545"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0"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投标方必填       </w:t>
            </w:r>
          </w:p>
        </w:tc>
        <w:tc>
          <w:tcPr>
            <w:tcW w:w="159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4</w:t>
            </w:r>
          </w:p>
        </w:tc>
        <w:tc>
          <w:tcPr>
            <w:tcW w:w="1544" w:type="dxa"/>
            <w:shd w:val="clear" w:color="auto" w:fill="auto"/>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配合撰写超高压线路外骨骼应用指南及操作手册</w:t>
            </w:r>
          </w:p>
        </w:tc>
        <w:tc>
          <w:tcPr>
            <w:tcW w:w="1544" w:type="dxa"/>
            <w:shd w:val="clear" w:color="auto" w:fill="auto"/>
            <w:vAlign w:val="center"/>
          </w:tcPr>
          <w:p>
            <w:pPr>
              <w:widowControl/>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545"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0"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投标方必填       </w:t>
            </w:r>
          </w:p>
        </w:tc>
        <w:tc>
          <w:tcPr>
            <w:tcW w:w="159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hint="eastAsia" w:ascii="宋体" w:hAnsi="宋体" w:eastAsia="宋体" w:cs="宋体"/>
                <w:b/>
                <w:bCs/>
                <w:color w:val="000000" w:themeColor="text1"/>
                <w:kern w:val="0"/>
                <w:sz w:val="24"/>
                <w:lang w:val="en-US" w:eastAsia="zh-CN" w:bidi="ar"/>
                <w14:textFill>
                  <w14:solidFill>
                    <w14:schemeClr w14:val="tx1"/>
                  </w14:solidFill>
                </w14:textFill>
              </w:rPr>
            </w:pPr>
            <w:r>
              <w:rPr>
                <w:rFonts w:hint="eastAsia" w:ascii="宋体" w:hAnsi="宋体" w:eastAsia="宋体" w:cs="宋体"/>
                <w:b/>
                <w:bCs/>
                <w:color w:val="000000" w:themeColor="text1"/>
                <w:kern w:val="0"/>
                <w:sz w:val="24"/>
                <w:lang w:val="en-US" w:eastAsia="zh-CN" w:bidi="ar"/>
                <w14:textFill>
                  <w14:solidFill>
                    <w14:schemeClr w14:val="tx1"/>
                  </w14:solidFill>
                </w14:textFill>
              </w:rPr>
              <w:t>5</w:t>
            </w:r>
          </w:p>
        </w:tc>
        <w:tc>
          <w:tcPr>
            <w:tcW w:w="1544" w:type="dxa"/>
            <w:shd w:val="clear" w:color="auto" w:fill="auto"/>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配合撰写期刊论文文本</w:t>
            </w:r>
          </w:p>
        </w:tc>
        <w:tc>
          <w:tcPr>
            <w:tcW w:w="1544" w:type="dxa"/>
            <w:shd w:val="clear" w:color="auto" w:fill="auto"/>
            <w:vAlign w:val="center"/>
          </w:tcPr>
          <w:p>
            <w:pPr>
              <w:widowControl/>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篇</w:t>
            </w:r>
          </w:p>
        </w:tc>
        <w:tc>
          <w:tcPr>
            <w:tcW w:w="1545" w:type="dxa"/>
            <w:shd w:val="clear" w:color="auto" w:fill="auto"/>
            <w:vAlign w:val="center"/>
          </w:tcPr>
          <w:p>
            <w:pPr>
              <w:widowControl/>
              <w:jc w:val="center"/>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0" w:type="dxa"/>
            <w:shd w:val="clear" w:color="auto" w:fill="auto"/>
            <w:vAlign w:val="center"/>
          </w:tcPr>
          <w:p>
            <w:pPr>
              <w:widowControl/>
              <w:jc w:val="center"/>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投标方必填       </w:t>
            </w:r>
          </w:p>
        </w:tc>
        <w:tc>
          <w:tcPr>
            <w:tcW w:w="159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widowControl/>
              <w:jc w:val="center"/>
              <w:textAlignment w:val="center"/>
              <w:rPr>
                <w:rFonts w:hint="eastAsia" w:ascii="宋体" w:hAnsi="宋体" w:eastAsia="宋体" w:cs="宋体"/>
                <w:b/>
                <w:bCs/>
                <w:color w:val="000000" w:themeColor="text1"/>
                <w:kern w:val="0"/>
                <w:sz w:val="24"/>
                <w:lang w:val="en-US" w:eastAsia="zh-CN" w:bidi="ar"/>
                <w14:textFill>
                  <w14:solidFill>
                    <w14:schemeClr w14:val="tx1"/>
                  </w14:solidFill>
                </w14:textFill>
              </w:rPr>
            </w:pPr>
            <w:r>
              <w:rPr>
                <w:rFonts w:hint="eastAsia" w:ascii="宋体" w:hAnsi="宋体" w:eastAsia="宋体" w:cs="宋体"/>
                <w:b/>
                <w:bCs/>
                <w:color w:val="000000" w:themeColor="text1"/>
                <w:kern w:val="0"/>
                <w:sz w:val="24"/>
                <w:lang w:val="en-US" w:eastAsia="zh-CN" w:bidi="ar"/>
                <w14:textFill>
                  <w14:solidFill>
                    <w14:schemeClr w14:val="tx1"/>
                  </w14:solidFill>
                </w14:textFill>
              </w:rPr>
              <w:t>6</w:t>
            </w:r>
          </w:p>
        </w:tc>
        <w:tc>
          <w:tcPr>
            <w:tcW w:w="1544" w:type="dxa"/>
            <w:shd w:val="clear" w:color="auto" w:fill="auto"/>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完成第三方检测（检测机构应具备CMA或CNAS认证资质）</w:t>
            </w:r>
          </w:p>
        </w:tc>
        <w:tc>
          <w:tcPr>
            <w:tcW w:w="1544" w:type="dxa"/>
            <w:shd w:val="clear" w:color="auto" w:fill="auto"/>
            <w:vAlign w:val="center"/>
          </w:tcPr>
          <w:p>
            <w:pPr>
              <w:widowControl/>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545" w:type="dxa"/>
            <w:shd w:val="clear" w:color="auto" w:fill="auto"/>
            <w:vAlign w:val="center"/>
          </w:tcPr>
          <w:p>
            <w:pPr>
              <w:widowControl/>
              <w:jc w:val="center"/>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0" w:type="dxa"/>
            <w:shd w:val="clear" w:color="auto" w:fill="auto"/>
            <w:vAlign w:val="center"/>
          </w:tcPr>
          <w:p>
            <w:pPr>
              <w:widowControl/>
              <w:jc w:val="center"/>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投标方必填       </w:t>
            </w:r>
          </w:p>
        </w:tc>
        <w:tc>
          <w:tcPr>
            <w:tcW w:w="159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widowControl/>
              <w:jc w:val="center"/>
              <w:textAlignment w:val="center"/>
              <w:rPr>
                <w:rFonts w:hint="eastAsia" w:ascii="宋体" w:hAnsi="宋体" w:eastAsia="宋体" w:cs="宋体"/>
                <w:b/>
                <w:bCs/>
                <w:color w:val="000000" w:themeColor="text1"/>
                <w:kern w:val="0"/>
                <w:sz w:val="24"/>
                <w:lang w:eastAsia="zh-CN" w:bidi="ar"/>
                <w14:textFill>
                  <w14:solidFill>
                    <w14:schemeClr w14:val="tx1"/>
                  </w14:solidFill>
                </w14:textFill>
              </w:rPr>
            </w:pPr>
            <w:r>
              <w:rPr>
                <w:rFonts w:hint="eastAsia" w:ascii="宋体" w:hAnsi="宋体" w:eastAsia="宋体" w:cs="宋体"/>
                <w:b/>
                <w:bCs/>
                <w:color w:val="000000" w:themeColor="text1"/>
                <w:kern w:val="0"/>
                <w:sz w:val="24"/>
                <w:lang w:val="en-US" w:eastAsia="zh-CN" w:bidi="ar"/>
                <w14:textFill>
                  <w14:solidFill>
                    <w14:schemeClr w14:val="tx1"/>
                  </w14:solidFill>
                </w14:textFill>
              </w:rPr>
              <w:t>7</w:t>
            </w:r>
          </w:p>
        </w:tc>
        <w:tc>
          <w:tcPr>
            <w:tcW w:w="1544" w:type="dxa"/>
            <w:shd w:val="clear" w:color="auto" w:fill="auto"/>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在超特高压新型电气装备科技成果转化中试基地完成中试</w:t>
            </w:r>
          </w:p>
        </w:tc>
        <w:tc>
          <w:tcPr>
            <w:tcW w:w="1544"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lang w:val="en-US" w:eastAsia="zh-CN" w:bidi="ar"/>
                <w14:textFill>
                  <w14:solidFill>
                    <w14:schemeClr w14:val="tx1"/>
                  </w14:solidFill>
                </w14:textFill>
              </w:rPr>
              <w:t>份</w:t>
            </w:r>
          </w:p>
        </w:tc>
        <w:tc>
          <w:tcPr>
            <w:tcW w:w="1545"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c>
          <w:tcPr>
            <w:tcW w:w="1590"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投标方必填       </w:t>
            </w:r>
          </w:p>
        </w:tc>
        <w:tc>
          <w:tcPr>
            <w:tcW w:w="159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widowControl/>
              <w:jc w:val="center"/>
              <w:textAlignment w:val="center"/>
              <w:rPr>
                <w:rFonts w:ascii="宋体" w:hAnsi="宋体" w:eastAsia="宋体" w:cs="宋体"/>
                <w:color w:val="000000" w:themeColor="text1"/>
                <w:kern w:val="0"/>
                <w:sz w:val="22"/>
                <w:szCs w:val="22"/>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合  计</w:t>
            </w:r>
          </w:p>
        </w:tc>
        <w:tc>
          <w:tcPr>
            <w:tcW w:w="1545"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c>
          <w:tcPr>
            <w:tcW w:w="1590"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c>
          <w:tcPr>
            <w:tcW w:w="159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widowControl/>
              <w:jc w:val="left"/>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分项报价说明：按具体交付物/工作内容分列。</w:t>
            </w:r>
          </w:p>
        </w:tc>
      </w:tr>
    </w:tbl>
    <w:p>
      <w:pPr>
        <w:pStyle w:val="2"/>
        <w:ind w:left="0" w:leftChars="0" w:firstLine="0" w:firstLineChars="0"/>
        <w:rPr>
          <w:rFonts w:hint="eastAsia" w:ascii="宋体" w:hAnsi="宋体" w:eastAsia="宋体" w:cs="宋体"/>
          <w:color w:val="000000" w:themeColor="text1"/>
          <w:kern w:val="44"/>
          <w:sz w:val="28"/>
          <w:szCs w:val="28"/>
          <w14:textFill>
            <w14:solidFill>
              <w14:schemeClr w14:val="tx1"/>
            </w14:solidFill>
          </w14:textFill>
        </w:rPr>
      </w:pPr>
    </w:p>
    <w:p>
      <w:pPr>
        <w:pStyle w:val="2"/>
        <w:ind w:firstLine="3360" w:firstLineChars="1200"/>
        <w:rPr>
          <w:rFonts w:hint="eastAsia" w:ascii="宋体" w:hAnsi="宋体" w:eastAsia="宋体" w:cs="宋体"/>
          <w:color w:val="000000" w:themeColor="text1"/>
          <w:kern w:val="44"/>
          <w:sz w:val="28"/>
          <w:szCs w:val="28"/>
          <w14:textFill>
            <w14:solidFill>
              <w14:schemeClr w14:val="tx1"/>
            </w14:solidFill>
          </w14:textFill>
        </w:rPr>
      </w:pPr>
    </w:p>
    <w:p>
      <w:pPr>
        <w:pStyle w:val="2"/>
        <w:ind w:firstLine="3360" w:firstLineChars="1200"/>
        <w:rPr>
          <w:rFonts w:hint="eastAsia" w:ascii="宋体" w:hAnsi="宋体" w:eastAsia="宋体" w:cs="宋体"/>
          <w:color w:val="000000" w:themeColor="text1"/>
          <w:kern w:val="44"/>
          <w:sz w:val="28"/>
          <w:szCs w:val="28"/>
          <w14:textFill>
            <w14:solidFill>
              <w14:schemeClr w14:val="tx1"/>
            </w14:solidFill>
          </w14:textFill>
        </w:rPr>
      </w:pPr>
    </w:p>
    <w:p>
      <w:pPr>
        <w:pStyle w:val="2"/>
        <w:ind w:firstLine="3360" w:firstLineChars="1200"/>
        <w:rPr>
          <w:rFonts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8"/>
          <w:szCs w:val="28"/>
          <w14:textFill>
            <w14:solidFill>
              <w14:schemeClr w14:val="tx1"/>
            </w14:solidFill>
          </w14:textFill>
        </w:rPr>
        <w:t>投标单位（公章）：</w:t>
      </w:r>
    </w:p>
    <w:p>
      <w:pPr>
        <w:pStyle w:val="2"/>
        <w:ind w:firstLine="560"/>
        <w:rPr>
          <w:rFonts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8"/>
          <w:szCs w:val="28"/>
          <w14:textFill>
            <w14:solidFill>
              <w14:schemeClr w14:val="tx1"/>
            </w14:solidFill>
          </w14:textFill>
        </w:rPr>
        <w:t xml:space="preserve">                    联系人及联系方式：</w:t>
      </w:r>
    </w:p>
    <w:p>
      <w:pPr>
        <w:pStyle w:val="2"/>
        <w:ind w:firstLine="560"/>
        <w:rPr>
          <w:rFonts w:hint="eastAsia"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8"/>
          <w:szCs w:val="28"/>
          <w14:textFill>
            <w14:solidFill>
              <w14:schemeClr w14:val="tx1"/>
            </w14:solidFill>
          </w14:textFill>
        </w:rPr>
        <w:t xml:space="preserve">                    报价日期：</w:t>
      </w:r>
    </w:p>
    <w:p>
      <w:pPr>
        <w:rPr>
          <w:rFonts w:hint="eastAsia"/>
          <w:color w:val="000000" w:themeColor="text1"/>
          <w14:textFill>
            <w14:solidFill>
              <w14:schemeClr w14:val="tx1"/>
            </w14:solidFill>
          </w14:textFill>
        </w:rPr>
      </w:pPr>
    </w:p>
    <w:p>
      <w:pPr>
        <w:pStyle w:val="2"/>
        <w:ind w:firstLine="640"/>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r>
    </w:p>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（二）报下浮率</w:t>
      </w:r>
    </w:p>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超高压输电公司百色局2026年职工创新项目（面向超高压输电线路登塔作业的无源储能式外骨骼机器人研发</w:t>
            </w:r>
            <w:r>
              <w:rPr>
                <w:rFonts w:hint="eastAsia" w:ascii="宋体" w:hAnsi="宋体" w:eastAsia="宋体" w:cs="宋体"/>
                <w:b/>
                <w:bCs/>
                <w:color w:val="000000" w:themeColor="text1"/>
                <w:kern w:val="0"/>
                <w:sz w:val="24"/>
                <w:lang w:eastAsia="zh-CN"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序号</w:t>
            </w:r>
          </w:p>
        </w:tc>
        <w:tc>
          <w:tcPr>
            <w:tcW w:w="2517"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报价项目</w:t>
            </w:r>
          </w:p>
        </w:tc>
        <w:tc>
          <w:tcPr>
            <w:tcW w:w="5297"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投标方响应</w:t>
            </w:r>
          </w:p>
          <w:p>
            <w:pPr>
              <w:pStyle w:val="2"/>
              <w:ind w:firstLine="0" w:firstLineChars="0"/>
              <w:jc w:val="center"/>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1</w:t>
            </w:r>
          </w:p>
        </w:tc>
        <w:tc>
          <w:tcPr>
            <w:tcW w:w="2517"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报价基准/造价标准</w:t>
            </w:r>
          </w:p>
        </w:tc>
        <w:tc>
          <w:tcPr>
            <w:tcW w:w="5297"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《超高压输电公司百色局2026年职工创新项目（外骨骼机器人在电网行业的应用）相关技术服务零星采购》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2</w:t>
            </w:r>
          </w:p>
        </w:tc>
        <w:tc>
          <w:tcPr>
            <w:tcW w:w="2517"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投标下浮率</w:t>
            </w:r>
          </w:p>
        </w:tc>
        <w:tc>
          <w:tcPr>
            <w:tcW w:w="5297" w:type="dxa"/>
            <w:shd w:val="clear" w:color="auto" w:fill="auto"/>
            <w:vAlign w:val="center"/>
          </w:tcPr>
          <w:p>
            <w:pPr>
              <w:widowControl/>
              <w:ind w:firstLine="960" w:firstLineChars="400"/>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3</w:t>
            </w:r>
          </w:p>
        </w:tc>
        <w:tc>
          <w:tcPr>
            <w:tcW w:w="2517"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发票类型</w:t>
            </w:r>
          </w:p>
        </w:tc>
        <w:tc>
          <w:tcPr>
            <w:tcW w:w="5297" w:type="dxa"/>
            <w:shd w:val="clear" w:color="auto" w:fill="auto"/>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sym w:font="Wingdings" w:char="00A8"/>
            </w:r>
            <w:r>
              <w:rPr>
                <w:rFonts w:hint="eastAsia" w:ascii="宋体" w:hAnsi="宋体" w:eastAsia="宋体" w:cs="宋体"/>
                <w:color w:val="000000" w:themeColor="text1"/>
                <w:kern w:val="0"/>
                <w:sz w:val="24"/>
                <w:lang w:bidi="ar"/>
                <w14:textFill>
                  <w14:solidFill>
                    <w14:schemeClr w14:val="tx1"/>
                  </w14:solidFill>
                </w14:textFill>
              </w:rPr>
              <w:t>增值税专用发票</w:t>
            </w:r>
          </w:p>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sym w:font="Wingdings" w:char="00A8"/>
            </w:r>
            <w:r>
              <w:rPr>
                <w:rFonts w:hint="eastAsia" w:ascii="宋体" w:hAnsi="宋体" w:eastAsia="宋体" w:cs="宋体"/>
                <w:color w:val="000000" w:themeColor="text1"/>
                <w:kern w:val="0"/>
                <w:sz w:val="24"/>
                <w:lang w:bidi="ar"/>
                <w14:textFill>
                  <w14:solidFill>
                    <w14:schemeClr w14:val="tx1"/>
                  </w14:solidFill>
                </w14:textFill>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4</w:t>
            </w:r>
          </w:p>
        </w:tc>
        <w:tc>
          <w:tcPr>
            <w:tcW w:w="2517" w:type="dxa"/>
            <w:shd w:val="clear" w:color="auto" w:fill="auto"/>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发票税率</w:t>
            </w:r>
          </w:p>
        </w:tc>
        <w:tc>
          <w:tcPr>
            <w:tcW w:w="5297"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总价报价说明：投标人为实施本项目所发生的一切费用均已包含在总价中。</w:t>
            </w:r>
          </w:p>
        </w:tc>
      </w:tr>
    </w:tbl>
    <w:p>
      <w:pPr>
        <w:pStyle w:val="2"/>
        <w:ind w:firstLine="3360" w:firstLineChars="1200"/>
        <w:rPr>
          <w:rFonts w:ascii="宋体" w:hAnsi="宋体" w:eastAsia="宋体" w:cs="宋体"/>
          <w:color w:val="000000" w:themeColor="text1"/>
          <w:kern w:val="44"/>
          <w:sz w:val="28"/>
          <w:szCs w:val="28"/>
          <w14:textFill>
            <w14:solidFill>
              <w14:schemeClr w14:val="tx1"/>
            </w14:solidFill>
          </w14:textFill>
        </w:rPr>
      </w:pPr>
    </w:p>
    <w:p>
      <w:pPr>
        <w:pStyle w:val="2"/>
        <w:ind w:firstLine="3360" w:firstLineChars="1200"/>
        <w:rPr>
          <w:rFonts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8"/>
          <w:szCs w:val="28"/>
          <w14:textFill>
            <w14:solidFill>
              <w14:schemeClr w14:val="tx1"/>
            </w14:solidFill>
          </w14:textFill>
        </w:rPr>
        <w:t>投标单位（公章）：</w:t>
      </w:r>
    </w:p>
    <w:p>
      <w:pPr>
        <w:pStyle w:val="2"/>
        <w:ind w:firstLine="560"/>
        <w:rPr>
          <w:rFonts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8"/>
          <w:szCs w:val="28"/>
          <w14:textFill>
            <w14:solidFill>
              <w14:schemeClr w14:val="tx1"/>
            </w14:solidFill>
          </w14:textFill>
        </w:rPr>
        <w:t xml:space="preserve">                    联系人及联系方式：</w:t>
      </w:r>
    </w:p>
    <w:p>
      <w:pPr>
        <w:pStyle w:val="2"/>
        <w:ind w:firstLine="560"/>
        <w:rPr>
          <w:rFonts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8"/>
          <w:szCs w:val="28"/>
          <w14:textFill>
            <w14:solidFill>
              <w14:schemeClr w14:val="tx1"/>
            </w14:solidFill>
          </w14:textFill>
        </w:rPr>
        <w:t xml:space="preserve">                    报价日期：</w:t>
      </w:r>
    </w:p>
    <w:p>
      <w:pPr>
        <w:rPr>
          <w:color w:val="000000" w:themeColor="text1"/>
          <w14:textFill>
            <w14:solidFill>
              <w14:schemeClr w14:val="tx1"/>
            </w14:solidFill>
          </w14:textFill>
        </w:rPr>
      </w:pPr>
    </w:p>
    <w:bookmarkEnd w:id="0"/>
    <w:bookmarkEnd w:id="1"/>
    <w:bookmarkEnd w:id="2"/>
    <w:p>
      <w:pPr>
        <w:jc w:val="left"/>
        <w:rPr>
          <w:b/>
          <w:bCs/>
          <w:color w:val="000000" w:themeColor="text1"/>
          <w:kern w:val="44"/>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附件：</w:t>
      </w:r>
      <w:r>
        <w:rPr>
          <w:rFonts w:hint="eastAsia"/>
          <w:b/>
          <w:bCs/>
          <w:color w:val="000000" w:themeColor="text1"/>
          <w:kern w:val="44"/>
          <w:sz w:val="28"/>
          <w:szCs w:val="28"/>
          <w14:textFill>
            <w14:solidFill>
              <w14:schemeClr w14:val="tx1"/>
            </w14:solidFill>
          </w14:textFill>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cstheme="minorBidi"/>
          <w:b/>
          <w:bCs/>
          <w:color w:val="000000" w:themeColor="text1"/>
          <w:kern w:val="44"/>
          <w:sz w:val="28"/>
          <w:szCs w:val="28"/>
          <w14:textFill>
            <w14:solidFill>
              <w14:schemeClr w14:val="tx1"/>
            </w14:solidFill>
          </w14:textFill>
        </w:rPr>
      </w:pPr>
      <w:r>
        <w:rPr>
          <w:rFonts w:hint="eastAsia"/>
          <w:color w:val="auto"/>
          <w:highlight w:val="none"/>
          <w:lang w:val="en-US" w:eastAsia="zh-CN"/>
        </w:rPr>
        <w:t>4.</w:t>
      </w:r>
      <w:r>
        <w:rPr>
          <w:rFonts w:hint="default"/>
          <w:color w:val="auto"/>
          <w:highlight w:val="none"/>
          <w:lang w:val="en-US" w:eastAsia="zh-CN"/>
        </w:rPr>
        <w:t>其他证明文件（如有）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EC5F46"/>
    <w:rsid w:val="00015343"/>
    <w:rsid w:val="000304DD"/>
    <w:rsid w:val="000F58E8"/>
    <w:rsid w:val="001E2943"/>
    <w:rsid w:val="001F0AC3"/>
    <w:rsid w:val="001F1668"/>
    <w:rsid w:val="00604F6C"/>
    <w:rsid w:val="00820D0C"/>
    <w:rsid w:val="00821BB4"/>
    <w:rsid w:val="00AB2D55"/>
    <w:rsid w:val="00BA7044"/>
    <w:rsid w:val="00DD5F22"/>
    <w:rsid w:val="00E16DCB"/>
    <w:rsid w:val="00EC5F46"/>
    <w:rsid w:val="00EE0392"/>
    <w:rsid w:val="00F90CF3"/>
    <w:rsid w:val="00FC34B4"/>
    <w:rsid w:val="011200AF"/>
    <w:rsid w:val="013A08CE"/>
    <w:rsid w:val="01501235"/>
    <w:rsid w:val="016940D8"/>
    <w:rsid w:val="01820F90"/>
    <w:rsid w:val="01826A7C"/>
    <w:rsid w:val="01AA77A2"/>
    <w:rsid w:val="01F21044"/>
    <w:rsid w:val="01F4352D"/>
    <w:rsid w:val="02060639"/>
    <w:rsid w:val="021C3F27"/>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2864C3"/>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BA086D"/>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F464D"/>
    <w:rsid w:val="13AC3248"/>
    <w:rsid w:val="13C85393"/>
    <w:rsid w:val="13D17E3E"/>
    <w:rsid w:val="13E63CB1"/>
    <w:rsid w:val="13E66B94"/>
    <w:rsid w:val="140E7F4F"/>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471B5"/>
    <w:rsid w:val="185138C0"/>
    <w:rsid w:val="189F058B"/>
    <w:rsid w:val="18D97540"/>
    <w:rsid w:val="19297752"/>
    <w:rsid w:val="196F285C"/>
    <w:rsid w:val="19761FB7"/>
    <w:rsid w:val="198829AE"/>
    <w:rsid w:val="19B006BC"/>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4E7B4C"/>
    <w:rsid w:val="20686980"/>
    <w:rsid w:val="20697F7D"/>
    <w:rsid w:val="2094367F"/>
    <w:rsid w:val="209B0702"/>
    <w:rsid w:val="20A93859"/>
    <w:rsid w:val="20AD11B3"/>
    <w:rsid w:val="20C4708C"/>
    <w:rsid w:val="20D3385E"/>
    <w:rsid w:val="210C673F"/>
    <w:rsid w:val="210E0C48"/>
    <w:rsid w:val="216015BD"/>
    <w:rsid w:val="216418EA"/>
    <w:rsid w:val="218364C3"/>
    <w:rsid w:val="219531EF"/>
    <w:rsid w:val="21CA2A2E"/>
    <w:rsid w:val="21FE0AA0"/>
    <w:rsid w:val="220471D4"/>
    <w:rsid w:val="22390F2A"/>
    <w:rsid w:val="2239721F"/>
    <w:rsid w:val="2253248B"/>
    <w:rsid w:val="22937521"/>
    <w:rsid w:val="22C538FF"/>
    <w:rsid w:val="23117658"/>
    <w:rsid w:val="2326189B"/>
    <w:rsid w:val="23263F5B"/>
    <w:rsid w:val="2347482F"/>
    <w:rsid w:val="23480721"/>
    <w:rsid w:val="23803B7C"/>
    <w:rsid w:val="23832A6A"/>
    <w:rsid w:val="239C519E"/>
    <w:rsid w:val="23AC6110"/>
    <w:rsid w:val="23B3680B"/>
    <w:rsid w:val="24453519"/>
    <w:rsid w:val="24806DED"/>
    <w:rsid w:val="249E1E21"/>
    <w:rsid w:val="24CF2183"/>
    <w:rsid w:val="24D6375F"/>
    <w:rsid w:val="252D4D16"/>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A0566A1"/>
    <w:rsid w:val="2A3A52B1"/>
    <w:rsid w:val="2A57249A"/>
    <w:rsid w:val="2A822113"/>
    <w:rsid w:val="2A94661D"/>
    <w:rsid w:val="2AAE3082"/>
    <w:rsid w:val="2ADB2F81"/>
    <w:rsid w:val="2B0218D1"/>
    <w:rsid w:val="2B365360"/>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54A5C"/>
    <w:rsid w:val="2F4D79F2"/>
    <w:rsid w:val="2F615DD7"/>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AE2E93"/>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816FDA"/>
    <w:rsid w:val="34970BD3"/>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8B08B9"/>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6514A3"/>
    <w:rsid w:val="3CCB4C57"/>
    <w:rsid w:val="3CEE590A"/>
    <w:rsid w:val="3D08378C"/>
    <w:rsid w:val="3D0B3FDE"/>
    <w:rsid w:val="3D616A4A"/>
    <w:rsid w:val="3D757831"/>
    <w:rsid w:val="3DB15B3B"/>
    <w:rsid w:val="3E72797C"/>
    <w:rsid w:val="3EA50137"/>
    <w:rsid w:val="3EA84F1C"/>
    <w:rsid w:val="3EB07A18"/>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695BD2"/>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88288B"/>
    <w:rsid w:val="449F733A"/>
    <w:rsid w:val="44AD4D6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3B5182"/>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9F5704C"/>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CD74F34"/>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994642"/>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1D78DF"/>
    <w:rsid w:val="61615891"/>
    <w:rsid w:val="618A53C3"/>
    <w:rsid w:val="61DC704D"/>
    <w:rsid w:val="61E360F6"/>
    <w:rsid w:val="62137AD9"/>
    <w:rsid w:val="62260CC7"/>
    <w:rsid w:val="62A551E6"/>
    <w:rsid w:val="62E16AB1"/>
    <w:rsid w:val="63C441CF"/>
    <w:rsid w:val="63C70A2B"/>
    <w:rsid w:val="63CB2D0B"/>
    <w:rsid w:val="63FB66E5"/>
    <w:rsid w:val="63FE5FFF"/>
    <w:rsid w:val="64186D6F"/>
    <w:rsid w:val="644756E6"/>
    <w:rsid w:val="646F1B1A"/>
    <w:rsid w:val="64A35E6B"/>
    <w:rsid w:val="64DE1782"/>
    <w:rsid w:val="64EC1EDD"/>
    <w:rsid w:val="64F9133B"/>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3D3A64"/>
    <w:rsid w:val="6E532497"/>
    <w:rsid w:val="6E7B7723"/>
    <w:rsid w:val="6E7D4622"/>
    <w:rsid w:val="6E9E421E"/>
    <w:rsid w:val="6EA31FFC"/>
    <w:rsid w:val="6EE67D23"/>
    <w:rsid w:val="6EEB573C"/>
    <w:rsid w:val="6EF7385A"/>
    <w:rsid w:val="6F2B1AF5"/>
    <w:rsid w:val="6F5826D7"/>
    <w:rsid w:val="6F792228"/>
    <w:rsid w:val="6FAD5E72"/>
    <w:rsid w:val="6FD35BC1"/>
    <w:rsid w:val="6FDC50BE"/>
    <w:rsid w:val="70016D36"/>
    <w:rsid w:val="70037035"/>
    <w:rsid w:val="70420083"/>
    <w:rsid w:val="70A63964"/>
    <w:rsid w:val="70AB7034"/>
    <w:rsid w:val="70B04223"/>
    <w:rsid w:val="70E36DDC"/>
    <w:rsid w:val="70FB28D7"/>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9E1A1F"/>
    <w:rsid w:val="74C809A1"/>
    <w:rsid w:val="74F25284"/>
    <w:rsid w:val="75345FD2"/>
    <w:rsid w:val="7569155A"/>
    <w:rsid w:val="757E1028"/>
    <w:rsid w:val="759866DC"/>
    <w:rsid w:val="75B84A2E"/>
    <w:rsid w:val="75FC18AA"/>
    <w:rsid w:val="76035CE5"/>
    <w:rsid w:val="76037830"/>
    <w:rsid w:val="760571DD"/>
    <w:rsid w:val="762F62EA"/>
    <w:rsid w:val="764F40A7"/>
    <w:rsid w:val="76903E81"/>
    <w:rsid w:val="76A80B5F"/>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5F662B"/>
    <w:rsid w:val="78720FB5"/>
    <w:rsid w:val="787943E9"/>
    <w:rsid w:val="789C15C7"/>
    <w:rsid w:val="78F5504B"/>
    <w:rsid w:val="78FE2189"/>
    <w:rsid w:val="79141699"/>
    <w:rsid w:val="79185435"/>
    <w:rsid w:val="79220648"/>
    <w:rsid w:val="796D4195"/>
    <w:rsid w:val="79716D03"/>
    <w:rsid w:val="798F3492"/>
    <w:rsid w:val="79953E2A"/>
    <w:rsid w:val="79971C36"/>
    <w:rsid w:val="79CA63ED"/>
    <w:rsid w:val="79FA0418"/>
    <w:rsid w:val="7A2B5634"/>
    <w:rsid w:val="7A4A6FE5"/>
    <w:rsid w:val="7A5A52FD"/>
    <w:rsid w:val="7A683935"/>
    <w:rsid w:val="7AB61128"/>
    <w:rsid w:val="7ACE4BD1"/>
    <w:rsid w:val="7B46422A"/>
    <w:rsid w:val="7BAD5E10"/>
    <w:rsid w:val="7BF75127"/>
    <w:rsid w:val="7C041C0D"/>
    <w:rsid w:val="7C0C5BB9"/>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3E1216"/>
    <w:rsid w:val="7F6840C9"/>
    <w:rsid w:val="7F7C1C99"/>
    <w:rsid w:val="7FBF1C69"/>
    <w:rsid w:val="7FC044BF"/>
    <w:rsid w:val="7FC67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引言二级条标题"/>
    <w:basedOn w:val="11"/>
    <w:next w:val="12"/>
    <w:qFormat/>
    <w:uiPriority w:val="0"/>
    <w:pPr>
      <w:ind w:left="0" w:firstLine="0"/>
    </w:pPr>
    <w:rPr>
      <w:rFonts w:eastAsia="宋体"/>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ind w:firstLine="200" w:firstLineChars="200"/>
    </w:pPr>
    <w:rPr>
      <w:rFonts w:ascii="宋体" w:hAnsi="Calibri" w:eastAsia="宋体" w:cs="Times New Roman"/>
      <w:kern w:val="0"/>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1753</Words>
  <Characters>1822</Characters>
  <Lines>23</Lines>
  <Paragraphs>6</Paragraphs>
  <TotalTime>0</TotalTime>
  <ScaleCrop>false</ScaleCrop>
  <LinksUpToDate>false</LinksUpToDate>
  <CharactersWithSpaces>1832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ZNYWYTJ</dc:creator>
  <cp:lastModifiedBy>bsj_weichenzhao</cp:lastModifiedBy>
  <dcterms:modified xsi:type="dcterms:W3CDTF">2026-06-30T09:04:29Z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C72C4220346746E6B59D3360210E0BDC</vt:lpwstr>
  </property>
  <property fmtid="{D5CDD505-2E9C-101B-9397-08002B2CF9AE}" pid="4" name="KSOTemplateDocerSaveRecord">
    <vt:lpwstr>eyJoZGlkIjoiOWUwOWY1OThjOTBmY2I1M2U5OGEyOWE4OWU3MTI0MDIiLCJ1c2VySWQiOiI0NzA4MDYwMjIifQ==</vt:lpwstr>
  </property>
</Properties>
</file>