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3BFD0E">
      <w:pPr>
        <w:pageBreakBefore/>
        <w:tabs>
          <w:tab w:val="left" w:pos="0"/>
        </w:tabs>
        <w:ind w:firstLine="480"/>
        <w:jc w:val="center"/>
        <w:rPr>
          <w:rFonts w:ascii="仿宋_GB2312"/>
        </w:rPr>
      </w:pPr>
      <w:bookmarkStart w:id="0" w:name="_Toc309593257"/>
      <w:bookmarkStart w:id="1" w:name="_Toc307577976"/>
      <w:bookmarkStart w:id="2" w:name="_Toc309593186"/>
      <w:bookmarkStart w:id="3" w:name="_Toc309805581"/>
    </w:p>
    <w:p w14:paraId="316C4B80">
      <w:pPr>
        <w:tabs>
          <w:tab w:val="left" w:pos="0"/>
        </w:tabs>
        <w:ind w:firstLine="1044"/>
        <w:jc w:val="center"/>
        <w:rPr>
          <w:rFonts w:ascii="仿宋_GB2312"/>
          <w:sz w:val="44"/>
        </w:rPr>
      </w:pPr>
    </w:p>
    <w:p w14:paraId="6D87F6F9">
      <w:pPr>
        <w:tabs>
          <w:tab w:val="left" w:pos="0"/>
        </w:tabs>
        <w:ind w:firstLine="964"/>
        <w:jc w:val="center"/>
        <w:rPr>
          <w:rFonts w:hint="eastAsia" w:ascii="宋体" w:hAnsi="宋体"/>
          <w:b/>
          <w:sz w:val="48"/>
          <w:szCs w:val="48"/>
        </w:rPr>
      </w:pPr>
    </w:p>
    <w:p w14:paraId="1A7A8178">
      <w:pPr>
        <w:tabs>
          <w:tab w:val="left" w:pos="0"/>
        </w:tabs>
        <w:ind w:firstLine="964"/>
        <w:jc w:val="center"/>
        <w:rPr>
          <w:rFonts w:hint="eastAsia" w:ascii="宋体" w:hAnsi="宋体"/>
          <w:b/>
          <w:sz w:val="48"/>
          <w:szCs w:val="48"/>
        </w:rPr>
      </w:pPr>
    </w:p>
    <w:p w14:paraId="67A8FB97">
      <w:pPr>
        <w:tabs>
          <w:tab w:val="left" w:pos="0"/>
        </w:tabs>
        <w:spacing w:line="240" w:lineRule="auto"/>
        <w:ind w:firstLine="964"/>
        <w:jc w:val="center"/>
        <w:rPr>
          <w:rFonts w:hint="eastAsia" w:ascii="宋体" w:hAnsi="宋体"/>
          <w:b/>
          <w:sz w:val="48"/>
          <w:szCs w:val="48"/>
        </w:rPr>
      </w:pPr>
    </w:p>
    <w:p w14:paraId="2EAFC9E7">
      <w:pPr>
        <w:adjustRightInd w:val="0"/>
        <w:snapToGrid w:val="0"/>
        <w:ind w:firstLine="0" w:firstLineChars="0"/>
        <w:jc w:val="center"/>
        <w:rPr>
          <w:rFonts w:ascii="Calibri" w:hAnsi="Calibri" w:eastAsia="黑体"/>
          <w:b/>
          <w:sz w:val="52"/>
        </w:rPr>
      </w:pPr>
      <w:r>
        <w:rPr>
          <w:rFonts w:hint="eastAsia" w:ascii="Calibri" w:hAnsi="Calibri" w:eastAsia="黑体"/>
          <w:b/>
          <w:sz w:val="52"/>
          <w:lang w:val="en-US" w:eastAsia="zh-CN"/>
        </w:rPr>
        <w:t>超高压输电公司百色局2026年职工创新项目（面向超高压输电线路登塔作业的无源储能式外骨骼机器人研发）技术规范书</w:t>
      </w:r>
    </w:p>
    <w:p w14:paraId="6F380648">
      <w:pPr>
        <w:ind w:firstLine="600"/>
        <w:rPr>
          <w:sz w:val="30"/>
          <w:szCs w:val="30"/>
        </w:rPr>
      </w:pPr>
    </w:p>
    <w:p w14:paraId="78521D58">
      <w:pPr>
        <w:ind w:firstLine="1800" w:firstLineChars="600"/>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批准：</w:t>
      </w:r>
      <w:r>
        <w:rPr>
          <w:color w:val="000000" w:themeColor="text1"/>
          <w:sz w:val="30"/>
          <w:szCs w:val="30"/>
          <w14:textFill>
            <w14:solidFill>
              <w14:schemeClr w14:val="tx1"/>
            </w14:solidFill>
          </w14:textFill>
        </w:rPr>
        <w:t xml:space="preserve"> </w:t>
      </w:r>
    </w:p>
    <w:p w14:paraId="7F02B682">
      <w:pPr>
        <w:ind w:firstLine="1800" w:firstLineChars="600"/>
        <w:rPr>
          <w:color w:val="000000" w:themeColor="text1"/>
          <w:sz w:val="30"/>
          <w:szCs w:val="30"/>
          <w14:textFill>
            <w14:solidFill>
              <w14:schemeClr w14:val="tx1"/>
            </w14:solidFill>
          </w14:textFill>
        </w:rPr>
      </w:pPr>
    </w:p>
    <w:p w14:paraId="1A604154">
      <w:pPr>
        <w:ind w:firstLine="1800" w:firstLineChars="600"/>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审定：</w:t>
      </w:r>
    </w:p>
    <w:p w14:paraId="1E5E38CB">
      <w:pPr>
        <w:ind w:firstLine="1800" w:firstLineChars="600"/>
        <w:rPr>
          <w:color w:val="000000" w:themeColor="text1"/>
          <w:sz w:val="30"/>
          <w:szCs w:val="30"/>
          <w14:textFill>
            <w14:solidFill>
              <w14:schemeClr w14:val="tx1"/>
            </w14:solidFill>
          </w14:textFill>
        </w:rPr>
      </w:pPr>
    </w:p>
    <w:p w14:paraId="4D31432F">
      <w:pPr>
        <w:ind w:firstLine="1800" w:firstLineChars="600"/>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审核：</w:t>
      </w:r>
      <w:r>
        <w:rPr>
          <w:color w:val="000000" w:themeColor="text1"/>
          <w:sz w:val="30"/>
          <w:szCs w:val="30"/>
          <w14:textFill>
            <w14:solidFill>
              <w14:schemeClr w14:val="tx1"/>
            </w14:solidFill>
          </w14:textFill>
        </w:rPr>
        <w:t xml:space="preserve"> </w:t>
      </w:r>
    </w:p>
    <w:p w14:paraId="34F5D3B5">
      <w:pPr>
        <w:ind w:firstLine="1800" w:firstLineChars="600"/>
        <w:rPr>
          <w:color w:val="000000" w:themeColor="text1"/>
          <w:sz w:val="30"/>
          <w:szCs w:val="30"/>
          <w14:textFill>
            <w14:solidFill>
              <w14:schemeClr w14:val="tx1"/>
            </w14:solidFill>
          </w14:textFill>
        </w:rPr>
      </w:pPr>
    </w:p>
    <w:p w14:paraId="0FCA0CB0">
      <w:pPr>
        <w:adjustRightInd w:val="0"/>
        <w:snapToGrid w:val="0"/>
        <w:ind w:firstLine="1800" w:firstLineChars="600"/>
        <w:rPr>
          <w:sz w:val="28"/>
          <w:szCs w:val="36"/>
        </w:rPr>
      </w:pPr>
      <w:r>
        <w:rPr>
          <w:rFonts w:hint="eastAsia"/>
          <w:color w:val="000000" w:themeColor="text1"/>
          <w:sz w:val="30"/>
          <w:szCs w:val="30"/>
          <w14:textFill>
            <w14:solidFill>
              <w14:schemeClr w14:val="tx1"/>
            </w14:solidFill>
          </w14:textFill>
        </w:rPr>
        <w:t>编写：</w:t>
      </w:r>
    </w:p>
    <w:p w14:paraId="1238F811">
      <w:pPr>
        <w:pStyle w:val="6"/>
        <w:rPr>
          <w:sz w:val="28"/>
          <w:szCs w:val="36"/>
        </w:rPr>
      </w:pPr>
    </w:p>
    <w:p w14:paraId="5F9FE04B">
      <w:pPr>
        <w:keepNext w:val="0"/>
        <w:keepLines w:val="0"/>
        <w:pageBreakBefore w:val="0"/>
        <w:widowControl w:val="0"/>
        <w:kinsoku/>
        <w:wordWrap/>
        <w:overflowPunct/>
        <w:topLinePunct w:val="0"/>
        <w:autoSpaceDE/>
        <w:autoSpaceDN/>
        <w:bidi w:val="0"/>
        <w:adjustRightInd/>
        <w:snapToGrid/>
        <w:ind w:firstLine="723"/>
        <w:jc w:val="center"/>
        <w:textAlignment w:val="auto"/>
        <w:outlineLvl w:val="9"/>
        <w:rPr>
          <w:rFonts w:hint="eastAsia" w:ascii="宋体" w:hAnsi="宋体"/>
          <w:b/>
          <w:color w:val="000000" w:themeColor="text1"/>
          <w:sz w:val="36"/>
          <w14:textFill>
            <w14:solidFill>
              <w14:schemeClr w14:val="tx1"/>
            </w14:solidFill>
          </w14:textFill>
        </w:rPr>
      </w:pPr>
      <w:bookmarkStart w:id="4" w:name="_Toc30053"/>
      <w:bookmarkStart w:id="5" w:name="_Toc19998"/>
      <w:bookmarkStart w:id="6" w:name="_Toc218675718"/>
      <w:r>
        <w:rPr>
          <w:rFonts w:hint="eastAsia" w:ascii="宋体" w:hAnsi="宋体"/>
          <w:b/>
          <w:color w:val="000000" w:themeColor="text1"/>
          <w:sz w:val="36"/>
          <w:highlight w:val="none"/>
          <w:lang w:val="en-US" w:eastAsia="zh-CN"/>
          <w14:textFill>
            <w14:solidFill>
              <w14:schemeClr w14:val="tx1"/>
            </w14:solidFill>
          </w14:textFill>
        </w:rPr>
        <w:t>南网</w:t>
      </w:r>
      <w:r>
        <w:rPr>
          <w:rFonts w:hint="eastAsia" w:ascii="宋体" w:hAnsi="宋体"/>
          <w:b/>
          <w:color w:val="000000" w:themeColor="text1"/>
          <w:sz w:val="36"/>
          <w:highlight w:val="none"/>
          <w14:textFill>
            <w14:solidFill>
              <w14:schemeClr w14:val="tx1"/>
            </w14:solidFill>
          </w14:textFill>
        </w:rPr>
        <w:t>超高压</w:t>
      </w:r>
      <w:r>
        <w:rPr>
          <w:rFonts w:hint="eastAsia" w:ascii="宋体" w:hAnsi="宋体"/>
          <w:b/>
          <w:color w:val="000000" w:themeColor="text1"/>
          <w:sz w:val="36"/>
          <w14:textFill>
            <w14:solidFill>
              <w14:schemeClr w14:val="tx1"/>
            </w14:solidFill>
          </w14:textFill>
        </w:rPr>
        <w:t>公司</w:t>
      </w:r>
      <w:bookmarkEnd w:id="4"/>
      <w:r>
        <w:rPr>
          <w:rFonts w:hint="eastAsia" w:ascii="宋体" w:hAnsi="宋体"/>
          <w:b/>
          <w:color w:val="000000" w:themeColor="text1"/>
          <w:sz w:val="36"/>
          <w14:textFill>
            <w14:solidFill>
              <w14:schemeClr w14:val="tx1"/>
            </w14:solidFill>
          </w14:textFill>
        </w:rPr>
        <w:t>百色局</w:t>
      </w:r>
      <w:bookmarkEnd w:id="5"/>
      <w:bookmarkEnd w:id="6"/>
    </w:p>
    <w:p w14:paraId="607A4DFF">
      <w:pPr>
        <w:keepNext w:val="0"/>
        <w:keepLines w:val="0"/>
        <w:pageBreakBefore w:val="0"/>
        <w:widowControl w:val="0"/>
        <w:kinsoku/>
        <w:wordWrap/>
        <w:overflowPunct/>
        <w:topLinePunct w:val="0"/>
        <w:autoSpaceDE/>
        <w:autoSpaceDN/>
        <w:bidi w:val="0"/>
        <w:adjustRightInd/>
        <w:snapToGrid/>
        <w:ind w:firstLine="723"/>
        <w:jc w:val="center"/>
        <w:textAlignment w:val="auto"/>
        <w:outlineLvl w:val="9"/>
        <w:rPr>
          <w:rFonts w:hint="eastAsia" w:ascii="宋体" w:hAnsi="宋体"/>
          <w:b/>
          <w:sz w:val="36"/>
        </w:rPr>
      </w:pPr>
      <w:r>
        <w:rPr>
          <w:rFonts w:hint="eastAsia" w:ascii="宋体" w:hAnsi="宋体"/>
          <w:b/>
          <w:sz w:val="36"/>
        </w:rPr>
        <w:t>2026年</w:t>
      </w:r>
      <w:r>
        <w:rPr>
          <w:rFonts w:hint="eastAsia" w:ascii="宋体" w:hAnsi="宋体"/>
          <w:b/>
          <w:sz w:val="36"/>
          <w:lang w:val="en-US" w:eastAsia="zh-CN"/>
        </w:rPr>
        <w:t>6</w:t>
      </w:r>
      <w:r>
        <w:rPr>
          <w:rFonts w:hint="eastAsia" w:ascii="宋体" w:hAnsi="宋体"/>
          <w:b/>
          <w:sz w:val="36"/>
        </w:rPr>
        <w:t>月</w:t>
      </w:r>
    </w:p>
    <w:p w14:paraId="5F589BD7">
      <w:pPr>
        <w:adjustRightInd w:val="0"/>
        <w:snapToGrid w:val="0"/>
        <w:ind w:firstLine="640"/>
        <w:jc w:val="center"/>
        <w:rPr>
          <w:rFonts w:hint="eastAsia" w:ascii="黑体" w:hAnsi="黑体" w:eastAsia="黑体" w:cs="黑体"/>
          <w:sz w:val="32"/>
          <w:szCs w:val="32"/>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pPr>
    </w:p>
    <w:p w14:paraId="37C89A50">
      <w:pPr>
        <w:ind w:firstLine="0" w:firstLineChars="0"/>
        <w:jc w:val="center"/>
        <w:rPr>
          <w:rFonts w:hint="eastAsia" w:hAnsi="宋体"/>
          <w:b/>
          <w:spacing w:val="100"/>
          <w:sz w:val="32"/>
          <w:szCs w:val="30"/>
        </w:rPr>
      </w:pPr>
    </w:p>
    <w:p w14:paraId="78308052">
      <w:pPr>
        <w:spacing w:line="240" w:lineRule="auto"/>
        <w:ind w:firstLine="0" w:firstLineChars="0"/>
        <w:jc w:val="center"/>
        <w:rPr>
          <w:rFonts w:hint="eastAsia" w:hAnsi="宋体"/>
          <w:b/>
          <w:spacing w:val="100"/>
          <w:sz w:val="32"/>
          <w:szCs w:val="30"/>
        </w:rPr>
      </w:pPr>
      <w:r>
        <w:rPr>
          <w:rFonts w:hAnsi="宋体"/>
          <w:b/>
          <w:spacing w:val="100"/>
          <w:sz w:val="32"/>
          <w:szCs w:val="30"/>
        </w:rPr>
        <w:t>目录</w:t>
      </w:r>
    </w:p>
    <w:p w14:paraId="5681AABB">
      <w:pPr>
        <w:pStyle w:val="15"/>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TOC \o "1-1" \h \u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_Toc9520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1.总则</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PAGEREF _Toc9520 \h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1</w:t>
      </w:r>
      <w:r>
        <w:rPr>
          <w:rStyle w:val="23"/>
          <w:rFonts w:hint="eastAsia"/>
          <w:b/>
          <w:bCs/>
          <w:color w:val="000000" w:themeColor="text1"/>
          <w:highlight w:val="none"/>
          <w:lang w:val="en-US" w:eastAsia="zh-CN"/>
          <w14:textFill>
            <w14:solidFill>
              <w14:schemeClr w14:val="tx1"/>
            </w14:solidFill>
          </w14:textFill>
        </w:rPr>
        <w:fldChar w:fldCharType="end"/>
      </w:r>
      <w:r>
        <w:rPr>
          <w:rStyle w:val="23"/>
          <w:rFonts w:hint="eastAsia"/>
          <w:b/>
          <w:bCs/>
          <w:color w:val="000000" w:themeColor="text1"/>
          <w:highlight w:val="none"/>
          <w:lang w:val="en-US" w:eastAsia="zh-CN"/>
          <w14:textFill>
            <w14:solidFill>
              <w14:schemeClr w14:val="tx1"/>
            </w14:solidFill>
          </w14:textFill>
        </w:rPr>
        <w:fldChar w:fldCharType="end"/>
      </w:r>
    </w:p>
    <w:p w14:paraId="64C1C7CA">
      <w:pPr>
        <w:pStyle w:val="15"/>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_Toc5588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2.应遵循的主要标准</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PAGEREF _Toc5588 \h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1</w:t>
      </w:r>
      <w:r>
        <w:rPr>
          <w:rStyle w:val="23"/>
          <w:rFonts w:hint="eastAsia"/>
          <w:b/>
          <w:bCs/>
          <w:color w:val="000000" w:themeColor="text1"/>
          <w:highlight w:val="none"/>
          <w:lang w:val="en-US" w:eastAsia="zh-CN"/>
          <w14:textFill>
            <w14:solidFill>
              <w14:schemeClr w14:val="tx1"/>
            </w14:solidFill>
          </w14:textFill>
        </w:rPr>
        <w:fldChar w:fldCharType="end"/>
      </w:r>
      <w:r>
        <w:rPr>
          <w:rStyle w:val="23"/>
          <w:rFonts w:hint="eastAsia"/>
          <w:b/>
          <w:bCs/>
          <w:color w:val="000000" w:themeColor="text1"/>
          <w:highlight w:val="none"/>
          <w:lang w:val="en-US" w:eastAsia="zh-CN"/>
          <w14:textFill>
            <w14:solidFill>
              <w14:schemeClr w14:val="tx1"/>
            </w14:solidFill>
          </w14:textFill>
        </w:rPr>
        <w:fldChar w:fldCharType="end"/>
      </w:r>
    </w:p>
    <w:p w14:paraId="7D502287">
      <w:pPr>
        <w:pStyle w:val="15"/>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_Toc16474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3.使用条件</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t>2</w:t>
      </w:r>
      <w:r>
        <w:rPr>
          <w:rStyle w:val="23"/>
          <w:rFonts w:hint="eastAsia"/>
          <w:b/>
          <w:bCs/>
          <w:color w:val="000000" w:themeColor="text1"/>
          <w:highlight w:val="none"/>
          <w:lang w:val="en-US" w:eastAsia="zh-CN"/>
          <w14:textFill>
            <w14:solidFill>
              <w14:schemeClr w14:val="tx1"/>
            </w14:solidFill>
          </w14:textFill>
        </w:rPr>
        <w:fldChar w:fldCharType="end"/>
      </w:r>
    </w:p>
    <w:p w14:paraId="4C565865">
      <w:pPr>
        <w:pStyle w:val="15"/>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_Toc27043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4.制作原则</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t>3</w:t>
      </w:r>
      <w:r>
        <w:rPr>
          <w:rStyle w:val="23"/>
          <w:rFonts w:hint="eastAsia"/>
          <w:b/>
          <w:bCs/>
          <w:color w:val="000000" w:themeColor="text1"/>
          <w:highlight w:val="none"/>
          <w:lang w:val="en-US" w:eastAsia="zh-CN"/>
          <w14:textFill>
            <w14:solidFill>
              <w14:schemeClr w14:val="tx1"/>
            </w14:solidFill>
          </w14:textFill>
        </w:rPr>
        <w:fldChar w:fldCharType="end"/>
      </w:r>
    </w:p>
    <w:p w14:paraId="3396FC4D">
      <w:pPr>
        <w:pStyle w:val="15"/>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_Toc22696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5.技术服务内容及方式</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t>3</w:t>
      </w:r>
      <w:r>
        <w:rPr>
          <w:rStyle w:val="23"/>
          <w:rFonts w:hint="eastAsia"/>
          <w:b/>
          <w:bCs/>
          <w:color w:val="000000" w:themeColor="text1"/>
          <w:highlight w:val="none"/>
          <w:lang w:val="en-US" w:eastAsia="zh-CN"/>
          <w14:textFill>
            <w14:solidFill>
              <w14:schemeClr w14:val="tx1"/>
            </w14:solidFill>
          </w14:textFill>
        </w:rPr>
        <w:fldChar w:fldCharType="end"/>
      </w:r>
    </w:p>
    <w:p w14:paraId="5CFEC66E">
      <w:pPr>
        <w:pStyle w:val="15"/>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_Toc23208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6.对投标方的要求</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t>5</w:t>
      </w:r>
      <w:r>
        <w:rPr>
          <w:rStyle w:val="23"/>
          <w:rFonts w:hint="eastAsia"/>
          <w:b/>
          <w:bCs/>
          <w:color w:val="000000" w:themeColor="text1"/>
          <w:highlight w:val="none"/>
          <w:lang w:val="en-US" w:eastAsia="zh-CN"/>
          <w14:textFill>
            <w14:solidFill>
              <w14:schemeClr w14:val="tx1"/>
            </w14:solidFill>
          </w14:textFill>
        </w:rPr>
        <w:fldChar w:fldCharType="end"/>
      </w:r>
    </w:p>
    <w:p w14:paraId="16A44F7D">
      <w:pPr>
        <w:pStyle w:val="15"/>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_Toc30826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7.售后服务及其它服务要求</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t>6</w:t>
      </w:r>
      <w:r>
        <w:rPr>
          <w:rStyle w:val="23"/>
          <w:rFonts w:hint="eastAsia"/>
          <w:b/>
          <w:bCs/>
          <w:color w:val="000000" w:themeColor="text1"/>
          <w:highlight w:val="none"/>
          <w:lang w:val="en-US" w:eastAsia="zh-CN"/>
          <w14:textFill>
            <w14:solidFill>
              <w14:schemeClr w14:val="tx1"/>
            </w14:solidFill>
          </w14:textFill>
        </w:rPr>
        <w:fldChar w:fldCharType="end"/>
      </w:r>
    </w:p>
    <w:p w14:paraId="7154CD63">
      <w:pPr>
        <w:pStyle w:val="15"/>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_Toc16657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8.对投标技术文件的要求</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t>7</w:t>
      </w:r>
      <w:r>
        <w:rPr>
          <w:rStyle w:val="23"/>
          <w:rFonts w:hint="eastAsia"/>
          <w:b/>
          <w:bCs/>
          <w:color w:val="000000" w:themeColor="text1"/>
          <w:highlight w:val="none"/>
          <w:lang w:val="en-US" w:eastAsia="zh-CN"/>
          <w14:textFill>
            <w14:solidFill>
              <w14:schemeClr w14:val="tx1"/>
            </w14:solidFill>
          </w14:textFill>
        </w:rPr>
        <w:fldChar w:fldCharType="end"/>
      </w:r>
    </w:p>
    <w:p w14:paraId="31F47175">
      <w:pPr>
        <w:pStyle w:val="15"/>
        <w:tabs>
          <w:tab w:val="right" w:leader="dot" w:pos="8296"/>
        </w:tabs>
        <w:spacing w:line="360" w:lineRule="auto"/>
      </w:pPr>
      <w:r>
        <w:rPr>
          <w:rStyle w:val="23"/>
          <w:rFonts w:hint="eastAsia"/>
          <w:b/>
          <w:bCs/>
          <w:color w:val="000000" w:themeColor="text1"/>
          <w:highlight w:val="none"/>
          <w:lang w:val="en-US" w:eastAsia="zh-CN"/>
          <w14:textFill>
            <w14:solidFill>
              <w14:schemeClr w14:val="tx1"/>
            </w14:solidFill>
          </w14:textFill>
        </w:rPr>
        <w:fldChar w:fldCharType="end"/>
      </w:r>
    </w:p>
    <w:p w14:paraId="21B67B3A">
      <w:pPr>
        <w:pStyle w:val="15"/>
        <w:tabs>
          <w:tab w:val="right" w:leader="dot" w:pos="8296"/>
        </w:tabs>
        <w:spacing w:line="360" w:lineRule="auto"/>
        <w:rPr>
          <w:rFonts w:eastAsia="黑体"/>
          <w:sz w:val="30"/>
          <w:u w:color="000000"/>
        </w:rPr>
        <w:sectPr>
          <w:headerReference r:id="rId13" w:type="first"/>
          <w:footerReference r:id="rId16" w:type="first"/>
          <w:headerReference r:id="rId11" w:type="default"/>
          <w:footerReference r:id="rId14" w:type="default"/>
          <w:headerReference r:id="rId12" w:type="even"/>
          <w:footerReference r:id="rId15" w:type="even"/>
          <w:pgSz w:w="11906" w:h="16838"/>
          <w:pgMar w:top="1440" w:right="1800" w:bottom="1440" w:left="1800" w:header="851" w:footer="992" w:gutter="0"/>
          <w:cols w:space="720" w:num="1"/>
          <w:docGrid w:type="lines" w:linePitch="312" w:charSpace="0"/>
        </w:sectPr>
      </w:pPr>
      <w:r>
        <w:rPr>
          <w:rFonts w:eastAsia="黑体"/>
          <w:sz w:val="30"/>
          <w:u w:color="000000"/>
        </w:rPr>
        <w:br w:type="page"/>
      </w:r>
    </w:p>
    <w:p w14:paraId="2EFC382E">
      <w:pPr>
        <w:pStyle w:val="4"/>
        <w:numPr>
          <w:ilvl w:val="255"/>
          <w:numId w:val="0"/>
        </w:numPr>
        <w:spacing w:before="312" w:after="156"/>
        <w:rPr>
          <w:rFonts w:hint="eastAsia" w:ascii="宋体" w:hAnsi="宋体" w:eastAsia="宋体" w:cs="Times New Roman"/>
        </w:rPr>
      </w:pPr>
      <w:bookmarkStart w:id="7" w:name="_Toc28984"/>
      <w:bookmarkStart w:id="8" w:name="_Toc5872"/>
      <w:bookmarkStart w:id="9" w:name="_Toc9520"/>
      <w:r>
        <w:rPr>
          <w:rFonts w:hint="eastAsia" w:ascii="宋体" w:hAnsi="宋体" w:eastAsia="宋体" w:cs="Times New Roman"/>
        </w:rPr>
        <w:t>1.</w:t>
      </w:r>
      <w:r>
        <w:rPr>
          <w:rFonts w:ascii="宋体" w:hAnsi="宋体" w:eastAsia="宋体" w:cs="Times New Roman"/>
        </w:rPr>
        <w:t>总则</w:t>
      </w:r>
      <w:bookmarkEnd w:id="7"/>
      <w:bookmarkEnd w:id="8"/>
      <w:bookmarkEnd w:id="9"/>
    </w:p>
    <w:p w14:paraId="3EDD7091">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1.1 本技术规范书适用于《南网超高压公司百色局2026年职创项目（面向超高压输电线路登塔作业的无源储能式外骨骼机器人研发）》，提出了项目的技术内容、工期进度等要求，投标方应针对自身特点，根据本技术规范书所描述的具体要求，提供完整的解决方案。</w:t>
      </w:r>
    </w:p>
    <w:p w14:paraId="2E964E34">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1.2 本次专项招标采购方为中国南方电网有限责任公司超高压输电公司百色局（以下简称“招标方”或“百色局”），在本文中，具备所要求资质参与投标的供应商简称“投标方”，中标的投标人简称“中标方”。</w:t>
      </w:r>
    </w:p>
    <w:p w14:paraId="2954316A">
      <w:pPr>
        <w:tabs>
          <w:tab w:val="left" w:pos="851"/>
        </w:tabs>
        <w:ind w:firstLine="480"/>
        <w:rPr>
          <w:rFonts w:hint="eastAsia" w:ascii="宋体" w:hAnsi="宋体" w:eastAsia="宋体" w:cs="宋体"/>
          <w:lang w:val="en-US" w:eastAsia="zh-CN"/>
        </w:rPr>
      </w:pPr>
      <w:bookmarkStart w:id="10" w:name="_Toc14127"/>
      <w:r>
        <w:rPr>
          <w:rFonts w:hint="eastAsia" w:ascii="宋体" w:hAnsi="宋体" w:eastAsia="宋体" w:cs="宋体"/>
          <w:lang w:val="en-US" w:eastAsia="zh-CN"/>
        </w:rPr>
        <w:t>1.3 如投标方提供的技术服务或方案与本技术规范书要求有差异，即使是微小的差异，也应以书面形式言明，并说明原因。如投标方没有以书面形式对本技术规范书的条文提出异议，那么投标方提供的技术服务或方案应完全满足本技术规范书的要求。</w:t>
      </w:r>
    </w:p>
    <w:p w14:paraId="1EC2E8EF">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1.4 在根据本技术规范书签订协议之后，招标方有权提出因标准或规程规范发生变化而产生的一些补充，具体项目由招、投标双方共同商定。</w:t>
      </w:r>
    </w:p>
    <w:p w14:paraId="56128149">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1.5 本技术规范书所使用的标准如遇与投标方所执行的标准发生矛盾时，按较高标准执行，本技术规范书未全部引用应用标准，凡是本技术规范书牵涉的各项内容均按最新标准实施。</w:t>
      </w:r>
    </w:p>
    <w:p w14:paraId="37BF4750">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1.6 本技术规范书经招、投标双方确认后作为签订合同的技术附件，与合同正文具有同等法律效力。同时，技术规范书未尽事宜，由招、投标双方协商确定。</w:t>
      </w:r>
    </w:p>
    <w:p w14:paraId="4D656C63">
      <w:pPr>
        <w:pStyle w:val="4"/>
        <w:numPr>
          <w:ilvl w:val="255"/>
          <w:numId w:val="0"/>
        </w:numPr>
        <w:spacing w:before="312" w:after="156"/>
        <w:rPr>
          <w:rFonts w:hint="eastAsia" w:ascii="宋体" w:hAnsi="宋体" w:eastAsia="宋体" w:cs="Times New Roman"/>
        </w:rPr>
      </w:pPr>
      <w:bookmarkStart w:id="11" w:name="_Toc5588"/>
      <w:bookmarkStart w:id="12" w:name="_Toc2740"/>
      <w:r>
        <w:rPr>
          <w:rFonts w:hint="eastAsia" w:ascii="宋体" w:hAnsi="宋体" w:eastAsia="宋体" w:cs="Times New Roman"/>
        </w:rPr>
        <w:t>2.应遵循的主要标准</w:t>
      </w:r>
      <w:bookmarkEnd w:id="10"/>
      <w:bookmarkEnd w:id="11"/>
      <w:bookmarkEnd w:id="12"/>
    </w:p>
    <w:bookmarkEnd w:id="0"/>
    <w:bookmarkEnd w:id="1"/>
    <w:bookmarkEnd w:id="2"/>
    <w:bookmarkEnd w:id="3"/>
    <w:p w14:paraId="2D32E540">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项目制作过程及成果须满足IEC标准、国家行业标准、南方电网企业标准（规范）。若已颁布的相关技术标准或规范被修订，使用本技术规范书的各方应探讨使用最新版本的可能性。</w:t>
      </w:r>
    </w:p>
    <w:p w14:paraId="11D5B808">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本项目实施过程中所应用到的各种标准，由投标方推荐，经招标方确认后由投标方提供并在项目中使用。</w:t>
      </w:r>
    </w:p>
    <w:p w14:paraId="04CBE061">
      <w:pPr>
        <w:tabs>
          <w:tab w:val="left" w:pos="851"/>
        </w:tabs>
        <w:ind w:firstLine="480"/>
        <w:rPr>
          <w:rFonts w:hint="eastAsia" w:ascii="宋体" w:hAnsi="宋体" w:eastAsia="宋体" w:cs="宋体"/>
          <w:lang w:val="en-US" w:eastAsia="zh-CN"/>
        </w:rPr>
      </w:pPr>
    </w:p>
    <w:p w14:paraId="5FBD00A2">
      <w:pPr>
        <w:tabs>
          <w:tab w:val="left" w:pos="851"/>
        </w:tabs>
        <w:ind w:firstLine="480"/>
        <w:rPr>
          <w:rFonts w:hint="eastAsia" w:ascii="宋体" w:hAnsi="宋体" w:eastAsia="宋体" w:cs="宋体"/>
          <w:lang w:val="en-US" w:eastAsia="zh-CN"/>
        </w:rPr>
      </w:pPr>
    </w:p>
    <w:p w14:paraId="374472FF">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推荐使用但不限于以下标准：</w:t>
      </w:r>
    </w:p>
    <w:tbl>
      <w:tblPr>
        <w:tblStyle w:val="18"/>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734"/>
        <w:gridCol w:w="5786"/>
      </w:tblGrid>
      <w:tr w14:paraId="7BECCA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04" w:type="pct"/>
            <w:noWrap w:val="0"/>
            <w:vAlign w:val="center"/>
          </w:tcPr>
          <w:p w14:paraId="6291CC22">
            <w:pPr>
              <w:pStyle w:val="37"/>
              <w:tabs>
                <w:tab w:val="left" w:pos="2160"/>
                <w:tab w:val="clear" w:pos="4201"/>
                <w:tab w:val="clear" w:pos="9298"/>
              </w:tabs>
              <w:adjustRightInd w:val="0"/>
              <w:snapToGrid w:val="0"/>
              <w:spacing w:line="360" w:lineRule="auto"/>
              <w:ind w:firstLine="0" w:firstLineChars="0"/>
              <w:jc w:val="center"/>
              <w:rPr>
                <w:rFonts w:ascii="Times New Roman"/>
                <w:b/>
                <w:bCs/>
                <w:szCs w:val="21"/>
              </w:rPr>
            </w:pPr>
            <w:r>
              <w:rPr>
                <w:rFonts w:hint="eastAsia" w:ascii="Times New Roman"/>
                <w:b/>
                <w:bCs/>
                <w:szCs w:val="21"/>
              </w:rPr>
              <w:t>标准号</w:t>
            </w:r>
          </w:p>
        </w:tc>
        <w:tc>
          <w:tcPr>
            <w:tcW w:w="3395" w:type="pct"/>
            <w:noWrap w:val="0"/>
            <w:vAlign w:val="center"/>
          </w:tcPr>
          <w:p w14:paraId="2718DD9D">
            <w:pPr>
              <w:pStyle w:val="37"/>
              <w:tabs>
                <w:tab w:val="left" w:pos="2160"/>
                <w:tab w:val="clear" w:pos="4201"/>
                <w:tab w:val="clear" w:pos="9298"/>
              </w:tabs>
              <w:adjustRightInd w:val="0"/>
              <w:snapToGrid w:val="0"/>
              <w:spacing w:line="360" w:lineRule="auto"/>
              <w:ind w:firstLine="0" w:firstLineChars="0"/>
              <w:jc w:val="center"/>
              <w:rPr>
                <w:rFonts w:ascii="Times New Roman"/>
                <w:b/>
                <w:bCs/>
                <w:szCs w:val="21"/>
              </w:rPr>
            </w:pPr>
            <w:r>
              <w:rPr>
                <w:rFonts w:hint="eastAsia" w:ascii="Times New Roman"/>
                <w:b/>
                <w:bCs/>
                <w:szCs w:val="21"/>
              </w:rPr>
              <w:t>标准名称</w:t>
            </w:r>
          </w:p>
        </w:tc>
      </w:tr>
      <w:tr w14:paraId="1977B1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04" w:type="pct"/>
            <w:noWrap w:val="0"/>
            <w:vAlign w:val="center"/>
          </w:tcPr>
          <w:p w14:paraId="2A70E990">
            <w:pPr>
              <w:pStyle w:val="37"/>
              <w:tabs>
                <w:tab w:val="left" w:pos="2160"/>
                <w:tab w:val="clear" w:pos="4201"/>
                <w:tab w:val="clear" w:pos="9298"/>
              </w:tabs>
              <w:adjustRightInd w:val="0"/>
              <w:snapToGrid w:val="0"/>
              <w:spacing w:line="360" w:lineRule="auto"/>
              <w:ind w:firstLine="0" w:firstLineChars="0"/>
              <w:rPr>
                <w:rFonts w:hint="default" w:ascii="Times New Roman" w:eastAsia="宋体"/>
                <w:szCs w:val="21"/>
                <w:lang w:val="en-US" w:eastAsia="zh-CN"/>
              </w:rPr>
            </w:pPr>
            <w:r>
              <w:rPr>
                <w:rFonts w:hint="eastAsia" w:ascii="Times New Roman"/>
                <w:szCs w:val="21"/>
              </w:rPr>
              <w:t>GB 50545-2010</w:t>
            </w:r>
          </w:p>
        </w:tc>
        <w:tc>
          <w:tcPr>
            <w:tcW w:w="3395" w:type="pct"/>
            <w:noWrap w:val="0"/>
            <w:vAlign w:val="center"/>
          </w:tcPr>
          <w:p w14:paraId="3C827526">
            <w:pPr>
              <w:pStyle w:val="37"/>
              <w:tabs>
                <w:tab w:val="left" w:pos="2160"/>
                <w:tab w:val="clear" w:pos="4201"/>
                <w:tab w:val="clear" w:pos="9298"/>
              </w:tabs>
              <w:adjustRightInd w:val="0"/>
              <w:snapToGrid w:val="0"/>
              <w:spacing w:beforeLines="0" w:afterLines="0" w:line="360" w:lineRule="auto"/>
              <w:ind w:firstLine="0" w:firstLineChars="0"/>
              <w:jc w:val="left"/>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《110kV~750kV架空输电线路设计规范》</w:t>
            </w:r>
          </w:p>
        </w:tc>
      </w:tr>
      <w:tr w14:paraId="4610F0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04" w:type="pct"/>
            <w:noWrap w:val="0"/>
            <w:vAlign w:val="center"/>
          </w:tcPr>
          <w:p w14:paraId="7E16355F">
            <w:pPr>
              <w:pStyle w:val="37"/>
              <w:tabs>
                <w:tab w:val="left" w:pos="2160"/>
                <w:tab w:val="clear" w:pos="4201"/>
                <w:tab w:val="clear" w:pos="9298"/>
              </w:tabs>
              <w:adjustRightInd w:val="0"/>
              <w:snapToGrid w:val="0"/>
              <w:spacing w:line="360" w:lineRule="auto"/>
              <w:ind w:firstLine="0" w:firstLineChars="0"/>
              <w:rPr>
                <w:rFonts w:hint="default" w:ascii="Times New Roman" w:eastAsia="宋体"/>
                <w:szCs w:val="21"/>
                <w:lang w:val="en-US" w:eastAsia="zh-CN"/>
              </w:rPr>
            </w:pPr>
            <w:r>
              <w:rPr>
                <w:rFonts w:hint="eastAsia" w:ascii="Times New Roman"/>
                <w:szCs w:val="21"/>
                <w:lang w:val="en-US" w:eastAsia="zh-CN"/>
              </w:rPr>
              <w:t>DL/T 741-2019</w:t>
            </w:r>
          </w:p>
        </w:tc>
        <w:tc>
          <w:tcPr>
            <w:tcW w:w="3395" w:type="pct"/>
            <w:noWrap w:val="0"/>
            <w:vAlign w:val="center"/>
          </w:tcPr>
          <w:p w14:paraId="59CA3142">
            <w:pPr>
              <w:pStyle w:val="37"/>
              <w:tabs>
                <w:tab w:val="left" w:pos="2160"/>
                <w:tab w:val="clear" w:pos="4201"/>
                <w:tab w:val="clear" w:pos="9298"/>
              </w:tabs>
              <w:adjustRightInd w:val="0"/>
              <w:snapToGrid w:val="0"/>
              <w:spacing w:beforeLines="0" w:afterLines="0" w:line="360" w:lineRule="auto"/>
              <w:ind w:firstLine="0" w:firstLineChars="0"/>
              <w:jc w:val="left"/>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《架空输电线路运行规程》</w:t>
            </w:r>
          </w:p>
        </w:tc>
      </w:tr>
      <w:tr w14:paraId="0B19D4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04" w:type="pct"/>
            <w:noWrap w:val="0"/>
            <w:vAlign w:val="center"/>
          </w:tcPr>
          <w:p w14:paraId="2B8F9881">
            <w:pPr>
              <w:pStyle w:val="37"/>
              <w:tabs>
                <w:tab w:val="left" w:pos="2160"/>
                <w:tab w:val="clear" w:pos="4201"/>
                <w:tab w:val="clear" w:pos="9298"/>
              </w:tabs>
              <w:adjustRightInd w:val="0"/>
              <w:snapToGrid w:val="0"/>
              <w:spacing w:line="360" w:lineRule="auto"/>
              <w:ind w:firstLine="0" w:firstLineChars="0"/>
              <w:rPr>
                <w:rFonts w:hint="default" w:ascii="Times New Roman"/>
                <w:szCs w:val="21"/>
                <w:lang w:val="en-US" w:eastAsia="zh-CN"/>
              </w:rPr>
            </w:pPr>
            <w:r>
              <w:rPr>
                <w:rFonts w:hint="eastAsia" w:ascii="Times New Roman"/>
                <w:szCs w:val="21"/>
                <w:lang w:val="en-US" w:eastAsia="zh-CN"/>
              </w:rPr>
              <w:t>DL/T 1731-2017</w:t>
            </w:r>
          </w:p>
        </w:tc>
        <w:tc>
          <w:tcPr>
            <w:tcW w:w="3395" w:type="pct"/>
            <w:noWrap w:val="0"/>
            <w:vAlign w:val="center"/>
          </w:tcPr>
          <w:p w14:paraId="58AC6295">
            <w:pPr>
              <w:pStyle w:val="37"/>
              <w:tabs>
                <w:tab w:val="left" w:pos="2160"/>
                <w:tab w:val="clear" w:pos="4201"/>
                <w:tab w:val="clear" w:pos="9298"/>
              </w:tabs>
              <w:adjustRightInd w:val="0"/>
              <w:snapToGrid w:val="0"/>
              <w:spacing w:beforeLines="0" w:afterLines="0" w:line="360" w:lineRule="auto"/>
              <w:ind w:firstLine="0" w:firstLineChars="0"/>
              <w:jc w:val="left"/>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《架空输电线路状态监测装置通用技术规范》</w:t>
            </w:r>
          </w:p>
        </w:tc>
      </w:tr>
      <w:tr w14:paraId="4CE718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1604" w:type="pct"/>
            <w:noWrap w:val="0"/>
            <w:vAlign w:val="center"/>
          </w:tcPr>
          <w:p w14:paraId="709F4428">
            <w:pPr>
              <w:pStyle w:val="37"/>
              <w:tabs>
                <w:tab w:val="left" w:pos="2160"/>
                <w:tab w:val="clear" w:pos="4201"/>
                <w:tab w:val="clear" w:pos="9298"/>
              </w:tabs>
              <w:adjustRightInd w:val="0"/>
              <w:snapToGrid w:val="0"/>
              <w:spacing w:beforeLines="0" w:afterLines="0" w:line="360" w:lineRule="auto"/>
              <w:ind w:firstLine="0" w:firstLineChars="0"/>
              <w:jc w:val="left"/>
              <w:rPr>
                <w:rFonts w:hint="default" w:ascii="Times New Roman" w:hAnsi="Times New Roman" w:eastAsia="宋体"/>
                <w:color w:val="000000"/>
                <w:sz w:val="21"/>
                <w:szCs w:val="21"/>
                <w:lang w:val="en-US" w:eastAsia="zh-CN"/>
              </w:rPr>
            </w:pPr>
            <w:r>
              <w:rPr>
                <w:rFonts w:hint="default" w:ascii="Times New Roman" w:hAnsi="Times New Roman" w:eastAsia="宋体" w:cs="Times New Roman"/>
                <w:color w:val="000000"/>
                <w:sz w:val="21"/>
                <w:szCs w:val="21"/>
                <w:lang w:val="en-US" w:eastAsia="zh-CN"/>
              </w:rPr>
              <w:t>GB/T 44251-2024</w:t>
            </w:r>
          </w:p>
        </w:tc>
        <w:tc>
          <w:tcPr>
            <w:tcW w:w="3395" w:type="pct"/>
            <w:noWrap w:val="0"/>
            <w:vAlign w:val="center"/>
          </w:tcPr>
          <w:p w14:paraId="001A1264">
            <w:pPr>
              <w:pStyle w:val="37"/>
              <w:tabs>
                <w:tab w:val="left" w:pos="2160"/>
                <w:tab w:val="clear" w:pos="4201"/>
                <w:tab w:val="clear" w:pos="9298"/>
              </w:tabs>
              <w:adjustRightInd w:val="0"/>
              <w:snapToGrid w:val="0"/>
              <w:spacing w:beforeLines="0" w:afterLines="0" w:line="360" w:lineRule="auto"/>
              <w:ind w:firstLine="0" w:firstLineChars="0"/>
              <w:jc w:val="left"/>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 xml:space="preserve"> 腿式机器人性能及试验方法国家标准化管理委员会</w:t>
            </w:r>
          </w:p>
        </w:tc>
      </w:tr>
      <w:tr w14:paraId="489FF2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1604" w:type="pct"/>
            <w:noWrap w:val="0"/>
            <w:vAlign w:val="center"/>
          </w:tcPr>
          <w:p w14:paraId="6A05462F">
            <w:pPr>
              <w:pStyle w:val="37"/>
              <w:tabs>
                <w:tab w:val="left" w:pos="2160"/>
                <w:tab w:val="clear" w:pos="4201"/>
                <w:tab w:val="clear" w:pos="9298"/>
              </w:tabs>
              <w:adjustRightInd w:val="0"/>
              <w:snapToGrid w:val="0"/>
              <w:spacing w:beforeLines="0" w:afterLines="0" w:line="360" w:lineRule="auto"/>
              <w:ind w:firstLine="0" w:firstLineChars="0"/>
              <w:jc w:val="left"/>
              <w:rPr>
                <w:rFonts w:hint="default" w:ascii="Times New Roman" w:hAnsi="Times New Roman" w:eastAsia="宋体"/>
                <w:color w:val="000000"/>
                <w:sz w:val="21"/>
                <w:szCs w:val="21"/>
                <w:lang w:val="en-US" w:eastAsia="zh-CN"/>
              </w:rPr>
            </w:pPr>
            <w:r>
              <w:rPr>
                <w:rFonts w:hint="default" w:ascii="Times New Roman" w:hAnsi="Times New Roman" w:eastAsia="宋体" w:cs="Times New Roman"/>
                <w:color w:val="000000"/>
                <w:sz w:val="21"/>
                <w:szCs w:val="21"/>
                <w:lang w:val="en-US" w:eastAsia="zh-CN"/>
              </w:rPr>
              <w:t xml:space="preserve">GB/T 37704-2019 </w:t>
            </w:r>
          </w:p>
        </w:tc>
        <w:tc>
          <w:tcPr>
            <w:tcW w:w="3395" w:type="pct"/>
            <w:noWrap w:val="0"/>
            <w:vAlign w:val="center"/>
          </w:tcPr>
          <w:p w14:paraId="208A9F9A">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lang w:val="en-US" w:eastAsia="zh-CN"/>
              </w:rPr>
              <w:t>机器人与机器人装备 可穿戴外骨骼机器人术语</w:t>
            </w:r>
          </w:p>
        </w:tc>
      </w:tr>
      <w:tr w14:paraId="3EAE21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1604" w:type="pct"/>
            <w:noWrap w:val="0"/>
            <w:vAlign w:val="center"/>
          </w:tcPr>
          <w:p w14:paraId="4C023130">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hAnsi="Times New Roman" w:eastAsia="宋体"/>
                <w:color w:val="000000"/>
                <w:sz w:val="21"/>
                <w:szCs w:val="21"/>
                <w:lang w:val="en-US" w:eastAsia="zh-CN"/>
              </w:rPr>
            </w:pPr>
            <w:r>
              <w:rPr>
                <w:rFonts w:hint="default" w:ascii="Times New Roman" w:hAnsi="Times New Roman" w:eastAsia="宋体" w:cs="Times New Roman"/>
                <w:color w:val="000000"/>
                <w:sz w:val="21"/>
                <w:szCs w:val="21"/>
                <w:lang w:val="en-US" w:eastAsia="zh-CN"/>
              </w:rPr>
              <w:t>GB/T 39794-2021</w:t>
            </w:r>
          </w:p>
        </w:tc>
        <w:tc>
          <w:tcPr>
            <w:tcW w:w="3395" w:type="pct"/>
            <w:noWrap w:val="0"/>
            <w:vAlign w:val="center"/>
          </w:tcPr>
          <w:p w14:paraId="78BF7300">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lang w:val="en-US" w:eastAsia="zh-CN"/>
              </w:rPr>
              <w:t>可穿戴外骨骼机器人通用技术条件</w:t>
            </w:r>
          </w:p>
        </w:tc>
      </w:tr>
      <w:tr w14:paraId="15CAF7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2734" w:type="dxa"/>
            <w:noWrap w:val="0"/>
            <w:vAlign w:val="top"/>
          </w:tcPr>
          <w:p w14:paraId="4F66AAC0">
            <w:pPr>
              <w:pStyle w:val="37"/>
              <w:tabs>
                <w:tab w:val="left" w:pos="2160"/>
                <w:tab w:val="clear" w:pos="4201"/>
                <w:tab w:val="clear" w:pos="9298"/>
              </w:tabs>
              <w:adjustRightInd w:val="0"/>
              <w:snapToGrid w:val="0"/>
              <w:spacing w:line="360" w:lineRule="auto"/>
              <w:ind w:firstLine="0" w:firstLineChars="0"/>
              <w:rPr>
                <w:rFonts w:hint="eastAsia" w:ascii="Times New Roman" w:hAnsi="Times New Roman" w:eastAsia="宋体"/>
                <w:color w:val="000000"/>
                <w:sz w:val="21"/>
                <w:szCs w:val="21"/>
              </w:rPr>
            </w:pPr>
            <w:r>
              <w:rPr>
                <w:rFonts w:hint="eastAsia" w:ascii="Times New Roman" w:hAnsi="Times New Roman" w:eastAsia="宋体"/>
                <w:color w:val="000000"/>
                <w:sz w:val="21"/>
                <w:szCs w:val="21"/>
              </w:rPr>
              <w:t>GB/T 10000-1988</w:t>
            </w:r>
          </w:p>
        </w:tc>
        <w:tc>
          <w:tcPr>
            <w:tcW w:w="5786" w:type="dxa"/>
            <w:noWrap w:val="0"/>
            <w:vAlign w:val="top"/>
          </w:tcPr>
          <w:p w14:paraId="2CB4A353">
            <w:pPr>
              <w:pStyle w:val="37"/>
              <w:tabs>
                <w:tab w:val="left" w:pos="2160"/>
                <w:tab w:val="clear" w:pos="4201"/>
                <w:tab w:val="clear" w:pos="9298"/>
              </w:tabs>
              <w:adjustRightInd w:val="0"/>
              <w:snapToGrid w:val="0"/>
              <w:spacing w:line="360" w:lineRule="auto"/>
              <w:ind w:firstLine="0" w:firstLineChars="0"/>
              <w:rPr>
                <w:rFonts w:hint="eastAsia" w:ascii="Times New Roman" w:hAnsi="Times New Roman" w:eastAsia="宋体"/>
                <w:color w:val="000000"/>
                <w:sz w:val="21"/>
                <w:szCs w:val="21"/>
              </w:rPr>
            </w:pPr>
            <w:r>
              <w:rPr>
                <w:rFonts w:hint="eastAsia" w:ascii="Times New Roman" w:hAnsi="Times New Roman" w:eastAsia="宋体"/>
                <w:color w:val="000000"/>
                <w:sz w:val="21"/>
                <w:szCs w:val="21"/>
              </w:rPr>
              <w:t xml:space="preserve"> 中国成年人人体尺寸</w:t>
            </w:r>
          </w:p>
        </w:tc>
      </w:tr>
      <w:tr w14:paraId="36B766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2734" w:type="dxa"/>
            <w:noWrap w:val="0"/>
            <w:vAlign w:val="center"/>
          </w:tcPr>
          <w:p w14:paraId="7696A261">
            <w:pPr>
              <w:pStyle w:val="37"/>
              <w:tabs>
                <w:tab w:val="left" w:pos="2160"/>
                <w:tab w:val="clear" w:pos="4201"/>
                <w:tab w:val="clear" w:pos="9298"/>
              </w:tabs>
              <w:adjustRightInd w:val="0"/>
              <w:snapToGrid w:val="0"/>
              <w:spacing w:line="360" w:lineRule="auto"/>
              <w:ind w:firstLine="0" w:firstLineChars="0"/>
              <w:rPr>
                <w:rFonts w:hint="default" w:ascii="Times New Roman" w:hAnsi="Times New Roman" w:eastAsia="宋体"/>
                <w:color w:val="000000"/>
                <w:sz w:val="21"/>
                <w:szCs w:val="21"/>
                <w:lang w:val="en-US" w:eastAsia="zh-CN"/>
              </w:rPr>
            </w:pPr>
            <w:bookmarkStart w:id="13" w:name="_Toc16474"/>
            <w:bookmarkStart w:id="14" w:name="_Toc25883"/>
            <w:bookmarkStart w:id="15" w:name="_Toc7639"/>
            <w:r>
              <w:rPr>
                <w:rFonts w:hint="eastAsia" w:ascii="Times New Roman" w:hAnsi="Times New Roman" w:eastAsia="宋体"/>
                <w:color w:val="000000"/>
                <w:sz w:val="21"/>
                <w:szCs w:val="21"/>
              </w:rPr>
              <w:t>GB/T 18787-2016</w:t>
            </w:r>
          </w:p>
        </w:tc>
        <w:tc>
          <w:tcPr>
            <w:tcW w:w="5786" w:type="dxa"/>
            <w:noWrap w:val="0"/>
            <w:vAlign w:val="center"/>
          </w:tcPr>
          <w:p w14:paraId="36251E3E">
            <w:pPr>
              <w:pStyle w:val="37"/>
              <w:tabs>
                <w:tab w:val="left" w:pos="2160"/>
                <w:tab w:val="clear" w:pos="4201"/>
                <w:tab w:val="clear" w:pos="9298"/>
              </w:tabs>
              <w:adjustRightInd w:val="0"/>
              <w:snapToGrid w:val="0"/>
              <w:spacing w:line="360" w:lineRule="auto"/>
              <w:ind w:firstLine="0" w:firstLineChars="0"/>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rPr>
              <w:t xml:space="preserve"> 人类工效学 人体关节活动范围</w:t>
            </w:r>
          </w:p>
        </w:tc>
      </w:tr>
      <w:tr w14:paraId="5538BB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2734" w:type="dxa"/>
            <w:noWrap w:val="0"/>
            <w:vAlign w:val="top"/>
          </w:tcPr>
          <w:p w14:paraId="5E6F4DEE">
            <w:pPr>
              <w:pStyle w:val="37"/>
              <w:tabs>
                <w:tab w:val="left" w:pos="2160"/>
                <w:tab w:val="clear" w:pos="4201"/>
                <w:tab w:val="clear" w:pos="9298"/>
              </w:tabs>
              <w:adjustRightInd w:val="0"/>
              <w:snapToGrid w:val="0"/>
              <w:spacing w:beforeLines="0" w:afterLines="0" w:line="360" w:lineRule="auto"/>
              <w:ind w:firstLine="0" w:firstLineChars="0"/>
              <w:jc w:val="left"/>
              <w:rPr>
                <w:rFonts w:hint="default" w:ascii="Times New Roman"/>
                <w:color w:val="000000"/>
                <w:sz w:val="21"/>
                <w:szCs w:val="21"/>
                <w:lang w:val="en-US" w:eastAsia="zh-CN"/>
              </w:rPr>
            </w:pPr>
            <w:r>
              <w:rPr>
                <w:rFonts w:hint="eastAsia" w:ascii="Times New Roman" w:hAnsi="Times New Roman" w:eastAsia="宋体"/>
                <w:color w:val="000000"/>
                <w:sz w:val="21"/>
                <w:szCs w:val="21"/>
              </w:rPr>
              <w:t>GB/T 30026-2013</w:t>
            </w:r>
          </w:p>
        </w:tc>
        <w:tc>
          <w:tcPr>
            <w:tcW w:w="5786" w:type="dxa"/>
            <w:noWrap w:val="0"/>
            <w:vAlign w:val="top"/>
          </w:tcPr>
          <w:p w14:paraId="563A8A94">
            <w:pPr>
              <w:pStyle w:val="37"/>
              <w:tabs>
                <w:tab w:val="left" w:pos="2160"/>
                <w:tab w:val="clear" w:pos="4201"/>
                <w:tab w:val="clear" w:pos="9298"/>
              </w:tabs>
              <w:adjustRightInd w:val="0"/>
              <w:snapToGrid w:val="0"/>
              <w:spacing w:line="360" w:lineRule="auto"/>
              <w:ind w:firstLine="0" w:firstLineChars="0"/>
              <w:rPr>
                <w:rFonts w:hint="default" w:ascii="Times New Roman"/>
                <w:color w:val="000000"/>
                <w:sz w:val="21"/>
                <w:szCs w:val="21"/>
                <w:lang w:val="en-US" w:eastAsia="zh-CN"/>
              </w:rPr>
            </w:pPr>
            <w:r>
              <w:rPr>
                <w:rFonts w:hint="eastAsia" w:ascii="Times New Roman" w:hAnsi="Times New Roman" w:eastAsia="宋体"/>
                <w:color w:val="000000"/>
                <w:sz w:val="21"/>
                <w:szCs w:val="21"/>
              </w:rPr>
              <w:t xml:space="preserve"> 机器人 机械安全 通用要求（结构强度、疲劳耐久）</w:t>
            </w:r>
          </w:p>
        </w:tc>
      </w:tr>
      <w:tr w14:paraId="0BA9FF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2734" w:type="dxa"/>
            <w:noWrap w:val="0"/>
            <w:vAlign w:val="top"/>
          </w:tcPr>
          <w:p w14:paraId="48060BD1">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color w:val="000000"/>
                <w:sz w:val="21"/>
                <w:szCs w:val="21"/>
                <w:lang w:val="en-US" w:eastAsia="zh-CN"/>
              </w:rPr>
            </w:pPr>
            <w:r>
              <w:rPr>
                <w:rFonts w:hint="eastAsia" w:ascii="Times New Roman"/>
                <w:color w:val="000000"/>
                <w:sz w:val="21"/>
                <w:szCs w:val="21"/>
                <w:lang w:val="en-US" w:eastAsia="zh-CN"/>
              </w:rPr>
              <w:t>GB 39800.6-2023</w:t>
            </w:r>
          </w:p>
        </w:tc>
        <w:tc>
          <w:tcPr>
            <w:tcW w:w="5786" w:type="dxa"/>
            <w:noWrap w:val="0"/>
            <w:vAlign w:val="top"/>
          </w:tcPr>
          <w:p w14:paraId="0CF69C29">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color w:val="000000"/>
                <w:sz w:val="21"/>
                <w:szCs w:val="21"/>
                <w:lang w:val="en-US" w:eastAsia="zh-CN"/>
              </w:rPr>
            </w:pPr>
            <w:r>
              <w:rPr>
                <w:rFonts w:hint="eastAsia" w:ascii="Times New Roman"/>
                <w:color w:val="000000"/>
                <w:sz w:val="21"/>
                <w:szCs w:val="21"/>
                <w:lang w:val="en-US" w:eastAsia="zh-CN"/>
              </w:rPr>
              <w:t xml:space="preserve">  个体防护装备配备规范 第 6 部分：电力（绝缘防护基础）</w:t>
            </w:r>
          </w:p>
        </w:tc>
      </w:tr>
      <w:tr w14:paraId="40E311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2734" w:type="dxa"/>
            <w:noWrap w:val="0"/>
            <w:vAlign w:val="top"/>
          </w:tcPr>
          <w:p w14:paraId="55D100DE">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color w:val="000000"/>
                <w:sz w:val="21"/>
                <w:szCs w:val="21"/>
                <w:lang w:val="en-US" w:eastAsia="zh-CN"/>
              </w:rPr>
            </w:pPr>
            <w:r>
              <w:rPr>
                <w:rFonts w:hint="eastAsia" w:ascii="Times New Roman"/>
                <w:color w:val="000000"/>
                <w:sz w:val="21"/>
                <w:szCs w:val="21"/>
                <w:lang w:val="en-US" w:eastAsia="zh-CN"/>
              </w:rPr>
              <w:t>DL/T 976-2017</w:t>
            </w:r>
          </w:p>
        </w:tc>
        <w:tc>
          <w:tcPr>
            <w:tcW w:w="5786" w:type="dxa"/>
            <w:noWrap w:val="0"/>
            <w:vAlign w:val="top"/>
          </w:tcPr>
          <w:p w14:paraId="19DE26A4">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color w:val="000000"/>
                <w:sz w:val="21"/>
                <w:szCs w:val="21"/>
                <w:lang w:val="en-US" w:eastAsia="zh-CN"/>
              </w:rPr>
            </w:pPr>
            <w:r>
              <w:rPr>
                <w:rFonts w:hint="eastAsia" w:ascii="Times New Roman"/>
                <w:color w:val="000000"/>
                <w:sz w:val="21"/>
                <w:szCs w:val="21"/>
                <w:lang w:val="en-US" w:eastAsia="zh-CN"/>
              </w:rPr>
              <w:t xml:space="preserve"> 带电作业工具、装置和设备预防性试验规程 </w:t>
            </w:r>
          </w:p>
        </w:tc>
      </w:tr>
      <w:tr w14:paraId="2EB0E4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2734" w:type="dxa"/>
            <w:noWrap w:val="0"/>
            <w:vAlign w:val="top"/>
          </w:tcPr>
          <w:p w14:paraId="256FD530">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hAnsi="Times New Roman"/>
                <w:color w:val="000000"/>
                <w:sz w:val="21"/>
                <w:szCs w:val="21"/>
              </w:rPr>
            </w:pPr>
            <w:r>
              <w:rPr>
                <w:rFonts w:hint="eastAsia" w:ascii="Times New Roman"/>
                <w:color w:val="000000"/>
                <w:sz w:val="21"/>
                <w:szCs w:val="21"/>
                <w:lang w:val="en-US" w:eastAsia="zh-CN"/>
              </w:rPr>
              <w:t>DL/T 1476-2015</w:t>
            </w:r>
          </w:p>
        </w:tc>
        <w:tc>
          <w:tcPr>
            <w:tcW w:w="5786" w:type="dxa"/>
            <w:noWrap w:val="0"/>
            <w:vAlign w:val="top"/>
          </w:tcPr>
          <w:p w14:paraId="5A97A14A">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hAnsi="Times New Roman" w:eastAsia="宋体"/>
                <w:color w:val="000000"/>
                <w:sz w:val="21"/>
                <w:szCs w:val="21"/>
              </w:rPr>
            </w:pPr>
            <w:r>
              <w:rPr>
                <w:rFonts w:hint="eastAsia" w:ascii="Times New Roman"/>
                <w:color w:val="000000"/>
                <w:sz w:val="21"/>
                <w:szCs w:val="21"/>
                <w:lang w:val="en-US" w:eastAsia="zh-CN"/>
              </w:rPr>
              <w:t xml:space="preserve"> 电力安全工作规程 电力线路部分</w:t>
            </w:r>
          </w:p>
        </w:tc>
      </w:tr>
      <w:tr w14:paraId="2C1D27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2734" w:type="dxa"/>
            <w:noWrap w:val="0"/>
            <w:vAlign w:val="top"/>
          </w:tcPr>
          <w:p w14:paraId="6F125800">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hAnsi="Times New Roman"/>
                <w:color w:val="000000"/>
                <w:sz w:val="21"/>
                <w:szCs w:val="21"/>
              </w:rPr>
            </w:pPr>
            <w:r>
              <w:rPr>
                <w:rFonts w:hint="eastAsia" w:ascii="Times New Roman" w:hAnsi="Times New Roman" w:eastAsia="宋体"/>
                <w:color w:val="000000"/>
                <w:sz w:val="21"/>
                <w:szCs w:val="21"/>
              </w:rPr>
              <w:t xml:space="preserve">T/CAS 467-2020 </w:t>
            </w:r>
          </w:p>
        </w:tc>
        <w:tc>
          <w:tcPr>
            <w:tcW w:w="5786" w:type="dxa"/>
            <w:noWrap w:val="0"/>
            <w:vAlign w:val="top"/>
          </w:tcPr>
          <w:p w14:paraId="249D0C2B">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hAnsi="Times New Roman" w:eastAsia="宋体"/>
                <w:color w:val="000000"/>
                <w:sz w:val="21"/>
                <w:szCs w:val="21"/>
              </w:rPr>
            </w:pPr>
            <w:r>
              <w:rPr>
                <w:rFonts w:hint="eastAsia" w:ascii="Times New Roman" w:hAnsi="Times New Roman" w:eastAsia="宋体"/>
                <w:color w:val="000000"/>
                <w:sz w:val="21"/>
                <w:szCs w:val="21"/>
              </w:rPr>
              <w:t>工业下肢助力外骨骼机器人</w:t>
            </w:r>
          </w:p>
        </w:tc>
      </w:tr>
      <w:tr w14:paraId="01CB70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2734" w:type="dxa"/>
            <w:noWrap w:val="0"/>
            <w:vAlign w:val="top"/>
          </w:tcPr>
          <w:p w14:paraId="1CA7ADF3">
            <w:pPr>
              <w:adjustRightInd w:val="0"/>
              <w:snapToGrid w:val="0"/>
              <w:spacing w:beforeLines="0" w:afterLines="0" w:line="360" w:lineRule="auto"/>
              <w:ind w:firstLine="0" w:firstLineChars="0"/>
              <w:jc w:val="left"/>
              <w:rPr>
                <w:rFonts w:hint="eastAsia" w:ascii="Times New Roman" w:hAnsi="Times New Roman" w:eastAsia="宋体"/>
                <w:color w:val="000000"/>
                <w:sz w:val="21"/>
                <w:szCs w:val="21"/>
              </w:rPr>
            </w:pPr>
            <w:r>
              <w:rPr>
                <w:rFonts w:hint="eastAsia" w:ascii="Times New Roman" w:hAnsi="Times New Roman" w:eastAsia="宋体"/>
                <w:color w:val="000000"/>
                <w:sz w:val="21"/>
                <w:szCs w:val="21"/>
              </w:rPr>
              <w:t xml:space="preserve"> ASTM F1541-24</w:t>
            </w:r>
          </w:p>
        </w:tc>
        <w:tc>
          <w:tcPr>
            <w:tcW w:w="5786" w:type="dxa"/>
            <w:noWrap w:val="0"/>
            <w:vAlign w:val="top"/>
          </w:tcPr>
          <w:p w14:paraId="3E1F9C96">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hAnsi="Times New Roman" w:eastAsia="宋体"/>
                <w:color w:val="000000"/>
                <w:sz w:val="21"/>
                <w:szCs w:val="21"/>
                <w:lang w:eastAsia="zh-CN"/>
              </w:rPr>
            </w:pPr>
            <w:r>
              <w:rPr>
                <w:rFonts w:hint="eastAsia" w:ascii="Times New Roman" w:hAnsi="Times New Roman" w:eastAsia="宋体"/>
                <w:color w:val="000000"/>
                <w:sz w:val="21"/>
                <w:szCs w:val="21"/>
              </w:rPr>
              <w:t xml:space="preserve"> 外骨骼结构试验方法（力学测试对标）</w:t>
            </w:r>
          </w:p>
        </w:tc>
      </w:tr>
    </w:tbl>
    <w:p w14:paraId="4CF594F5">
      <w:pPr>
        <w:pStyle w:val="4"/>
        <w:keepNext w:val="0"/>
        <w:keepLines w:val="0"/>
        <w:pageBreakBefore w:val="0"/>
        <w:widowControl/>
        <w:numPr>
          <w:ilvl w:val="255"/>
          <w:numId w:val="0"/>
        </w:numPr>
        <w:kinsoku/>
        <w:wordWrap/>
        <w:overflowPunct/>
        <w:topLinePunct w:val="0"/>
        <w:autoSpaceDE/>
        <w:autoSpaceDN/>
        <w:bidi w:val="0"/>
        <w:adjustRightInd/>
        <w:snapToGrid/>
        <w:spacing w:before="312" w:after="156"/>
        <w:textAlignment w:val="auto"/>
        <w:rPr>
          <w:rFonts w:hint="eastAsia" w:ascii="宋体" w:hAnsi="宋体" w:eastAsia="宋体" w:cs="Times New Roman"/>
        </w:rPr>
      </w:pPr>
      <w:r>
        <w:rPr>
          <w:rFonts w:hint="eastAsia" w:ascii="宋体" w:hAnsi="宋体" w:eastAsia="宋体" w:cs="Times New Roman"/>
          <w:lang w:val="en-US" w:eastAsia="zh-CN"/>
        </w:rPr>
        <w:t>3.</w:t>
      </w:r>
      <w:bookmarkStart w:id="16" w:name="OLE_LINK1"/>
      <w:r>
        <w:rPr>
          <w:rFonts w:hint="eastAsia" w:ascii="宋体" w:hAnsi="宋体" w:eastAsia="宋体" w:cs="Times New Roman"/>
          <w:lang w:val="en-US" w:eastAsia="zh-CN"/>
        </w:rPr>
        <w:t>使用条件</w:t>
      </w:r>
      <w:bookmarkEnd w:id="13"/>
      <w:bookmarkEnd w:id="14"/>
      <w:bookmarkStart w:id="70" w:name="_GoBack"/>
      <w:bookmarkEnd w:id="70"/>
    </w:p>
    <w:bookmarkEnd w:id="16"/>
    <w:p w14:paraId="1D00A111">
      <w:pPr>
        <w:pStyle w:val="4"/>
        <w:keepNext w:val="0"/>
        <w:keepLines w:val="0"/>
        <w:pageBreakBefore w:val="0"/>
        <w:widowControl/>
        <w:numPr>
          <w:ilvl w:val="255"/>
          <w:numId w:val="0"/>
        </w:numPr>
        <w:kinsoku/>
        <w:wordWrap/>
        <w:overflowPunct/>
        <w:topLinePunct w:val="0"/>
        <w:autoSpaceDE/>
        <w:autoSpaceDN/>
        <w:bidi w:val="0"/>
        <w:adjustRightInd/>
        <w:snapToGrid/>
        <w:spacing w:beforeLines="0" w:afterLines="0" w:line="360" w:lineRule="auto"/>
        <w:textAlignment w:val="auto"/>
        <w:rPr>
          <w:rFonts w:hint="eastAsia" w:ascii="宋体" w:hAnsi="宋体" w:eastAsia="宋体" w:cs="宋体"/>
          <w:b w:val="0"/>
          <w:bCs w:val="0"/>
          <w:kern w:val="2"/>
          <w:sz w:val="24"/>
          <w:szCs w:val="24"/>
          <w:lang w:val="en-US" w:eastAsia="zh-CN" w:bidi="ar-SA"/>
        </w:rPr>
      </w:pPr>
      <w:bookmarkStart w:id="17" w:name="_Toc14218"/>
      <w:bookmarkStart w:id="18" w:name="_Toc27043"/>
      <w:r>
        <w:rPr>
          <w:rFonts w:hint="eastAsia" w:ascii="宋体" w:hAnsi="宋体" w:eastAsia="宋体" w:cs="宋体"/>
          <w:b w:val="0"/>
          <w:bCs w:val="0"/>
          <w:kern w:val="2"/>
          <w:sz w:val="24"/>
          <w:szCs w:val="24"/>
          <w:lang w:val="en-US" w:eastAsia="zh-CN" w:bidi="ar-SA"/>
        </w:rPr>
        <w:t>3.1正常工作条件</w:t>
      </w:r>
    </w:p>
    <w:p w14:paraId="2173757F">
      <w:pPr>
        <w:pStyle w:val="4"/>
        <w:keepNext w:val="0"/>
        <w:keepLines w:val="0"/>
        <w:pageBreakBefore w:val="0"/>
        <w:widowControl/>
        <w:numPr>
          <w:ilvl w:val="255"/>
          <w:numId w:val="0"/>
        </w:numPr>
        <w:kinsoku/>
        <w:wordWrap/>
        <w:overflowPunct/>
        <w:topLinePunct w:val="0"/>
        <w:autoSpaceDE/>
        <w:autoSpaceDN/>
        <w:bidi w:val="0"/>
        <w:adjustRightInd/>
        <w:snapToGrid/>
        <w:spacing w:beforeLines="0" w:afterLines="0" w:line="360" w:lineRule="auto"/>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（1）海拔高度：4000m及以下任何海拔高度均可正常使用（北京54坐标系）；</w:t>
      </w:r>
    </w:p>
    <w:p w14:paraId="62EF35E9">
      <w:pPr>
        <w:pStyle w:val="4"/>
        <w:keepNext w:val="0"/>
        <w:keepLines w:val="0"/>
        <w:pageBreakBefore w:val="0"/>
        <w:widowControl/>
        <w:numPr>
          <w:ilvl w:val="255"/>
          <w:numId w:val="0"/>
        </w:numPr>
        <w:kinsoku/>
        <w:wordWrap/>
        <w:overflowPunct/>
        <w:topLinePunct w:val="0"/>
        <w:autoSpaceDE/>
        <w:autoSpaceDN/>
        <w:bidi w:val="0"/>
        <w:adjustRightInd/>
        <w:snapToGrid/>
        <w:spacing w:beforeLines="0" w:afterLines="0" w:line="360" w:lineRule="auto"/>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（2）最高环境温度：+55ºC；</w:t>
      </w:r>
    </w:p>
    <w:p w14:paraId="401A9C08">
      <w:pPr>
        <w:pStyle w:val="4"/>
        <w:keepNext w:val="0"/>
        <w:keepLines w:val="0"/>
        <w:pageBreakBefore w:val="0"/>
        <w:widowControl/>
        <w:numPr>
          <w:ilvl w:val="255"/>
          <w:numId w:val="0"/>
        </w:numPr>
        <w:kinsoku/>
        <w:wordWrap/>
        <w:overflowPunct/>
        <w:topLinePunct w:val="0"/>
        <w:autoSpaceDE/>
        <w:autoSpaceDN/>
        <w:bidi w:val="0"/>
        <w:adjustRightInd/>
        <w:snapToGrid/>
        <w:spacing w:beforeLines="0" w:afterLines="0" w:line="360" w:lineRule="auto"/>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（3）最低环境温度：-20ºC；</w:t>
      </w:r>
    </w:p>
    <w:p w14:paraId="5754201A">
      <w:pPr>
        <w:pStyle w:val="4"/>
        <w:keepNext w:val="0"/>
        <w:keepLines w:val="0"/>
        <w:pageBreakBefore w:val="0"/>
        <w:widowControl/>
        <w:numPr>
          <w:ilvl w:val="255"/>
          <w:numId w:val="0"/>
        </w:numPr>
        <w:kinsoku/>
        <w:wordWrap/>
        <w:overflowPunct/>
        <w:topLinePunct w:val="0"/>
        <w:autoSpaceDE/>
        <w:autoSpaceDN/>
        <w:bidi w:val="0"/>
        <w:adjustRightInd/>
        <w:snapToGrid/>
        <w:spacing w:beforeLines="0" w:afterLines="0" w:line="360" w:lineRule="auto"/>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（4）年平均气温：20ºC；</w:t>
      </w:r>
    </w:p>
    <w:p w14:paraId="1D288D6D">
      <w:pPr>
        <w:pStyle w:val="4"/>
        <w:keepNext w:val="0"/>
        <w:keepLines w:val="0"/>
        <w:pageBreakBefore w:val="0"/>
        <w:widowControl/>
        <w:numPr>
          <w:ilvl w:val="255"/>
          <w:numId w:val="0"/>
        </w:numPr>
        <w:kinsoku/>
        <w:wordWrap/>
        <w:overflowPunct/>
        <w:topLinePunct w:val="0"/>
        <w:autoSpaceDE/>
        <w:autoSpaceDN/>
        <w:bidi w:val="0"/>
        <w:adjustRightInd/>
        <w:snapToGrid/>
        <w:spacing w:beforeLines="0" w:afterLines="0" w:line="360" w:lineRule="auto"/>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（5）覆冰厚度：0～30mm；</w:t>
      </w:r>
    </w:p>
    <w:p w14:paraId="45ED75E9">
      <w:pPr>
        <w:pStyle w:val="4"/>
        <w:keepNext w:val="0"/>
        <w:keepLines w:val="0"/>
        <w:pageBreakBefore w:val="0"/>
        <w:widowControl/>
        <w:numPr>
          <w:ilvl w:val="255"/>
          <w:numId w:val="0"/>
        </w:numPr>
        <w:kinsoku/>
        <w:wordWrap/>
        <w:overflowPunct/>
        <w:topLinePunct w:val="0"/>
        <w:autoSpaceDE/>
        <w:autoSpaceDN/>
        <w:bidi w:val="0"/>
        <w:adjustRightInd/>
        <w:snapToGrid/>
        <w:spacing w:beforeLines="0" w:afterLines="0" w:line="360" w:lineRule="auto"/>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（6）最大设计风速：20m/s</w:t>
      </w:r>
    </w:p>
    <w:p w14:paraId="4BAA47EC">
      <w:pPr>
        <w:pStyle w:val="4"/>
        <w:keepNext w:val="0"/>
        <w:keepLines w:val="0"/>
        <w:pageBreakBefore w:val="0"/>
        <w:widowControl/>
        <w:numPr>
          <w:ilvl w:val="255"/>
          <w:numId w:val="0"/>
        </w:numPr>
        <w:kinsoku/>
        <w:wordWrap/>
        <w:overflowPunct/>
        <w:topLinePunct w:val="0"/>
        <w:autoSpaceDE/>
        <w:autoSpaceDN/>
        <w:bidi w:val="0"/>
        <w:adjustRightInd/>
        <w:snapToGrid/>
        <w:spacing w:beforeLines="0" w:afterLines="0" w:line="360" w:lineRule="auto"/>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（7）环境相对湿度：80%；</w:t>
      </w:r>
    </w:p>
    <w:p w14:paraId="0D2B38CE">
      <w:pPr>
        <w:pStyle w:val="4"/>
        <w:keepNext w:val="0"/>
        <w:keepLines w:val="0"/>
        <w:pageBreakBefore w:val="0"/>
        <w:widowControl/>
        <w:numPr>
          <w:ilvl w:val="255"/>
          <w:numId w:val="0"/>
        </w:numPr>
        <w:kinsoku/>
        <w:wordWrap/>
        <w:overflowPunct/>
        <w:topLinePunct w:val="0"/>
        <w:autoSpaceDE/>
        <w:autoSpaceDN/>
        <w:bidi w:val="0"/>
        <w:adjustRightInd/>
        <w:snapToGrid/>
        <w:spacing w:beforeLines="0" w:afterLines="0" w:line="360" w:lineRule="auto"/>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（8）工器具应该能在规定的荷载内正常运行。</w:t>
      </w:r>
    </w:p>
    <w:p w14:paraId="5A714590">
      <w:pPr>
        <w:pStyle w:val="4"/>
        <w:keepNext w:val="0"/>
        <w:keepLines w:val="0"/>
        <w:pageBreakBefore w:val="0"/>
        <w:widowControl/>
        <w:numPr>
          <w:ilvl w:val="255"/>
          <w:numId w:val="0"/>
        </w:numPr>
        <w:kinsoku/>
        <w:wordWrap/>
        <w:overflowPunct/>
        <w:topLinePunct w:val="0"/>
        <w:autoSpaceDE/>
        <w:autoSpaceDN/>
        <w:bidi w:val="0"/>
        <w:adjustRightInd/>
        <w:snapToGrid/>
        <w:spacing w:beforeLines="0" w:afterLines="0" w:line="360" w:lineRule="auto"/>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3.2特殊工作条件</w:t>
      </w:r>
    </w:p>
    <w:p w14:paraId="7A9A6152">
      <w:pPr>
        <w:pStyle w:val="4"/>
        <w:keepNext w:val="0"/>
        <w:keepLines w:val="0"/>
        <w:pageBreakBefore w:val="0"/>
        <w:widowControl/>
        <w:numPr>
          <w:ilvl w:val="255"/>
          <w:numId w:val="0"/>
        </w:numPr>
        <w:kinsoku/>
        <w:wordWrap/>
        <w:overflowPunct/>
        <w:topLinePunct w:val="0"/>
        <w:autoSpaceDE/>
        <w:autoSpaceDN/>
        <w:bidi w:val="0"/>
        <w:adjustRightInd/>
        <w:snapToGrid/>
        <w:spacing w:beforeLines="0" w:afterLines="0" w:line="360" w:lineRule="auto"/>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针对具体应用工况，用户根据实际需求提出特殊工作条件。当超出正常与特殊工作条件时，由用户与供应商协商确定。</w:t>
      </w:r>
    </w:p>
    <w:p w14:paraId="0E9C8756">
      <w:pPr>
        <w:pStyle w:val="4"/>
        <w:numPr>
          <w:ilvl w:val="255"/>
          <w:numId w:val="0"/>
        </w:numPr>
        <w:spacing w:before="312" w:after="156"/>
        <w:rPr>
          <w:rFonts w:hint="eastAsia" w:ascii="宋体" w:hAnsi="宋体" w:eastAsia="宋体" w:cs="Times New Roman"/>
          <w:lang w:val="en-US" w:eastAsia="zh-CN"/>
        </w:rPr>
      </w:pPr>
      <w:r>
        <w:rPr>
          <w:rFonts w:hint="eastAsia" w:ascii="宋体" w:hAnsi="宋体" w:eastAsia="宋体" w:cs="Times New Roman"/>
          <w:lang w:val="en-US" w:eastAsia="zh-CN"/>
        </w:rPr>
        <w:t>4.制作原则</w:t>
      </w:r>
      <w:bookmarkEnd w:id="17"/>
      <w:bookmarkEnd w:id="18"/>
    </w:p>
    <w:p w14:paraId="0D126FEA">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（1）先进性原则</w:t>
      </w:r>
    </w:p>
    <w:p w14:paraId="2E1303BD">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遵循南方电网公司的软件优化总体规划与要求，并结合南方电网公司现状，参考国际经验，充分利用各项先进技术，采用创新型设计技术。以现场实际实用为目标，采用安全、高效、便携的技术方案，全面实现能效提升、业务提升及管理提升，确保软件的先进性和实用性。</w:t>
      </w:r>
    </w:p>
    <w:p w14:paraId="20FBDA43">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（2）安全性原则</w:t>
      </w:r>
    </w:p>
    <w:p w14:paraId="7F946425">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 xml:space="preserve">  系统功能应满足《电力二次系统安全防护技术规范》《南方电网二次系统安全防护业务指导书》《南方电网网络安全管理办法》《南方电网互联网应用管理办法》《南方电网智能电网电力监控系统网络安全防护技术导则》最新发布版本和南方电网反措的相关要求，并结合平台功能的业务特点加强信息安全防护，支持多种安全可靠性技术手段，制定严格的安全可靠性管理措施。通过权限管理、安全隔离、信息加密等措施，构建通信层、网络层、系统层、应用层等多层面的立体安全防护体系，确保平台安全。</w:t>
      </w:r>
    </w:p>
    <w:p w14:paraId="7891B36F">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（3）可靠性原则</w:t>
      </w:r>
    </w:p>
    <w:p w14:paraId="3FF057E2">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系统需要7*24小时不间断、可靠运行，因此必须配备完善的可靠性措施设计，保证系统运行的高度可靠。要充分考虑关键应用的可靠性要求，在数据库、主机、应用部署、网络等关键环节配备多种高可用性方案。</w:t>
      </w:r>
    </w:p>
    <w:p w14:paraId="6B4B4CEC">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（4）规范化原则</w:t>
      </w:r>
    </w:p>
    <w:p w14:paraId="38B23D2A">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设计应遵循相关国际标准、国家标准、行业标准及公司标准，统一设计、统一开发和应用，遵循南方电网公司数字电网模型设计，保持平台设计、开发、实施过程中全程规范化管理，对项目质量和进度严格管控。</w:t>
      </w:r>
    </w:p>
    <w:p w14:paraId="267F6877">
      <w:pPr>
        <w:pStyle w:val="4"/>
        <w:numPr>
          <w:ilvl w:val="255"/>
          <w:numId w:val="0"/>
        </w:numPr>
        <w:spacing w:before="312" w:after="156"/>
        <w:rPr>
          <w:rFonts w:hint="eastAsia" w:ascii="宋体" w:hAnsi="宋体" w:eastAsia="宋体" w:cs="Times New Roman"/>
        </w:rPr>
      </w:pPr>
      <w:bookmarkStart w:id="19" w:name="_Toc22696"/>
      <w:bookmarkStart w:id="20" w:name="_Toc32566"/>
      <w:r>
        <w:rPr>
          <w:rFonts w:hint="eastAsia" w:ascii="宋体" w:hAnsi="宋体" w:eastAsia="宋体" w:cs="Times New Roman"/>
          <w:lang w:val="en-US" w:eastAsia="zh-CN"/>
        </w:rPr>
        <w:t>5</w:t>
      </w:r>
      <w:r>
        <w:rPr>
          <w:rFonts w:hint="eastAsia" w:cs="Times New Roman"/>
          <w:lang w:val="en-US" w:eastAsia="zh-CN"/>
        </w:rPr>
        <w:t>.</w:t>
      </w:r>
      <w:r>
        <w:rPr>
          <w:rFonts w:hint="eastAsia" w:ascii="宋体" w:hAnsi="宋体" w:eastAsia="宋体" w:cs="Times New Roman"/>
        </w:rPr>
        <w:t>技术服务内容及方式</w:t>
      </w:r>
      <w:bookmarkEnd w:id="15"/>
      <w:bookmarkEnd w:id="19"/>
      <w:bookmarkEnd w:id="20"/>
    </w:p>
    <w:p w14:paraId="0996BD95">
      <w:pPr>
        <w:tabs>
          <w:tab w:val="left" w:pos="851"/>
        </w:tabs>
        <w:ind w:firstLine="480"/>
        <w:rPr>
          <w:rFonts w:hint="eastAsia" w:ascii="宋体" w:hAnsi="宋体" w:eastAsia="宋体" w:cs="宋体"/>
          <w:lang w:val="en-US" w:eastAsia="zh-CN"/>
        </w:rPr>
      </w:pPr>
      <w:bookmarkStart w:id="21" w:name="_Toc369561308"/>
      <w:bookmarkStart w:id="22" w:name="_Toc369559705"/>
      <w:r>
        <w:rPr>
          <w:rFonts w:hint="eastAsia" w:ascii="宋体" w:hAnsi="宋体" w:eastAsia="宋体" w:cs="宋体"/>
          <w:lang w:val="en-US" w:eastAsia="zh-CN"/>
        </w:rPr>
        <w:t>服务期限为合同生效之日起至2026年1</w:t>
      </w:r>
      <w:r>
        <w:rPr>
          <w:rFonts w:hint="eastAsia" w:ascii="宋体" w:hAnsi="宋体" w:cs="宋体"/>
          <w:lang w:val="en-US" w:eastAsia="zh-CN"/>
        </w:rPr>
        <w:t>2</w:t>
      </w:r>
      <w:r>
        <w:rPr>
          <w:rFonts w:hint="eastAsia" w:ascii="宋体" w:hAnsi="宋体" w:eastAsia="宋体" w:cs="宋体"/>
          <w:lang w:val="en-US" w:eastAsia="zh-CN"/>
        </w:rPr>
        <w:t>月</w:t>
      </w:r>
      <w:r>
        <w:rPr>
          <w:rFonts w:hint="eastAsia" w:ascii="宋体" w:hAnsi="宋体" w:cs="宋体"/>
          <w:lang w:val="en-US" w:eastAsia="zh-CN"/>
        </w:rPr>
        <w:t>20</w:t>
      </w:r>
      <w:r>
        <w:rPr>
          <w:rFonts w:hint="eastAsia" w:ascii="宋体" w:hAnsi="宋体" w:eastAsia="宋体" w:cs="宋体"/>
          <w:lang w:val="en-US" w:eastAsia="zh-CN"/>
        </w:rPr>
        <w:t>日。</w:t>
      </w:r>
    </w:p>
    <w:p w14:paraId="4B47AA54">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本创新项目需根据加工、制作、调试的实际情况前往现场开展勘查、安装及调试工作，具体项目地点需联系相关项目负责人。</w:t>
      </w:r>
    </w:p>
    <w:bookmarkEnd w:id="21"/>
    <w:bookmarkEnd w:id="22"/>
    <w:p w14:paraId="78C222FD">
      <w:pPr>
        <w:snapToGrid w:val="0"/>
        <w:spacing w:line="360" w:lineRule="auto"/>
        <w:ind w:firstLine="0" w:firstLineChars="0"/>
        <w:jc w:val="center"/>
        <w:rPr>
          <w:rFonts w:hint="eastAsia"/>
          <w:color w:val="auto"/>
          <w:szCs w:val="21"/>
          <w:highlight w:val="none"/>
        </w:rPr>
      </w:pPr>
      <w:bookmarkStart w:id="23" w:name="_Toc12318"/>
      <w:bookmarkStart w:id="24" w:name="_Toc27075"/>
    </w:p>
    <w:p w14:paraId="5953096C">
      <w:pPr>
        <w:snapToGrid w:val="0"/>
        <w:spacing w:line="360" w:lineRule="auto"/>
        <w:ind w:firstLine="0" w:firstLineChars="0"/>
        <w:jc w:val="center"/>
        <w:rPr>
          <w:rFonts w:hint="eastAsia"/>
          <w:color w:val="auto"/>
          <w:szCs w:val="21"/>
          <w:highlight w:val="none"/>
        </w:rPr>
      </w:pPr>
    </w:p>
    <w:p w14:paraId="2773D41F">
      <w:pPr>
        <w:snapToGrid w:val="0"/>
        <w:spacing w:line="360" w:lineRule="auto"/>
        <w:ind w:firstLine="0" w:firstLineChars="0"/>
        <w:jc w:val="center"/>
        <w:rPr>
          <w:rFonts w:hint="eastAsia"/>
          <w:color w:val="auto"/>
          <w:szCs w:val="21"/>
          <w:highlight w:val="none"/>
          <w:lang w:val="en-US" w:eastAsia="zh-CN"/>
        </w:rPr>
      </w:pPr>
      <w:r>
        <w:rPr>
          <w:rFonts w:hint="eastAsia"/>
          <w:color w:val="auto"/>
          <w:szCs w:val="21"/>
          <w:highlight w:val="none"/>
        </w:rPr>
        <w:t>表</w:t>
      </w:r>
      <w:r>
        <w:rPr>
          <w:rFonts w:hint="eastAsia"/>
          <w:color w:val="auto"/>
          <w:szCs w:val="21"/>
          <w:highlight w:val="none"/>
          <w:lang w:val="en-US" w:eastAsia="zh-CN"/>
        </w:rPr>
        <w:t>5.1</w:t>
      </w:r>
      <w:r>
        <w:rPr>
          <w:rFonts w:hint="eastAsia"/>
          <w:color w:val="auto"/>
          <w:szCs w:val="21"/>
          <w:highlight w:val="none"/>
        </w:rPr>
        <w:t xml:space="preserve">  </w:t>
      </w:r>
      <w:r>
        <w:rPr>
          <w:rFonts w:hint="eastAsia"/>
          <w:color w:val="auto"/>
          <w:szCs w:val="21"/>
          <w:highlight w:val="none"/>
          <w:lang w:val="en-US" w:eastAsia="zh-CN"/>
        </w:rPr>
        <w:t>技术服务内容</w:t>
      </w:r>
    </w:p>
    <w:tbl>
      <w:tblPr>
        <w:tblStyle w:val="19"/>
        <w:tblW w:w="94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0"/>
        <w:gridCol w:w="1338"/>
        <w:gridCol w:w="4348"/>
        <w:gridCol w:w="2048"/>
        <w:gridCol w:w="1309"/>
      </w:tblGrid>
      <w:tr w14:paraId="6968D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dxa"/>
            <w:noWrap w:val="0"/>
            <w:vAlign w:val="center"/>
          </w:tcPr>
          <w:p w14:paraId="1D049FCD">
            <w:pPr>
              <w:widowControl w:val="0"/>
              <w:spacing w:line="420" w:lineRule="exact"/>
              <w:jc w:val="center"/>
              <w:textAlignment w:val="center"/>
              <w:rPr>
                <w:rFonts w:hint="default"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序号</w:t>
            </w:r>
          </w:p>
        </w:tc>
        <w:tc>
          <w:tcPr>
            <w:tcW w:w="1338" w:type="dxa"/>
            <w:noWrap w:val="0"/>
            <w:vAlign w:val="center"/>
          </w:tcPr>
          <w:p w14:paraId="4FEA95FF">
            <w:pPr>
              <w:widowControl w:val="0"/>
              <w:spacing w:line="420" w:lineRule="exact"/>
              <w:jc w:val="center"/>
              <w:textAlignment w:val="center"/>
              <w:rPr>
                <w:rFonts w:hint="eastAsia"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标的名称</w:t>
            </w:r>
          </w:p>
        </w:tc>
        <w:tc>
          <w:tcPr>
            <w:tcW w:w="4348" w:type="dxa"/>
            <w:noWrap w:val="0"/>
            <w:vAlign w:val="center"/>
          </w:tcPr>
          <w:p w14:paraId="42C348E5">
            <w:pPr>
              <w:widowControl w:val="0"/>
              <w:spacing w:line="420" w:lineRule="exact"/>
              <w:jc w:val="center"/>
              <w:textAlignment w:val="center"/>
              <w:rPr>
                <w:rFonts w:hint="eastAsia"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服务内容</w:t>
            </w:r>
          </w:p>
        </w:tc>
        <w:tc>
          <w:tcPr>
            <w:tcW w:w="2048" w:type="dxa"/>
            <w:noWrap w:val="0"/>
            <w:vAlign w:val="center"/>
          </w:tcPr>
          <w:p w14:paraId="0A7EAE80">
            <w:pPr>
              <w:widowControl w:val="0"/>
              <w:spacing w:line="420" w:lineRule="exact"/>
              <w:jc w:val="center"/>
              <w:textAlignment w:val="center"/>
              <w:rPr>
                <w:rFonts w:hint="default"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交付物</w:t>
            </w:r>
          </w:p>
        </w:tc>
        <w:tc>
          <w:tcPr>
            <w:tcW w:w="1309" w:type="dxa"/>
            <w:noWrap w:val="0"/>
            <w:vAlign w:val="center"/>
          </w:tcPr>
          <w:p w14:paraId="0067264E">
            <w:pPr>
              <w:widowControl w:val="0"/>
              <w:spacing w:line="420" w:lineRule="exact"/>
              <w:jc w:val="center"/>
              <w:textAlignment w:val="center"/>
              <w:rPr>
                <w:rFonts w:hint="default"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服务地点</w:t>
            </w:r>
          </w:p>
        </w:tc>
      </w:tr>
      <w:tr w14:paraId="3B840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dxa"/>
            <w:noWrap w:val="0"/>
            <w:vAlign w:val="center"/>
          </w:tcPr>
          <w:p w14:paraId="19A94837">
            <w:pPr>
              <w:tabs>
                <w:tab w:val="left" w:pos="851"/>
              </w:tabs>
              <w:ind w:firstLine="480"/>
              <w:jc w:val="left"/>
              <w:rPr>
                <w:rFonts w:hint="default" w:ascii="宋体" w:hAnsi="宋体" w:eastAsia="宋体" w:cs="宋体"/>
                <w:lang w:val="en-US" w:eastAsia="zh-CN"/>
              </w:rPr>
            </w:pPr>
            <w:bookmarkStart w:id="25" w:name="_Toc369559710"/>
            <w:bookmarkStart w:id="26" w:name="_Toc2581"/>
            <w:bookmarkStart w:id="27" w:name="_Toc369561313"/>
            <w:bookmarkStart w:id="28" w:name="_Toc7886"/>
            <w:bookmarkStart w:id="29" w:name="_Toc14394"/>
            <w:bookmarkStart w:id="30" w:name="_Toc12691"/>
            <w:r>
              <w:rPr>
                <w:rFonts w:hint="eastAsia" w:ascii="宋体" w:hAnsi="宋体" w:eastAsia="宋体" w:cs="宋体"/>
                <w:lang w:val="en-US" w:eastAsia="zh-CN"/>
              </w:rPr>
              <w:t>1</w:t>
            </w:r>
          </w:p>
        </w:tc>
        <w:tc>
          <w:tcPr>
            <w:tcW w:w="1338" w:type="dxa"/>
            <w:noWrap w:val="0"/>
            <w:vAlign w:val="center"/>
          </w:tcPr>
          <w:p w14:paraId="70995BE4">
            <w:pPr>
              <w:tabs>
                <w:tab w:val="left" w:pos="851"/>
              </w:tabs>
              <w:ind w:left="0" w:leftChars="0" w:firstLine="0" w:firstLineChars="0"/>
              <w:jc w:val="left"/>
              <w:rPr>
                <w:rFonts w:hint="eastAsia" w:ascii="宋体" w:hAnsi="宋体" w:eastAsia="宋体" w:cs="宋体"/>
                <w:lang w:val="en-US" w:eastAsia="zh-CN"/>
              </w:rPr>
            </w:pPr>
            <w:r>
              <w:rPr>
                <w:rFonts w:hint="eastAsia" w:ascii="宋体" w:hAnsi="宋体" w:eastAsia="宋体" w:cs="宋体"/>
                <w:lang w:val="en-US" w:eastAsia="zh-CN"/>
              </w:rPr>
              <w:t>面向超高压输电线路登塔作业的无源储能式外骨骼机器人</w:t>
            </w:r>
          </w:p>
        </w:tc>
        <w:tc>
          <w:tcPr>
            <w:tcW w:w="4348" w:type="dxa"/>
            <w:noWrap w:val="0"/>
            <w:vAlign w:val="center"/>
          </w:tcPr>
          <w:p w14:paraId="68B273CD">
            <w:pPr>
              <w:tabs>
                <w:tab w:val="left" w:pos="851"/>
              </w:tabs>
              <w:ind w:left="0" w:leftChars="0" w:firstLine="0" w:firstLineChars="0"/>
              <w:jc w:val="left"/>
              <w:rPr>
                <w:rFonts w:hint="eastAsia" w:ascii="宋体" w:hAnsi="宋体" w:eastAsia="宋体" w:cs="宋体"/>
                <w:lang w:val="en-US" w:eastAsia="zh-CN"/>
              </w:rPr>
            </w:pPr>
            <w:r>
              <w:rPr>
                <w:rFonts w:hint="eastAsia" w:ascii="宋体" w:hAnsi="宋体" w:eastAsia="宋体" w:cs="宋体"/>
                <w:lang w:val="en-US" w:eastAsia="zh-CN"/>
              </w:rPr>
              <w:t>根据招标方设计方案，协助完成：</w:t>
            </w:r>
          </w:p>
          <w:p w14:paraId="559347F1">
            <w:pPr>
              <w:tabs>
                <w:tab w:val="left" w:pos="851"/>
              </w:tabs>
              <w:ind w:left="0" w:leftChars="0" w:firstLine="0" w:firstLineChars="0"/>
              <w:jc w:val="left"/>
              <w:rPr>
                <w:rFonts w:hint="eastAsia" w:ascii="宋体" w:hAnsi="宋体" w:eastAsia="宋体" w:cs="宋体"/>
                <w:lang w:val="en-US" w:eastAsia="zh-CN"/>
              </w:rPr>
            </w:pPr>
            <w:r>
              <w:rPr>
                <w:rFonts w:hint="default" w:ascii="宋体" w:hAnsi="宋体" w:eastAsia="宋体" w:cs="宋体"/>
                <w:lang w:val="en-US" w:eastAsia="zh-CN"/>
              </w:rPr>
              <w:t>1</w:t>
            </w:r>
            <w:r>
              <w:rPr>
                <w:rFonts w:hint="eastAsia" w:ascii="宋体" w:hAnsi="宋体" w:eastAsia="宋体" w:cs="宋体"/>
                <w:lang w:val="en-US" w:eastAsia="zh-CN"/>
              </w:rPr>
              <w:t>、全流程配套技术服务覆盖</w:t>
            </w:r>
          </w:p>
          <w:p w14:paraId="7BE98386">
            <w:pPr>
              <w:tabs>
                <w:tab w:val="left" w:pos="851"/>
              </w:tabs>
              <w:ind w:left="0" w:leftChars="0" w:firstLine="0" w:firstLineChars="0"/>
              <w:jc w:val="left"/>
              <w:rPr>
                <w:rFonts w:hint="eastAsia" w:ascii="宋体" w:hAnsi="宋体" w:eastAsia="宋体" w:cs="宋体"/>
                <w:lang w:val="en-US" w:eastAsia="zh-CN"/>
              </w:rPr>
            </w:pPr>
            <w:r>
              <w:rPr>
                <w:rFonts w:hint="eastAsia" w:ascii="宋体" w:hAnsi="宋体" w:eastAsia="宋体" w:cs="宋体"/>
                <w:lang w:val="en-US" w:eastAsia="zh-CN"/>
              </w:rPr>
              <w:t>服务商需完整支撑「面向超高压输电线路登塔作业的无源储能式外骨骼机器人研发」全周期工作，涵盖前期力学建模、核心机构研发、轻量化结构设计、现场实塔测试、成果汇编全阶段配套技术服务，全程配合百色局项目负责人开展职工创新项目实施，保障项目按期完成全部预期成果。</w:t>
            </w:r>
          </w:p>
          <w:p w14:paraId="3A549EC5">
            <w:pPr>
              <w:tabs>
                <w:tab w:val="left" w:pos="851"/>
              </w:tabs>
              <w:ind w:left="0" w:leftChars="0" w:firstLine="0" w:firstLineChars="0"/>
              <w:jc w:val="left"/>
              <w:rPr>
                <w:rFonts w:hint="eastAsia" w:ascii="宋体" w:hAnsi="宋体" w:eastAsia="宋体" w:cs="宋体"/>
                <w:lang w:val="en-US" w:eastAsia="zh-CN"/>
              </w:rPr>
            </w:pPr>
            <w:r>
              <w:rPr>
                <w:rFonts w:hint="eastAsia" w:ascii="宋体" w:hAnsi="宋体" w:eastAsia="宋体" w:cs="宋体"/>
                <w:lang w:val="en-US" w:eastAsia="zh-CN"/>
              </w:rPr>
              <w:t>2、专业技术人员配合服务</w:t>
            </w:r>
          </w:p>
          <w:p w14:paraId="482FF2E4">
            <w:pPr>
              <w:tabs>
                <w:tab w:val="left" w:pos="851"/>
              </w:tabs>
              <w:ind w:left="0" w:leftChars="0" w:firstLine="0" w:firstLineChars="0"/>
              <w:jc w:val="left"/>
              <w:rPr>
                <w:rFonts w:hint="eastAsia" w:ascii="宋体" w:hAnsi="宋体" w:eastAsia="宋体" w:cs="宋体"/>
                <w:lang w:val="en-US" w:eastAsia="zh-CN"/>
              </w:rPr>
            </w:pPr>
            <w:r>
              <w:rPr>
                <w:rFonts w:hint="eastAsia" w:ascii="宋体" w:hAnsi="宋体" w:eastAsia="宋体" w:cs="宋体"/>
                <w:lang w:val="en-US" w:eastAsia="zh-CN"/>
              </w:rPr>
              <w:t>按需赴百色局500kV线路铁塔现场开展数据采集、样机调试、登塔对比试验；全程配合项目开展数据测算、仿真分析、故障调试、性能优化工作。</w:t>
            </w:r>
          </w:p>
          <w:p w14:paraId="585A24BD">
            <w:pPr>
              <w:tabs>
                <w:tab w:val="left" w:pos="851"/>
              </w:tabs>
              <w:ind w:left="0" w:leftChars="0" w:firstLine="0" w:firstLineChars="0"/>
              <w:jc w:val="left"/>
              <w:rPr>
                <w:rFonts w:hint="eastAsia" w:ascii="宋体" w:hAnsi="宋体" w:eastAsia="宋体" w:cs="宋体"/>
                <w:lang w:val="en-US" w:eastAsia="zh-CN"/>
              </w:rPr>
            </w:pPr>
            <w:r>
              <w:rPr>
                <w:rFonts w:hint="eastAsia" w:ascii="宋体" w:hAnsi="宋体" w:eastAsia="宋体" w:cs="宋体"/>
                <w:lang w:val="en-US" w:eastAsia="zh-CN"/>
              </w:rPr>
              <w:t>3、配合全套技术文档编制服务</w:t>
            </w:r>
          </w:p>
          <w:p w14:paraId="41AC1FC6">
            <w:pPr>
              <w:tabs>
                <w:tab w:val="left" w:pos="851"/>
              </w:tabs>
              <w:ind w:left="0" w:leftChars="0" w:firstLine="0" w:firstLineChars="0"/>
              <w:jc w:val="left"/>
              <w:rPr>
                <w:rFonts w:hint="eastAsia" w:ascii="宋体" w:hAnsi="宋体" w:eastAsia="宋体" w:cs="宋体"/>
                <w:lang w:val="en-US" w:eastAsia="zh-CN"/>
              </w:rPr>
            </w:pPr>
            <w:r>
              <w:rPr>
                <w:rFonts w:hint="eastAsia" w:ascii="宋体" w:hAnsi="宋体" w:eastAsia="宋体" w:cs="宋体"/>
                <w:lang w:val="en-US" w:eastAsia="zh-CN"/>
              </w:rPr>
              <w:t>按项目预期成果要求，配合编制全套规范技术资料，包含：整机技术设计与计算文档、实塔登攀测试报告、外骨骼应用指南与标准化操作手册、可投稿期刊论文文稿，所有文档格式、内容满足南网职工创新项目验收归档标准。</w:t>
            </w:r>
          </w:p>
          <w:p w14:paraId="70072CE1">
            <w:pPr>
              <w:tabs>
                <w:tab w:val="left" w:pos="851"/>
              </w:tabs>
              <w:ind w:left="0" w:leftChars="0" w:firstLine="0" w:firstLineChars="0"/>
              <w:jc w:val="left"/>
              <w:rPr>
                <w:rFonts w:hint="eastAsia" w:ascii="宋体" w:hAnsi="宋体" w:eastAsia="宋体" w:cs="宋体"/>
                <w:lang w:val="en-US" w:eastAsia="zh-CN"/>
              </w:rPr>
            </w:pPr>
            <w:r>
              <w:rPr>
                <w:rFonts w:hint="eastAsia" w:ascii="宋体" w:hAnsi="宋体" w:eastAsia="宋体" w:cs="宋体"/>
                <w:lang w:val="en-US" w:eastAsia="zh-CN"/>
              </w:rPr>
              <w:t>4、样机研发配套技术支撑服务</w:t>
            </w:r>
          </w:p>
          <w:p w14:paraId="5D176E3E">
            <w:pPr>
              <w:tabs>
                <w:tab w:val="left" w:pos="851"/>
              </w:tabs>
              <w:ind w:left="0" w:leftChars="0" w:firstLine="0" w:firstLineChars="0"/>
              <w:jc w:val="left"/>
              <w:rPr>
                <w:rFonts w:hint="eastAsia" w:ascii="宋体" w:hAnsi="宋体" w:eastAsia="宋体" w:cs="宋体"/>
                <w:lang w:val="en-US" w:eastAsia="zh-CN"/>
              </w:rPr>
            </w:pPr>
            <w:r>
              <w:rPr>
                <w:rFonts w:hint="eastAsia" w:ascii="宋体" w:hAnsi="宋体" w:eastAsia="宋体" w:cs="宋体"/>
                <w:lang w:val="en-US" w:eastAsia="zh-CN"/>
              </w:rPr>
              <w:t>为无源储能式外骨骼机器人1套样机研发提供全套技术服务，包含机构方案设计、力学仿真、零部件参数计算、轻量化结构优化、势能回收机构调试，确保整机满足重量、助力效率、穿戴适配等全部指标要求。</w:t>
            </w:r>
          </w:p>
          <w:p w14:paraId="4471975C">
            <w:pPr>
              <w:tabs>
                <w:tab w:val="left" w:pos="851"/>
              </w:tabs>
              <w:ind w:left="0" w:leftChars="0" w:firstLine="0" w:firstLineChars="0"/>
              <w:jc w:val="left"/>
              <w:rPr>
                <w:rFonts w:hint="eastAsia" w:ascii="宋体" w:hAnsi="宋体" w:eastAsia="宋体" w:cs="宋体"/>
                <w:lang w:val="en-US" w:eastAsia="zh-CN"/>
              </w:rPr>
            </w:pPr>
            <w:r>
              <w:rPr>
                <w:rFonts w:hint="eastAsia" w:ascii="宋体" w:hAnsi="宋体" w:eastAsia="宋体" w:cs="宋体"/>
                <w:lang w:val="en-US" w:eastAsia="zh-CN"/>
              </w:rPr>
              <w:t>5、现场试验与效能评估服务</w:t>
            </w:r>
          </w:p>
          <w:p w14:paraId="684B911A">
            <w:pPr>
              <w:tabs>
                <w:tab w:val="left" w:pos="851"/>
              </w:tabs>
              <w:ind w:left="0" w:leftChars="0" w:firstLine="0" w:firstLineChars="0"/>
              <w:jc w:val="left"/>
              <w:rPr>
                <w:rFonts w:hint="eastAsia" w:ascii="宋体" w:hAnsi="宋体" w:eastAsia="宋体" w:cs="宋体"/>
                <w:lang w:val="en-US" w:eastAsia="zh-CN"/>
              </w:rPr>
            </w:pPr>
            <w:r>
              <w:rPr>
                <w:rFonts w:hint="eastAsia" w:ascii="宋体" w:hAnsi="宋体" w:eastAsia="宋体" w:cs="宋体"/>
                <w:lang w:val="en-US" w:eastAsia="zh-CN"/>
              </w:rPr>
              <w:t>配合在500kV猫头塔、酒杯塔开展多组实塔登塔对比试验，完成人体心率、血氧、RPE疲劳量表、登塔耗时、关节肌肉负荷等数据采集与分析，出具完整效能评估结论，形成标准化现场应用规范。</w:t>
            </w:r>
          </w:p>
          <w:p w14:paraId="35EF5765">
            <w:pPr>
              <w:tabs>
                <w:tab w:val="left" w:pos="851"/>
              </w:tabs>
              <w:ind w:left="0" w:leftChars="0" w:firstLine="0" w:firstLineChars="0"/>
              <w:jc w:val="left"/>
              <w:rPr>
                <w:rFonts w:hint="eastAsia" w:ascii="宋体" w:hAnsi="宋体" w:eastAsia="宋体" w:cs="宋体"/>
                <w:lang w:val="en-US" w:eastAsia="zh-CN"/>
              </w:rPr>
            </w:pPr>
            <w:r>
              <w:rPr>
                <w:rFonts w:hint="eastAsia" w:ascii="宋体" w:hAnsi="宋体" w:eastAsia="宋体" w:cs="宋体"/>
                <w:lang w:val="en-US" w:eastAsia="zh-CN"/>
              </w:rPr>
              <w:t>6、项目验收全流程保障服务</w:t>
            </w:r>
          </w:p>
          <w:p w14:paraId="0FA30A36">
            <w:pPr>
              <w:tabs>
                <w:tab w:val="left" w:pos="851"/>
              </w:tabs>
              <w:ind w:left="0" w:leftChars="0" w:firstLine="0" w:firstLineChars="0"/>
              <w:jc w:val="left"/>
              <w:rPr>
                <w:rFonts w:hint="eastAsia" w:ascii="宋体" w:hAnsi="宋体" w:eastAsia="宋体" w:cs="宋体"/>
                <w:lang w:val="en-US" w:eastAsia="zh-CN"/>
              </w:rPr>
            </w:pPr>
            <w:r>
              <w:rPr>
                <w:rFonts w:hint="eastAsia" w:ascii="宋体" w:hAnsi="宋体" w:eastAsia="宋体" w:cs="宋体"/>
                <w:lang w:val="en-US" w:eastAsia="zh-CN"/>
              </w:rPr>
              <w:t>全程配合百色局完成职工创新项目阶段性检查、最终验收；按需提供技术汇报材料、试验原始数据、样机调试记录等佐证材料，协助完成创新成果整理、资料归档。</w:t>
            </w:r>
          </w:p>
          <w:p w14:paraId="75A719FC">
            <w:pPr>
              <w:tabs>
                <w:tab w:val="left" w:pos="851"/>
              </w:tabs>
              <w:ind w:left="0" w:leftChars="0" w:firstLine="0" w:firstLineChars="0"/>
              <w:jc w:val="left"/>
              <w:rPr>
                <w:rFonts w:hint="eastAsia" w:ascii="宋体" w:hAnsi="宋体" w:eastAsia="宋体" w:cs="宋体"/>
                <w:lang w:val="en-US" w:eastAsia="zh-CN"/>
              </w:rPr>
            </w:pPr>
            <w:r>
              <w:rPr>
                <w:rFonts w:hint="eastAsia" w:ascii="宋体" w:hAnsi="宋体" w:eastAsia="宋体" w:cs="宋体"/>
                <w:lang w:val="en-US" w:eastAsia="zh-CN"/>
              </w:rPr>
              <w:t>7、售后技术优化服务</w:t>
            </w:r>
          </w:p>
          <w:p w14:paraId="2F80F1F9">
            <w:pPr>
              <w:tabs>
                <w:tab w:val="left" w:pos="851"/>
              </w:tabs>
              <w:ind w:left="0" w:leftChars="0" w:firstLine="0" w:firstLineChars="0"/>
              <w:jc w:val="left"/>
              <w:rPr>
                <w:rFonts w:hint="default" w:ascii="宋体" w:hAnsi="宋体" w:eastAsia="宋体" w:cs="宋体"/>
                <w:lang w:val="en-US" w:eastAsia="zh-CN"/>
              </w:rPr>
            </w:pPr>
            <w:r>
              <w:rPr>
                <w:rFonts w:hint="eastAsia" w:ascii="宋体" w:hAnsi="宋体" w:eastAsia="宋体" w:cs="宋体"/>
                <w:lang w:val="en-US" w:eastAsia="zh-CN"/>
              </w:rPr>
              <w:t>项目验收完成后提供周期技术答疑、样机优化调整、文档修订完善服务，针对登塔作业现场使用反馈对机械结构、助力逻辑、穿戴结构提供技术方案。</w:t>
            </w:r>
          </w:p>
        </w:tc>
        <w:tc>
          <w:tcPr>
            <w:tcW w:w="2048" w:type="dxa"/>
            <w:noWrap w:val="0"/>
            <w:vAlign w:val="center"/>
          </w:tcPr>
          <w:p w14:paraId="19D7DB7A">
            <w:pPr>
              <w:tabs>
                <w:tab w:val="left" w:pos="851"/>
              </w:tabs>
              <w:ind w:left="0" w:leftChars="0" w:firstLine="0" w:firstLineChars="0"/>
              <w:jc w:val="left"/>
              <w:rPr>
                <w:rFonts w:hint="eastAsia" w:ascii="宋体" w:hAnsi="宋体" w:eastAsia="宋体" w:cs="宋体"/>
                <w:lang w:val="en-US" w:eastAsia="zh-CN"/>
              </w:rPr>
            </w:pPr>
            <w:r>
              <w:rPr>
                <w:rFonts w:hint="eastAsia" w:ascii="宋体" w:hAnsi="宋体" w:eastAsia="宋体" w:cs="宋体"/>
                <w:lang w:val="en-US" w:eastAsia="zh-CN"/>
              </w:rPr>
              <w:t>1、配合研究生产无源储能式外骨骼机器人样机1套</w:t>
            </w:r>
          </w:p>
          <w:p w14:paraId="3878FD9C">
            <w:pPr>
              <w:tabs>
                <w:tab w:val="left" w:pos="851"/>
              </w:tabs>
              <w:ind w:left="0" w:leftChars="0" w:firstLine="0" w:firstLineChars="0"/>
              <w:jc w:val="left"/>
              <w:rPr>
                <w:rFonts w:hint="eastAsia" w:ascii="宋体" w:hAnsi="宋体" w:eastAsia="宋体" w:cs="宋体"/>
                <w:lang w:val="en-US" w:eastAsia="zh-CN"/>
              </w:rPr>
            </w:pPr>
            <w:r>
              <w:rPr>
                <w:rFonts w:hint="eastAsia" w:ascii="宋体" w:hAnsi="宋体" w:eastAsia="宋体" w:cs="宋体"/>
                <w:lang w:val="en-US" w:eastAsia="zh-CN"/>
              </w:rPr>
              <w:t>2、配合撰写技术设计与计算文档1套</w:t>
            </w:r>
          </w:p>
          <w:p w14:paraId="2467F7F1">
            <w:pPr>
              <w:tabs>
                <w:tab w:val="left" w:pos="851"/>
              </w:tabs>
              <w:ind w:left="0" w:leftChars="0" w:firstLine="0" w:firstLineChars="0"/>
              <w:jc w:val="left"/>
              <w:rPr>
                <w:rFonts w:hint="eastAsia" w:ascii="宋体" w:hAnsi="宋体" w:eastAsia="宋体" w:cs="宋体"/>
                <w:lang w:val="en-US" w:eastAsia="zh-CN"/>
              </w:rPr>
            </w:pPr>
            <w:r>
              <w:rPr>
                <w:rFonts w:hint="eastAsia" w:ascii="宋体" w:hAnsi="宋体" w:eastAsia="宋体" w:cs="宋体"/>
                <w:lang w:val="en-US" w:eastAsia="zh-CN"/>
              </w:rPr>
              <w:t>3、配合撰写500kV铁塔实塔登攀测试报告1份</w:t>
            </w:r>
          </w:p>
          <w:p w14:paraId="7EE27E0A">
            <w:pPr>
              <w:tabs>
                <w:tab w:val="left" w:pos="851"/>
              </w:tabs>
              <w:ind w:left="0" w:leftChars="0" w:firstLine="0" w:firstLineChars="0"/>
              <w:jc w:val="left"/>
              <w:rPr>
                <w:rFonts w:hint="eastAsia" w:ascii="宋体" w:hAnsi="宋体" w:eastAsia="宋体" w:cs="宋体"/>
                <w:lang w:val="en-US" w:eastAsia="zh-CN"/>
              </w:rPr>
            </w:pPr>
            <w:r>
              <w:rPr>
                <w:rFonts w:hint="eastAsia" w:ascii="宋体" w:hAnsi="宋体" w:eastAsia="宋体" w:cs="宋体"/>
                <w:lang w:val="en-US" w:eastAsia="zh-CN"/>
              </w:rPr>
              <w:t>4、配合撰写超高压线路外骨骼应用指南及操作手册。</w:t>
            </w:r>
          </w:p>
          <w:p w14:paraId="4288A32D">
            <w:pPr>
              <w:tabs>
                <w:tab w:val="left" w:pos="851"/>
              </w:tabs>
              <w:ind w:left="0" w:leftChars="0" w:firstLine="0" w:firstLineChars="0"/>
              <w:jc w:val="left"/>
              <w:rPr>
                <w:rFonts w:hint="eastAsia" w:ascii="宋体" w:hAnsi="宋体" w:eastAsia="宋体" w:cs="宋体"/>
                <w:lang w:val="en-US" w:eastAsia="zh-CN"/>
              </w:rPr>
            </w:pPr>
            <w:r>
              <w:rPr>
                <w:rFonts w:hint="eastAsia" w:ascii="宋体" w:hAnsi="宋体" w:eastAsia="宋体" w:cs="宋体"/>
                <w:lang w:val="en-US" w:eastAsia="zh-CN"/>
              </w:rPr>
              <w:t>5、配合撰写期刊论文文本1项。</w:t>
            </w:r>
          </w:p>
          <w:p w14:paraId="39E14F85">
            <w:pPr>
              <w:tabs>
                <w:tab w:val="left" w:pos="851"/>
              </w:tabs>
              <w:ind w:left="0" w:leftChars="0" w:firstLine="0" w:firstLineChars="0"/>
              <w:jc w:val="left"/>
              <w:rPr>
                <w:rFonts w:hint="eastAsia" w:ascii="宋体" w:hAnsi="宋体" w:eastAsia="宋体" w:cs="宋体"/>
                <w:lang w:val="en-US" w:eastAsia="zh-CN"/>
              </w:rPr>
            </w:pPr>
            <w:r>
              <w:rPr>
                <w:rFonts w:hint="eastAsia" w:ascii="宋体" w:hAnsi="宋体" w:eastAsia="宋体" w:cs="宋体"/>
                <w:lang w:val="en-US" w:eastAsia="zh-CN"/>
              </w:rPr>
              <w:t>6.完成第三方检测（检测机构应具备CMA或CNAS认证资质）；</w:t>
            </w:r>
          </w:p>
          <w:p w14:paraId="542DCEDB">
            <w:pPr>
              <w:tabs>
                <w:tab w:val="left" w:pos="851"/>
              </w:tabs>
              <w:ind w:left="0" w:leftChars="0" w:firstLine="0" w:firstLineChars="0"/>
              <w:jc w:val="left"/>
              <w:rPr>
                <w:rFonts w:hint="default" w:ascii="宋体" w:hAnsi="宋体" w:eastAsia="宋体" w:cs="宋体"/>
                <w:lang w:val="en-US" w:eastAsia="zh-CN"/>
              </w:rPr>
            </w:pPr>
            <w:r>
              <w:rPr>
                <w:rFonts w:hint="eastAsia" w:ascii="宋体" w:hAnsi="宋体" w:eastAsia="宋体" w:cs="宋体"/>
                <w:lang w:val="en-US" w:eastAsia="zh-CN"/>
              </w:rPr>
              <w:t>7.在超特高压新型电气装备科技成果转化中试基地完成中试。</w:t>
            </w:r>
          </w:p>
        </w:tc>
        <w:tc>
          <w:tcPr>
            <w:tcW w:w="1309" w:type="dxa"/>
            <w:noWrap w:val="0"/>
            <w:vAlign w:val="center"/>
          </w:tcPr>
          <w:p w14:paraId="5D7F8872">
            <w:pPr>
              <w:tabs>
                <w:tab w:val="left" w:pos="851"/>
              </w:tabs>
              <w:ind w:left="0" w:leftChars="0" w:firstLine="0" w:firstLineChars="0"/>
              <w:jc w:val="left"/>
              <w:rPr>
                <w:rFonts w:hint="default" w:ascii="宋体" w:hAnsi="宋体" w:eastAsia="宋体" w:cs="宋体"/>
                <w:lang w:val="en-US" w:eastAsia="zh-CN"/>
              </w:rPr>
            </w:pPr>
            <w:r>
              <w:rPr>
                <w:rFonts w:hint="eastAsia" w:ascii="宋体" w:hAnsi="宋体" w:eastAsia="宋体" w:cs="宋体"/>
                <w:lang w:val="en-US" w:eastAsia="zh-CN"/>
              </w:rPr>
              <w:t>招标方指定地点</w:t>
            </w:r>
          </w:p>
        </w:tc>
      </w:tr>
      <w:bookmarkEnd w:id="23"/>
      <w:bookmarkEnd w:id="24"/>
    </w:tbl>
    <w:p w14:paraId="7FD88D36">
      <w:pPr>
        <w:pStyle w:val="4"/>
        <w:numPr>
          <w:ilvl w:val="255"/>
          <w:numId w:val="0"/>
        </w:numPr>
        <w:spacing w:before="312" w:after="156"/>
        <w:rPr>
          <w:rFonts w:hint="eastAsia" w:ascii="宋体" w:hAnsi="宋体" w:eastAsia="宋体" w:cs="Times New Roman"/>
        </w:rPr>
      </w:pPr>
      <w:bookmarkStart w:id="31" w:name="_Toc23208"/>
      <w:r>
        <w:rPr>
          <w:rFonts w:hint="eastAsia" w:ascii="宋体" w:hAnsi="宋体" w:eastAsia="宋体" w:cs="Times New Roman"/>
          <w:lang w:val="en-US" w:eastAsia="zh-CN"/>
        </w:rPr>
        <w:t>6.</w:t>
      </w:r>
      <w:r>
        <w:rPr>
          <w:rFonts w:hint="eastAsia" w:ascii="宋体" w:hAnsi="宋体" w:eastAsia="宋体" w:cs="Times New Roman"/>
        </w:rPr>
        <w:t>对投标方的要求</w:t>
      </w:r>
      <w:bookmarkEnd w:id="25"/>
      <w:bookmarkEnd w:id="26"/>
      <w:bookmarkEnd w:id="27"/>
      <w:bookmarkEnd w:id="28"/>
      <w:bookmarkEnd w:id="29"/>
      <w:bookmarkEnd w:id="30"/>
      <w:bookmarkEnd w:id="31"/>
    </w:p>
    <w:p w14:paraId="2ADFA82D">
      <w:pPr>
        <w:tabs>
          <w:tab w:val="left" w:pos="851"/>
        </w:tabs>
        <w:ind w:firstLine="480"/>
        <w:rPr>
          <w:rFonts w:hint="eastAsia" w:ascii="宋体" w:hAnsi="宋体" w:eastAsia="宋体" w:cs="宋体"/>
          <w:lang w:val="en-US" w:eastAsia="zh-CN"/>
        </w:rPr>
      </w:pPr>
      <w:bookmarkStart w:id="32" w:name="_Toc28495"/>
      <w:bookmarkStart w:id="33" w:name="_Toc369559711"/>
      <w:bookmarkStart w:id="34" w:name="_Toc31887"/>
      <w:bookmarkStart w:id="35" w:name="_Toc369561314"/>
      <w:bookmarkStart w:id="36" w:name="_Toc16150"/>
      <w:r>
        <w:rPr>
          <w:rFonts w:hint="eastAsia" w:ascii="宋体" w:hAnsi="宋体" w:eastAsia="宋体" w:cs="宋体"/>
          <w:lang w:val="en-US" w:eastAsia="zh-CN"/>
        </w:rPr>
        <w:t>（1）投标方按照本技术规范书技术服务范围及技术指标要求等相关技术标准制定严谨、全面、可实现的技术实施方案，并严格按照实施方案进行实施。在项目服务周期内中标方有义务在实施过程中对项目涉及的技术问题进行答疑。在项目全周期中禁止投标方再次分包本项目。</w:t>
      </w:r>
    </w:p>
    <w:p w14:paraId="19BE5FA1">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（2）为保证投标方有效进行项目制作工作，招标方提供与项目有关的技术资料，并协助投标方协调项目实施过程中所需解决的事项。</w:t>
      </w:r>
    </w:p>
    <w:p w14:paraId="192A5E47">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（3）在项目实施期间，招标方可派出技术人员并参加项目的管理及实施，投标方有责任对其进行技术指导和答疑，同时投标方也应协助提供招标方编写论文或申请专利所需的项目数据。</w:t>
      </w:r>
    </w:p>
    <w:p w14:paraId="3CB444C2">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4）在项目进行期内，双方均指定项目联系人。项目联系人承担以下责任：a、沟通项目所需的资料收集；b、沟通项目进度信息；c、协商解决项目执行过程中遇到的问题。一方变更项目联系人的，应当及时以书面形式通知另一方。未及时通知并影响项目进行或造成损失的，应承担相应的责任。</w:t>
      </w:r>
    </w:p>
    <w:p w14:paraId="27AAD7E5">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（5）投标方必须向招标方保证工程人员组织的稳定性，保证工程按招标方的要求如期进行；在本工程结束前，参加本工程的人员变动必须取得招标方同意；</w:t>
      </w:r>
    </w:p>
    <w:p w14:paraId="06B90C11">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（6）投标方负责对招标方专业人员的技术培训 （包括硬件、软件的维护及运行培训），并提供必要的工作场地；</w:t>
      </w:r>
    </w:p>
    <w:p w14:paraId="18B5C0CB">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（7）投标方协助招标方产品开发、负责产品制作、加工、测试、实施及现场调试，参加现场验收和整体考核验收；</w:t>
      </w:r>
    </w:p>
    <w:p w14:paraId="192892A2">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（8）投标方负责提供制作范围内所有设备的文件资料和运行维护手册；</w:t>
      </w:r>
    </w:p>
    <w:p w14:paraId="7A970D43">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（9）保证期以后应招标方要求，投标方应协助招标方对所供系统进行扩容升级、增加功能等工作，并优惠提供最新开发的应用软件。</w:t>
      </w:r>
    </w:p>
    <w:p w14:paraId="0012E313">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10）投标方应按照本规范书要求完成项目，项目制作的工具、方法、进度和全过程应在招标方可控的范围之内，并向招标方交付项目相关技术资料，不限于项目实施过程中产生的试验数据、电路布图、仿真模型、算法、程序、装置及零部件图纸等。未经招标方书面同意，投标方不得在其他项目中使用上述技术资料，或向任何第三方披露、使用上述技术资料。</w:t>
      </w:r>
    </w:p>
    <w:p w14:paraId="215D60F6">
      <w:pPr>
        <w:tabs>
          <w:tab w:val="left" w:pos="851"/>
        </w:tabs>
        <w:ind w:firstLine="480"/>
        <w:rPr>
          <w:rFonts w:hint="eastAsia" w:ascii="宋体" w:hAnsi="宋体" w:eastAsia="宋体" w:cs="Times New Roman"/>
          <w:lang w:val="en-US" w:eastAsia="zh-CN"/>
        </w:rPr>
      </w:pPr>
      <w:r>
        <w:rPr>
          <w:rFonts w:hint="eastAsia" w:ascii="宋体" w:hAnsi="宋体" w:eastAsia="宋体" w:cs="宋体"/>
          <w:lang w:val="en-US" w:eastAsia="zh-CN"/>
        </w:rPr>
        <w:t>（11）项目实施过程中形成的知识产权归招标方所有，投标方经招标方书面同意后方可使用制作成果，但无转让权。招标方可以不定期（不限于项目期间）采取以下措施：对技术成果知识产权进行申请和保护，包括就任何技术成果申请专利、维持专利或专利有效性和对任何涉嫌或实际侵犯技术成果知识产权的行为采取一切合理必要措施。投标方参与到技术成果创造的学术应当为招标法采取上述措施提供合理的帮助。</w:t>
      </w:r>
      <w:bookmarkStart w:id="37" w:name="_Toc30826"/>
      <w:bookmarkStart w:id="38" w:name="_Toc2553"/>
    </w:p>
    <w:p w14:paraId="06A27764">
      <w:pPr>
        <w:pStyle w:val="4"/>
        <w:numPr>
          <w:ilvl w:val="255"/>
          <w:numId w:val="0"/>
        </w:numPr>
        <w:spacing w:before="312" w:after="156"/>
        <w:rPr>
          <w:rFonts w:hint="eastAsia" w:ascii="宋体" w:hAnsi="宋体" w:eastAsia="宋体" w:cs="Times New Roman"/>
        </w:rPr>
      </w:pPr>
      <w:r>
        <w:rPr>
          <w:rFonts w:hint="eastAsia" w:ascii="宋体" w:hAnsi="宋体" w:eastAsia="宋体" w:cs="Times New Roman"/>
          <w:lang w:val="en-US" w:eastAsia="zh-CN"/>
        </w:rPr>
        <w:t>7</w:t>
      </w:r>
      <w:bookmarkEnd w:id="32"/>
      <w:bookmarkEnd w:id="33"/>
      <w:bookmarkEnd w:id="34"/>
      <w:bookmarkEnd w:id="35"/>
      <w:bookmarkEnd w:id="36"/>
      <w:r>
        <w:rPr>
          <w:rFonts w:hint="eastAsia" w:ascii="宋体" w:hAnsi="宋体" w:eastAsia="宋体" w:cs="Times New Roman"/>
          <w:lang w:val="en-US" w:eastAsia="zh-CN"/>
        </w:rPr>
        <w:t>.</w:t>
      </w:r>
      <w:r>
        <w:rPr>
          <w:rFonts w:hint="eastAsia" w:ascii="宋体" w:hAnsi="宋体" w:eastAsia="宋体" w:cs="Times New Roman"/>
        </w:rPr>
        <w:t>售后服务及其它服务要求</w:t>
      </w:r>
      <w:bookmarkEnd w:id="37"/>
      <w:bookmarkEnd w:id="38"/>
    </w:p>
    <w:p w14:paraId="2CF919F0">
      <w:pPr>
        <w:tabs>
          <w:tab w:val="left" w:pos="851"/>
        </w:tabs>
        <w:ind w:firstLine="480"/>
        <w:rPr>
          <w:rFonts w:hint="eastAsia" w:ascii="宋体" w:hAnsi="宋体" w:eastAsia="宋体" w:cs="宋体"/>
          <w:lang w:val="en-US" w:eastAsia="zh-CN"/>
        </w:rPr>
      </w:pPr>
      <w:bookmarkStart w:id="39" w:name="_Toc20198"/>
      <w:bookmarkStart w:id="40" w:name="_Toc10420"/>
      <w:bookmarkStart w:id="41" w:name="_Toc28511"/>
      <w:bookmarkStart w:id="42" w:name="_Toc10389"/>
      <w:bookmarkStart w:id="43" w:name="_Toc13136"/>
      <w:bookmarkStart w:id="44" w:name="_Toc30582"/>
      <w:bookmarkStart w:id="45" w:name="_Toc20620"/>
      <w:bookmarkStart w:id="46" w:name="_Toc10829"/>
      <w:bookmarkStart w:id="47" w:name="_Toc29252"/>
      <w:bookmarkStart w:id="48" w:name="_Toc11564"/>
      <w:bookmarkStart w:id="49" w:name="_Toc28372"/>
      <w:bookmarkStart w:id="50" w:name="_Toc26277"/>
      <w:bookmarkStart w:id="51" w:name="_Toc20141"/>
      <w:bookmarkStart w:id="52" w:name="_Toc26310"/>
      <w:r>
        <w:rPr>
          <w:rFonts w:hint="eastAsia" w:ascii="宋体" w:hAnsi="宋体" w:eastAsia="宋体" w:cs="宋体"/>
          <w:lang w:val="en-US" w:eastAsia="zh-CN"/>
        </w:rPr>
        <w:t>7.1 售后服务</w:t>
      </w:r>
      <w:bookmarkEnd w:id="39"/>
      <w:bookmarkEnd w:id="40"/>
      <w:bookmarkEnd w:id="41"/>
      <w:bookmarkEnd w:id="42"/>
      <w:bookmarkEnd w:id="43"/>
      <w:bookmarkEnd w:id="44"/>
      <w:bookmarkEnd w:id="45"/>
      <w:bookmarkEnd w:id="46"/>
      <w:bookmarkEnd w:id="47"/>
      <w:bookmarkEnd w:id="48"/>
    </w:p>
    <w:p w14:paraId="1ACF7EB4">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（1）项目质保期为12个月，质保期自项目完工并通过招标方验收之日起开始计算。投标方应免费提供系统软件升级、培训、设计联络、技术服务，并保障设备生命周期内所有软件系统的技术支持；</w:t>
      </w:r>
    </w:p>
    <w:p w14:paraId="61E5F5EA">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（2）提供7×24小时的技术支持服务，制定固定的技术负责人及联络电话等，技术负责人变更前应书面通知招标方。</w:t>
      </w:r>
    </w:p>
    <w:p w14:paraId="6245C50A">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（3）在用户发现软件故障时，投标方必须在用户提出维护要求的4小时内作出响应，24小时内提交故障分析报告和解决方案，48小时内解决故障；</w:t>
      </w:r>
    </w:p>
    <w:p w14:paraId="6016F8D0">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（4）对于用户提出的软件性能提高、功能增加等改进要求，如属“技术规范书”的范畴，投标方应在2周内予以解决；如属“技术规范书”以外的功能制作，也应提供优惠服务。</w:t>
      </w:r>
    </w:p>
    <w:p w14:paraId="59D52103">
      <w:pPr>
        <w:tabs>
          <w:tab w:val="left" w:pos="851"/>
        </w:tabs>
        <w:ind w:firstLine="480"/>
        <w:rPr>
          <w:rFonts w:hint="eastAsia" w:ascii="宋体" w:hAnsi="宋体" w:eastAsia="宋体" w:cs="宋体"/>
          <w:lang w:val="en-US" w:eastAsia="zh-CN"/>
        </w:rPr>
      </w:pPr>
      <w:bookmarkStart w:id="53" w:name="_Toc10191"/>
      <w:bookmarkStart w:id="54" w:name="_Toc3047"/>
      <w:bookmarkStart w:id="55" w:name="_Toc6703"/>
      <w:bookmarkStart w:id="56" w:name="_Toc17466"/>
      <w:bookmarkStart w:id="57" w:name="_Toc9332"/>
      <w:bookmarkStart w:id="58" w:name="_Toc24565"/>
      <w:bookmarkStart w:id="59" w:name="_Toc12127"/>
      <w:bookmarkStart w:id="60" w:name="_Toc11532"/>
      <w:bookmarkStart w:id="61" w:name="_Toc12828"/>
      <w:bookmarkStart w:id="62" w:name="_Toc29014"/>
      <w:bookmarkStart w:id="63" w:name="_Toc22421"/>
      <w:bookmarkStart w:id="64" w:name="_Toc12748"/>
      <w:r>
        <w:rPr>
          <w:rFonts w:hint="eastAsia" w:ascii="宋体" w:hAnsi="宋体" w:eastAsia="宋体" w:cs="宋体"/>
          <w:lang w:val="en-US" w:eastAsia="zh-CN"/>
        </w:rPr>
        <w:t>7.2 其它服务要求</w:t>
      </w:r>
      <w:bookmarkEnd w:id="53"/>
      <w:bookmarkEnd w:id="54"/>
      <w:bookmarkEnd w:id="55"/>
      <w:bookmarkEnd w:id="56"/>
      <w:bookmarkEnd w:id="57"/>
      <w:bookmarkEnd w:id="58"/>
      <w:bookmarkEnd w:id="59"/>
      <w:bookmarkEnd w:id="60"/>
      <w:bookmarkEnd w:id="61"/>
      <w:bookmarkEnd w:id="62"/>
      <w:bookmarkEnd w:id="63"/>
      <w:bookmarkEnd w:id="64"/>
    </w:p>
    <w:p w14:paraId="437739F2">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（1）应对技术支持人员进行网络安全身份认证及背景审查，并进行安全教育、培训；</w:t>
      </w:r>
    </w:p>
    <w:p w14:paraId="4A9B857A">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（2） 投标方人员现场按规定流程工作，严禁使用非专用终端（笔记本电脑）、移动介质（U盘），防范病毒感染等风险；系统应满足信息网络安全要求，以及南方电网公司网络安全合规库要求，系统涉及的操作系统、数据库等均应为自主可控的产品；</w:t>
      </w:r>
    </w:p>
    <w:p w14:paraId="117593D7">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（3）投标方应做好有关信息的保密工作，严禁将带有南方电网公司标志及相关信息的制作、测试环境接入互联网等外部环境，严禁将系统运行的业务数据拷贝或发送到外部使用。</w:t>
      </w:r>
    </w:p>
    <w:p w14:paraId="337922AD">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4）投标人提供的操作系统、数据库、中间件等应选用安全可靠的产品。操作系统须通过中国信息安全测评中心、国家保密科技测评中心的安全可靠测评（如麒麟、统信等操作系统）。使用的集中式数据库必须通过中国信息安全测评中心、国家保密科技测评中心的安全可靠测评。</w:t>
      </w:r>
    </w:p>
    <w:p w14:paraId="3C72BC04">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5）若涉及计算机（服务器、工作站、便携式电脑等）、网络设备（交换机、路由器）、网络安全设备（防火墙、加密、态势感知装置等）及计算机外接设备（打印机、扫描仪、多功能一体机）应选用安全可靠产品，其产品的中央处理器（CPU）须通过中国信息安全测评中心、国家保密科技测评中心的安全可靠测评。</w:t>
      </w:r>
    </w:p>
    <w:p w14:paraId="160855C4">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6）投标人提供的其他网信软、硬件产品应满足国产化要求，具有完整国产自主知识产权（提供专利证书或软件著作权证书），不得使用未通过国家网络安全审查的设备元件、组件。禁止选用经国家相关部门检测认定并经国家能源局通报存在漏洞和风险的系统及设备。除安全接入区外，禁止选用具有无线通信功能的设备。</w:t>
      </w:r>
      <w:bookmarkEnd w:id="49"/>
      <w:bookmarkEnd w:id="50"/>
      <w:bookmarkEnd w:id="51"/>
      <w:bookmarkEnd w:id="52"/>
      <w:bookmarkStart w:id="65" w:name="_Toc16657"/>
      <w:bookmarkStart w:id="66" w:name="_Toc1182"/>
    </w:p>
    <w:p w14:paraId="479677B6">
      <w:pPr>
        <w:pStyle w:val="4"/>
        <w:numPr>
          <w:ilvl w:val="255"/>
          <w:numId w:val="0"/>
        </w:numPr>
        <w:spacing w:before="312" w:after="156"/>
        <w:rPr>
          <w:rFonts w:hint="eastAsia" w:ascii="宋体" w:hAnsi="宋体" w:eastAsia="宋体" w:cs="Times New Roman"/>
        </w:rPr>
      </w:pPr>
      <w:r>
        <w:rPr>
          <w:rFonts w:hint="eastAsia" w:ascii="宋体" w:hAnsi="宋体" w:eastAsia="宋体" w:cs="Times New Roman"/>
          <w:lang w:val="en-US" w:eastAsia="zh-CN"/>
        </w:rPr>
        <w:t>8.</w:t>
      </w:r>
      <w:r>
        <w:rPr>
          <w:rFonts w:hint="eastAsia" w:ascii="宋体" w:hAnsi="宋体" w:eastAsia="宋体" w:cs="Times New Roman"/>
        </w:rPr>
        <w:t>对投标技术文件的要求</w:t>
      </w:r>
      <w:bookmarkEnd w:id="65"/>
      <w:bookmarkEnd w:id="66"/>
    </w:p>
    <w:p w14:paraId="5DEFB52D">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投标技术文件必须包括但不限于以下内容：投标技术文件响应，技术差异表。</w:t>
      </w:r>
    </w:p>
    <w:p w14:paraId="477764F5">
      <w:pPr>
        <w:tabs>
          <w:tab w:val="left" w:pos="851"/>
        </w:tabs>
        <w:ind w:firstLine="480"/>
        <w:rPr>
          <w:rFonts w:hint="eastAsia" w:ascii="宋体" w:hAnsi="宋体" w:eastAsia="宋体" w:cs="宋体"/>
          <w:lang w:val="en-US" w:eastAsia="zh-CN"/>
        </w:rPr>
      </w:pPr>
      <w:bookmarkStart w:id="67" w:name="_Toc11575"/>
      <w:r>
        <w:rPr>
          <w:rFonts w:hint="eastAsia" w:ascii="宋体" w:hAnsi="宋体" w:eastAsia="宋体" w:cs="宋体"/>
          <w:lang w:val="en-US" w:eastAsia="zh-CN"/>
        </w:rPr>
        <w:t>8.1投标文件的响应</w:t>
      </w:r>
      <w:bookmarkEnd w:id="67"/>
    </w:p>
    <w:p w14:paraId="6A91424C">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投标人的投标技术文件响应中，要求对本招标文件所提出各项要求进行逐条逐项答复、说明和解释。首先对实现或满足程度明确作出“满足”、“部分满足”、“不满足”等应答，不得使用“明白”、“理解”等词语。凡采用“详见”、“参见”等方式说明的，应指明参见文档的章节及页码。凡采用“部分满足”应答的，应详细说明哪部分满足或不满足。</w:t>
      </w:r>
    </w:p>
    <w:p w14:paraId="5A328F66">
      <w:pPr>
        <w:snapToGrid w:val="0"/>
        <w:spacing w:line="360" w:lineRule="auto"/>
        <w:ind w:firstLine="0" w:firstLineChars="0"/>
        <w:jc w:val="center"/>
        <w:rPr>
          <w:color w:val="auto"/>
          <w:szCs w:val="21"/>
          <w:highlight w:val="none"/>
        </w:rPr>
      </w:pPr>
      <w:bookmarkStart w:id="68" w:name="_Toc283142574"/>
      <w:r>
        <w:rPr>
          <w:rFonts w:hint="eastAsia"/>
          <w:color w:val="auto"/>
          <w:szCs w:val="21"/>
          <w:highlight w:val="none"/>
        </w:rPr>
        <w:t>表</w:t>
      </w:r>
      <w:r>
        <w:rPr>
          <w:rFonts w:hint="eastAsia"/>
          <w:color w:val="auto"/>
          <w:szCs w:val="21"/>
          <w:highlight w:val="none"/>
          <w:lang w:val="en-US" w:eastAsia="zh-CN"/>
        </w:rPr>
        <w:t>8.1</w:t>
      </w:r>
      <w:r>
        <w:rPr>
          <w:color w:val="auto"/>
          <w:szCs w:val="21"/>
          <w:highlight w:val="none"/>
        </w:rPr>
        <w:t xml:space="preserve">  </w:t>
      </w:r>
      <w:bookmarkEnd w:id="68"/>
      <w:r>
        <w:rPr>
          <w:rFonts w:hint="eastAsia"/>
          <w:color w:val="auto"/>
          <w:szCs w:val="21"/>
          <w:highlight w:val="none"/>
        </w:rPr>
        <w:t>技术参数和性能要求响应表</w:t>
      </w:r>
    </w:p>
    <w:tbl>
      <w:tblPr>
        <w:tblStyle w:val="19"/>
        <w:tblW w:w="49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2136"/>
        <w:gridCol w:w="3644"/>
        <w:gridCol w:w="1911"/>
      </w:tblGrid>
      <w:tr w14:paraId="7A826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pct"/>
            <w:noWrap w:val="0"/>
            <w:vAlign w:val="center"/>
          </w:tcPr>
          <w:p w14:paraId="17970AA2">
            <w:pPr>
              <w:adjustRightInd w:val="0"/>
              <w:snapToGrid w:val="0"/>
              <w:spacing w:line="348" w:lineRule="auto"/>
              <w:ind w:firstLine="0" w:firstLineChars="0"/>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序号</w:t>
            </w:r>
          </w:p>
        </w:tc>
        <w:tc>
          <w:tcPr>
            <w:tcW w:w="1258" w:type="pct"/>
            <w:noWrap w:val="0"/>
            <w:vAlign w:val="center"/>
          </w:tcPr>
          <w:p w14:paraId="55574F3E">
            <w:pPr>
              <w:adjustRightInd w:val="0"/>
              <w:snapToGrid w:val="0"/>
              <w:spacing w:line="348" w:lineRule="auto"/>
              <w:ind w:firstLine="0" w:firstLineChars="0"/>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标的名称</w:t>
            </w:r>
          </w:p>
        </w:tc>
        <w:tc>
          <w:tcPr>
            <w:tcW w:w="2144" w:type="pct"/>
            <w:noWrap w:val="0"/>
            <w:vAlign w:val="center"/>
          </w:tcPr>
          <w:p w14:paraId="25F1DD37">
            <w:pPr>
              <w:widowControl w:val="0"/>
              <w:ind w:firstLine="0" w:firstLineChars="0"/>
              <w:jc w:val="center"/>
              <w:rPr>
                <w:rFonts w:hint="eastAsia" w:ascii="宋体" w:hAnsi="宋体" w:eastAsia="宋体" w:cs="宋体"/>
                <w:kern w:val="2"/>
                <w:sz w:val="24"/>
                <w:szCs w:val="24"/>
                <w:highlight w:val="none"/>
                <w:vertAlign w:val="baseline"/>
                <w:lang w:val="en-US" w:eastAsia="zh-CN" w:bidi="ar-SA"/>
              </w:rPr>
            </w:pPr>
            <w:r>
              <w:rPr>
                <w:rFonts w:hint="eastAsia" w:ascii="宋体" w:hAnsi="宋体" w:eastAsia="宋体" w:cs="宋体"/>
                <w:kern w:val="2"/>
                <w:sz w:val="24"/>
                <w:szCs w:val="24"/>
                <w:highlight w:val="none"/>
                <w:lang w:val="en-US" w:eastAsia="zh-CN" w:bidi="ar-SA"/>
              </w:rPr>
              <w:t>项目要求值</w:t>
            </w:r>
          </w:p>
        </w:tc>
        <w:tc>
          <w:tcPr>
            <w:tcW w:w="1125" w:type="pct"/>
            <w:noWrap w:val="0"/>
            <w:vAlign w:val="center"/>
          </w:tcPr>
          <w:p w14:paraId="2A592E98">
            <w:pPr>
              <w:widowControl w:val="0"/>
              <w:ind w:firstLine="0" w:firstLineChars="0"/>
              <w:jc w:val="center"/>
              <w:rPr>
                <w:rFonts w:hint="eastAsia" w:ascii="宋体" w:hAnsi="宋体" w:eastAsia="宋体" w:cs="宋体"/>
                <w:kern w:val="2"/>
                <w:sz w:val="24"/>
                <w:szCs w:val="24"/>
                <w:highlight w:val="none"/>
                <w:vertAlign w:val="baseline"/>
                <w:lang w:val="en-US" w:eastAsia="zh-CN" w:bidi="ar-SA"/>
              </w:rPr>
            </w:pPr>
            <w:r>
              <w:rPr>
                <w:rFonts w:hint="eastAsia" w:ascii="宋体" w:hAnsi="宋体" w:eastAsia="宋体" w:cs="宋体"/>
                <w:kern w:val="2"/>
                <w:sz w:val="24"/>
                <w:szCs w:val="24"/>
                <w:highlight w:val="none"/>
                <w:lang w:val="en-US" w:eastAsia="zh-CN" w:bidi="ar-SA"/>
              </w:rPr>
              <w:t>投标方保证值</w:t>
            </w:r>
          </w:p>
        </w:tc>
      </w:tr>
      <w:tr w14:paraId="65B8A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pct"/>
            <w:noWrap w:val="0"/>
            <w:vAlign w:val="center"/>
          </w:tcPr>
          <w:p w14:paraId="7FEC9D44">
            <w:pPr>
              <w:tabs>
                <w:tab w:val="left" w:pos="851"/>
              </w:tabs>
              <w:ind w:firstLine="480"/>
              <w:jc w:val="both"/>
              <w:rPr>
                <w:rFonts w:hint="default" w:ascii="宋体" w:hAnsi="宋体" w:eastAsia="宋体" w:cs="宋体"/>
                <w:lang w:val="en-US" w:eastAsia="zh-CN"/>
              </w:rPr>
            </w:pPr>
            <w:r>
              <w:rPr>
                <w:rFonts w:hint="eastAsia" w:ascii="宋体" w:hAnsi="宋体" w:eastAsia="宋体" w:cs="宋体"/>
                <w:lang w:val="en-US" w:eastAsia="zh-CN"/>
              </w:rPr>
              <w:t>1</w:t>
            </w:r>
          </w:p>
        </w:tc>
        <w:tc>
          <w:tcPr>
            <w:tcW w:w="1258" w:type="pct"/>
            <w:noWrap w:val="0"/>
            <w:vAlign w:val="center"/>
          </w:tcPr>
          <w:p w14:paraId="0749D1AB">
            <w:pPr>
              <w:tabs>
                <w:tab w:val="left" w:pos="851"/>
              </w:tabs>
              <w:ind w:left="0" w:leftChars="0" w:firstLine="0" w:firstLineChars="0"/>
              <w:jc w:val="both"/>
              <w:rPr>
                <w:rFonts w:hint="eastAsia" w:ascii="宋体" w:hAnsi="宋体" w:eastAsia="宋体" w:cs="宋体"/>
                <w:lang w:val="en-US" w:eastAsia="zh-CN"/>
              </w:rPr>
            </w:pPr>
            <w:r>
              <w:rPr>
                <w:rFonts w:hint="eastAsia" w:ascii="宋体" w:hAnsi="宋体" w:eastAsia="宋体" w:cs="宋体"/>
                <w:lang w:val="en-US" w:eastAsia="zh-CN"/>
              </w:rPr>
              <w:t>面向超高压输电线路登塔作业的无源储能式外骨骼机器人</w:t>
            </w:r>
          </w:p>
        </w:tc>
        <w:tc>
          <w:tcPr>
            <w:tcW w:w="2144" w:type="pct"/>
            <w:noWrap w:val="0"/>
            <w:vAlign w:val="center"/>
          </w:tcPr>
          <w:p w14:paraId="081BD107">
            <w:pPr>
              <w:tabs>
                <w:tab w:val="left" w:pos="851"/>
              </w:tabs>
              <w:ind w:left="0" w:leftChars="0" w:firstLine="0" w:firstLineChars="0"/>
              <w:jc w:val="both"/>
              <w:rPr>
                <w:rFonts w:hint="eastAsia" w:ascii="宋体" w:hAnsi="宋体" w:eastAsia="宋体" w:cs="宋体"/>
                <w:lang w:val="en-US" w:eastAsia="zh-CN"/>
              </w:rPr>
            </w:pPr>
            <w:r>
              <w:rPr>
                <w:rFonts w:hint="eastAsia" w:ascii="宋体" w:hAnsi="宋体" w:eastAsia="宋体" w:cs="宋体"/>
                <w:lang w:val="en-US" w:eastAsia="zh-CN"/>
              </w:rPr>
              <w:t>1、配合研究生产无源储能式外骨骼机器人样机1套</w:t>
            </w:r>
          </w:p>
          <w:p w14:paraId="34A36647">
            <w:pPr>
              <w:tabs>
                <w:tab w:val="left" w:pos="851"/>
              </w:tabs>
              <w:ind w:left="0" w:leftChars="0" w:firstLine="0" w:firstLineChars="0"/>
              <w:jc w:val="both"/>
              <w:rPr>
                <w:rFonts w:hint="eastAsia" w:ascii="宋体" w:hAnsi="宋体" w:eastAsia="宋体" w:cs="宋体"/>
                <w:lang w:val="en-US" w:eastAsia="zh-CN"/>
              </w:rPr>
            </w:pPr>
            <w:r>
              <w:rPr>
                <w:rFonts w:hint="eastAsia" w:ascii="宋体" w:hAnsi="宋体" w:eastAsia="宋体" w:cs="宋体"/>
                <w:lang w:val="en-US" w:eastAsia="zh-CN"/>
              </w:rPr>
              <w:t>2、配合撰写技术设计与计算文档1套</w:t>
            </w:r>
          </w:p>
          <w:p w14:paraId="74080415">
            <w:pPr>
              <w:tabs>
                <w:tab w:val="left" w:pos="851"/>
              </w:tabs>
              <w:ind w:left="0" w:leftChars="0" w:firstLine="0" w:firstLineChars="0"/>
              <w:jc w:val="both"/>
              <w:rPr>
                <w:rFonts w:hint="eastAsia" w:ascii="宋体" w:hAnsi="宋体" w:eastAsia="宋体" w:cs="宋体"/>
                <w:lang w:val="en-US" w:eastAsia="zh-CN"/>
              </w:rPr>
            </w:pPr>
            <w:r>
              <w:rPr>
                <w:rFonts w:hint="eastAsia" w:ascii="宋体" w:hAnsi="宋体" w:eastAsia="宋体" w:cs="宋体"/>
                <w:lang w:val="en-US" w:eastAsia="zh-CN"/>
              </w:rPr>
              <w:t>3、配合撰写500kV铁塔实塔登攀测试报告1份</w:t>
            </w:r>
          </w:p>
          <w:p w14:paraId="33C06649">
            <w:pPr>
              <w:tabs>
                <w:tab w:val="left" w:pos="851"/>
              </w:tabs>
              <w:ind w:left="0" w:leftChars="0" w:firstLine="0" w:firstLineChars="0"/>
              <w:jc w:val="both"/>
              <w:rPr>
                <w:rFonts w:hint="eastAsia" w:ascii="宋体" w:hAnsi="宋体" w:eastAsia="宋体" w:cs="宋体"/>
                <w:lang w:val="en-US" w:eastAsia="zh-CN"/>
              </w:rPr>
            </w:pPr>
            <w:r>
              <w:rPr>
                <w:rFonts w:hint="eastAsia" w:ascii="宋体" w:hAnsi="宋体" w:eastAsia="宋体" w:cs="宋体"/>
                <w:lang w:val="en-US" w:eastAsia="zh-CN"/>
              </w:rPr>
              <w:t>4、配合撰写超高压线路外骨骼应用指南及操作手册。</w:t>
            </w:r>
          </w:p>
          <w:p w14:paraId="4AA747C9">
            <w:pPr>
              <w:tabs>
                <w:tab w:val="left" w:pos="851"/>
              </w:tabs>
              <w:ind w:left="0" w:leftChars="0" w:firstLine="0" w:firstLineChars="0"/>
              <w:jc w:val="both"/>
              <w:rPr>
                <w:rFonts w:hint="eastAsia" w:ascii="宋体" w:hAnsi="宋体" w:eastAsia="宋体" w:cs="宋体"/>
                <w:lang w:val="en-US" w:eastAsia="zh-CN"/>
              </w:rPr>
            </w:pPr>
            <w:r>
              <w:rPr>
                <w:rFonts w:hint="eastAsia" w:ascii="宋体" w:hAnsi="宋体" w:eastAsia="宋体" w:cs="宋体"/>
                <w:lang w:val="en-US" w:eastAsia="zh-CN"/>
              </w:rPr>
              <w:t>5、配合撰写期刊论文文本1项。</w:t>
            </w:r>
          </w:p>
          <w:p w14:paraId="4CF5F22B">
            <w:pPr>
              <w:tabs>
                <w:tab w:val="left" w:pos="851"/>
              </w:tabs>
              <w:ind w:left="0" w:leftChars="0" w:firstLine="0" w:firstLineChars="0"/>
              <w:jc w:val="both"/>
              <w:rPr>
                <w:rFonts w:hint="eastAsia" w:ascii="宋体" w:hAnsi="宋体" w:eastAsia="宋体" w:cs="宋体"/>
                <w:lang w:val="en-US" w:eastAsia="zh-CN"/>
              </w:rPr>
            </w:pPr>
            <w:r>
              <w:rPr>
                <w:rFonts w:hint="eastAsia" w:ascii="宋体" w:hAnsi="宋体" w:eastAsia="宋体" w:cs="宋体"/>
                <w:lang w:val="en-US" w:eastAsia="zh-CN"/>
              </w:rPr>
              <w:t>6.完成第三方检测（检测机构应具备CMA或CNAS认证资质）；</w:t>
            </w:r>
          </w:p>
          <w:p w14:paraId="2DFBDB18">
            <w:pPr>
              <w:tabs>
                <w:tab w:val="left" w:pos="851"/>
              </w:tabs>
              <w:ind w:left="0" w:leftChars="0" w:firstLine="0" w:firstLineChars="0"/>
              <w:jc w:val="both"/>
              <w:rPr>
                <w:rFonts w:hint="eastAsia" w:ascii="宋体" w:hAnsi="宋体" w:eastAsia="宋体" w:cs="宋体"/>
                <w:lang w:val="en-US" w:eastAsia="zh-CN"/>
              </w:rPr>
            </w:pPr>
            <w:r>
              <w:rPr>
                <w:rFonts w:hint="eastAsia" w:ascii="宋体" w:hAnsi="宋体" w:eastAsia="宋体" w:cs="宋体"/>
                <w:lang w:val="en-US" w:eastAsia="zh-CN"/>
              </w:rPr>
              <w:t>7.在超特高压新型电气装备科技成果转化中试基地完成中试。</w:t>
            </w:r>
          </w:p>
        </w:tc>
        <w:tc>
          <w:tcPr>
            <w:tcW w:w="1125" w:type="pct"/>
            <w:noWrap w:val="0"/>
            <w:vAlign w:val="center"/>
          </w:tcPr>
          <w:p w14:paraId="5DDAF778">
            <w:pPr>
              <w:tabs>
                <w:tab w:val="left" w:pos="851"/>
              </w:tabs>
              <w:ind w:firstLine="480"/>
              <w:jc w:val="both"/>
              <w:rPr>
                <w:rFonts w:hint="eastAsia" w:ascii="宋体" w:hAnsi="宋体" w:eastAsia="宋体" w:cs="宋体"/>
                <w:lang w:val="en-US" w:eastAsia="zh-CN"/>
              </w:rPr>
            </w:pPr>
          </w:p>
        </w:tc>
      </w:tr>
    </w:tbl>
    <w:p w14:paraId="021064C8">
      <w:pPr>
        <w:tabs>
          <w:tab w:val="left" w:pos="851"/>
        </w:tabs>
        <w:ind w:firstLine="480"/>
        <w:rPr>
          <w:rFonts w:hint="eastAsia" w:ascii="宋体" w:hAnsi="宋体" w:eastAsia="宋体" w:cs="宋体"/>
          <w:lang w:val="en-US" w:eastAsia="zh-CN"/>
        </w:rPr>
      </w:pPr>
    </w:p>
    <w:p w14:paraId="18121D86">
      <w:pPr>
        <w:tabs>
          <w:tab w:val="left" w:pos="851"/>
        </w:tabs>
        <w:ind w:firstLine="480"/>
        <w:rPr>
          <w:rFonts w:hint="eastAsia" w:ascii="宋体" w:hAnsi="宋体" w:eastAsia="宋体" w:cs="宋体"/>
          <w:lang w:val="en-US" w:eastAsia="zh-CN"/>
        </w:rPr>
      </w:pPr>
      <w:bookmarkStart w:id="69" w:name="_Toc23057"/>
      <w:r>
        <w:rPr>
          <w:rFonts w:hint="eastAsia" w:ascii="宋体" w:hAnsi="宋体" w:eastAsia="宋体" w:cs="宋体"/>
          <w:lang w:val="en-US" w:eastAsia="zh-CN"/>
        </w:rPr>
        <w:t>8.2投标方技术偏差表</w:t>
      </w:r>
      <w:bookmarkEnd w:id="69"/>
    </w:p>
    <w:p w14:paraId="7776F339">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投标方提供的产品技术规范应与本技术规范中规定的要求一致。若有偏差投标方应如实、认真地填写偏差值；若无技术偏差则视为完全满足本技术规范的要求，且在投标方技术偏差表中填写“无偏差”。</w:t>
      </w:r>
    </w:p>
    <w:p w14:paraId="59F59F12">
      <w:pPr>
        <w:keepNext/>
        <w:keepLines w:val="0"/>
        <w:pageBreakBefore w:val="0"/>
        <w:widowControl w:val="0"/>
        <w:kinsoku/>
        <w:wordWrap/>
        <w:overflowPunct/>
        <w:topLinePunct w:val="0"/>
        <w:autoSpaceDE/>
        <w:autoSpaceDN/>
        <w:bidi w:val="0"/>
        <w:adjustRightInd/>
        <w:snapToGrid/>
        <w:jc w:val="center"/>
        <w:textAlignment w:val="auto"/>
        <w:rPr>
          <w:rFonts w:eastAsia="宋"/>
          <w:color w:val="auto"/>
          <w:highlight w:val="none"/>
        </w:rPr>
      </w:pPr>
      <w:r>
        <w:rPr>
          <w:rFonts w:hint="eastAsia" w:eastAsia="宋"/>
          <w:color w:val="auto"/>
          <w:highlight w:val="none"/>
          <w:lang w:val="en-US" w:eastAsia="zh-CN"/>
        </w:rPr>
        <w:t>表8.2</w:t>
      </w:r>
      <w:r>
        <w:rPr>
          <w:rFonts w:hint="eastAsia" w:eastAsia="宋"/>
          <w:color w:val="auto"/>
          <w:highlight w:val="none"/>
        </w:rPr>
        <w:t>投标方技术偏差表</w:t>
      </w:r>
    </w:p>
    <w:tbl>
      <w:tblPr>
        <w:tblStyle w:val="18"/>
        <w:tblpPr w:leftFromText="180" w:rightFromText="180" w:vertAnchor="text" w:horzAnchor="page" w:tblpX="1857" w:tblpY="313"/>
        <w:tblOverlap w:val="never"/>
        <w:tblW w:w="8417"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
      <w:tblGrid>
        <w:gridCol w:w="601"/>
        <w:gridCol w:w="1104"/>
        <w:gridCol w:w="1760"/>
        <w:gridCol w:w="2013"/>
        <w:gridCol w:w="1613"/>
        <w:gridCol w:w="1326"/>
      </w:tblGrid>
      <w:tr w14:paraId="3133AFF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601" w:type="dxa"/>
            <w:noWrap w:val="0"/>
            <w:tcMar>
              <w:left w:w="0" w:type="dxa"/>
              <w:right w:w="0" w:type="dxa"/>
            </w:tcMar>
            <w:vAlign w:val="center"/>
          </w:tcPr>
          <w:p w14:paraId="7879A706">
            <w:pPr>
              <w:widowControl w:val="0"/>
              <w:topLinePunct/>
              <w:snapToGrid w:val="0"/>
              <w:spacing w:before="60" w:after="60"/>
              <w:ind w:left="0" w:leftChars="0" w:firstLine="0" w:firstLineChars="0"/>
              <w:contextualSpacing/>
              <w:jc w:val="center"/>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序号</w:t>
            </w:r>
          </w:p>
        </w:tc>
        <w:tc>
          <w:tcPr>
            <w:tcW w:w="1104" w:type="dxa"/>
            <w:noWrap w:val="0"/>
            <w:tcMar>
              <w:left w:w="0" w:type="dxa"/>
              <w:right w:w="0" w:type="dxa"/>
            </w:tcMar>
            <w:vAlign w:val="center"/>
          </w:tcPr>
          <w:p w14:paraId="2E00F56C">
            <w:pPr>
              <w:widowControl w:val="0"/>
              <w:topLinePunct/>
              <w:snapToGrid w:val="0"/>
              <w:spacing w:before="60" w:after="60"/>
              <w:contextualSpacing/>
              <w:jc w:val="both"/>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项目</w:t>
            </w:r>
          </w:p>
        </w:tc>
        <w:tc>
          <w:tcPr>
            <w:tcW w:w="1760" w:type="dxa"/>
            <w:noWrap w:val="0"/>
            <w:tcMar>
              <w:left w:w="0" w:type="dxa"/>
              <w:right w:w="0" w:type="dxa"/>
            </w:tcMar>
            <w:vAlign w:val="center"/>
          </w:tcPr>
          <w:p w14:paraId="5906F884">
            <w:pPr>
              <w:widowControl w:val="0"/>
              <w:topLinePunct/>
              <w:snapToGrid w:val="0"/>
              <w:spacing w:before="60" w:after="60"/>
              <w:ind w:left="0" w:leftChars="0" w:firstLine="0" w:firstLineChars="0"/>
              <w:contextualSpacing/>
              <w:jc w:val="center"/>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对应条款编号</w:t>
            </w:r>
          </w:p>
        </w:tc>
        <w:tc>
          <w:tcPr>
            <w:tcW w:w="2013" w:type="dxa"/>
            <w:noWrap w:val="0"/>
            <w:tcMar>
              <w:left w:w="0" w:type="dxa"/>
              <w:right w:w="0" w:type="dxa"/>
            </w:tcMar>
            <w:vAlign w:val="center"/>
          </w:tcPr>
          <w:p w14:paraId="229D7E39">
            <w:pPr>
              <w:widowControl w:val="0"/>
              <w:topLinePunct/>
              <w:snapToGrid w:val="0"/>
              <w:spacing w:before="60" w:after="60"/>
              <w:ind w:left="0" w:leftChars="0" w:firstLine="0" w:firstLineChars="0"/>
              <w:contextualSpacing/>
              <w:jc w:val="center"/>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技术招标文件要求</w:t>
            </w:r>
          </w:p>
        </w:tc>
        <w:tc>
          <w:tcPr>
            <w:tcW w:w="1613" w:type="dxa"/>
            <w:noWrap w:val="0"/>
            <w:tcMar>
              <w:left w:w="0" w:type="dxa"/>
              <w:right w:w="0" w:type="dxa"/>
            </w:tcMar>
            <w:vAlign w:val="center"/>
          </w:tcPr>
          <w:p w14:paraId="1A239B19">
            <w:pPr>
              <w:widowControl w:val="0"/>
              <w:topLinePunct/>
              <w:snapToGrid w:val="0"/>
              <w:spacing w:before="60" w:after="60"/>
              <w:contextualSpacing/>
              <w:jc w:val="both"/>
              <w:rPr>
                <w:rFonts w:ascii="Calibri" w:hAnsi="Calibri" w:eastAsia="宋" w:cs="Times New Roman"/>
                <w:color w:val="auto"/>
                <w:kern w:val="2"/>
                <w:sz w:val="21"/>
                <w:szCs w:val="21"/>
                <w:highlight w:val="none"/>
                <w:lang w:val="en-US" w:eastAsia="zh-CN" w:bidi="ar-SA"/>
              </w:rPr>
            </w:pPr>
            <w:r>
              <w:rPr>
                <w:rFonts w:hint="eastAsia" w:ascii="Calibri" w:hAnsi="Calibri" w:eastAsia="宋" w:cs="Times New Roman"/>
                <w:color w:val="auto"/>
                <w:kern w:val="2"/>
                <w:sz w:val="21"/>
                <w:szCs w:val="21"/>
                <w:highlight w:val="none"/>
                <w:lang w:val="en-US" w:eastAsia="zh-CN" w:bidi="ar-SA"/>
              </w:rPr>
              <w:t>偏差</w:t>
            </w:r>
          </w:p>
        </w:tc>
        <w:tc>
          <w:tcPr>
            <w:tcW w:w="1326" w:type="dxa"/>
            <w:noWrap w:val="0"/>
            <w:tcMar>
              <w:left w:w="0" w:type="dxa"/>
              <w:right w:w="0" w:type="dxa"/>
            </w:tcMar>
            <w:vAlign w:val="center"/>
          </w:tcPr>
          <w:p w14:paraId="7368A08E">
            <w:pPr>
              <w:widowControl w:val="0"/>
              <w:topLinePunct/>
              <w:snapToGrid w:val="0"/>
              <w:spacing w:before="60" w:after="60"/>
              <w:contextualSpacing/>
              <w:jc w:val="both"/>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备注</w:t>
            </w:r>
          </w:p>
        </w:tc>
      </w:tr>
      <w:tr w14:paraId="7374BC9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601" w:type="dxa"/>
            <w:noWrap w:val="0"/>
            <w:tcMar>
              <w:left w:w="0" w:type="dxa"/>
              <w:right w:w="0" w:type="dxa"/>
            </w:tcMar>
            <w:vAlign w:val="center"/>
          </w:tcPr>
          <w:p w14:paraId="50E64037">
            <w:pPr>
              <w:widowControl w:val="0"/>
              <w:topLinePunct/>
              <w:snapToGrid w:val="0"/>
              <w:spacing w:before="60" w:after="60"/>
              <w:ind w:left="0" w:leftChars="0" w:firstLine="210" w:firstLineChars="100"/>
              <w:contextualSpacing/>
              <w:jc w:val="both"/>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1</w:t>
            </w:r>
          </w:p>
        </w:tc>
        <w:tc>
          <w:tcPr>
            <w:tcW w:w="1104" w:type="dxa"/>
            <w:noWrap w:val="0"/>
            <w:tcMar>
              <w:left w:w="0" w:type="dxa"/>
              <w:right w:w="0" w:type="dxa"/>
            </w:tcMar>
            <w:vAlign w:val="center"/>
          </w:tcPr>
          <w:p w14:paraId="53917739">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760" w:type="dxa"/>
            <w:noWrap w:val="0"/>
            <w:tcMar>
              <w:left w:w="0" w:type="dxa"/>
              <w:right w:w="0" w:type="dxa"/>
            </w:tcMar>
            <w:vAlign w:val="center"/>
          </w:tcPr>
          <w:p w14:paraId="1CE929AC">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2013" w:type="dxa"/>
            <w:noWrap w:val="0"/>
            <w:tcMar>
              <w:left w:w="0" w:type="dxa"/>
              <w:right w:w="0" w:type="dxa"/>
            </w:tcMar>
            <w:vAlign w:val="center"/>
          </w:tcPr>
          <w:p w14:paraId="31483078">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613" w:type="dxa"/>
            <w:noWrap w:val="0"/>
            <w:tcMar>
              <w:left w:w="0" w:type="dxa"/>
              <w:right w:w="0" w:type="dxa"/>
            </w:tcMar>
            <w:vAlign w:val="center"/>
          </w:tcPr>
          <w:p w14:paraId="2834D3F8">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326" w:type="dxa"/>
            <w:noWrap w:val="0"/>
            <w:tcMar>
              <w:left w:w="0" w:type="dxa"/>
              <w:right w:w="0" w:type="dxa"/>
            </w:tcMar>
            <w:vAlign w:val="center"/>
          </w:tcPr>
          <w:p w14:paraId="007E60EC">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r>
      <w:tr w14:paraId="2353F75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601" w:type="dxa"/>
            <w:noWrap w:val="0"/>
            <w:tcMar>
              <w:left w:w="0" w:type="dxa"/>
              <w:right w:w="0" w:type="dxa"/>
            </w:tcMar>
            <w:vAlign w:val="center"/>
          </w:tcPr>
          <w:p w14:paraId="26BAD6E7">
            <w:pPr>
              <w:widowControl w:val="0"/>
              <w:topLinePunct/>
              <w:snapToGrid w:val="0"/>
              <w:spacing w:before="60" w:after="60"/>
              <w:ind w:left="0" w:leftChars="0" w:firstLine="210" w:firstLineChars="100"/>
              <w:contextualSpacing/>
              <w:jc w:val="both"/>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2</w:t>
            </w:r>
          </w:p>
        </w:tc>
        <w:tc>
          <w:tcPr>
            <w:tcW w:w="1104" w:type="dxa"/>
            <w:noWrap w:val="0"/>
            <w:tcMar>
              <w:left w:w="0" w:type="dxa"/>
              <w:right w:w="0" w:type="dxa"/>
            </w:tcMar>
            <w:vAlign w:val="center"/>
          </w:tcPr>
          <w:p w14:paraId="1CAED973">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760" w:type="dxa"/>
            <w:noWrap w:val="0"/>
            <w:tcMar>
              <w:left w:w="0" w:type="dxa"/>
              <w:right w:w="0" w:type="dxa"/>
            </w:tcMar>
            <w:vAlign w:val="center"/>
          </w:tcPr>
          <w:p w14:paraId="266C8DC0">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2013" w:type="dxa"/>
            <w:noWrap w:val="0"/>
            <w:tcMar>
              <w:left w:w="0" w:type="dxa"/>
              <w:right w:w="0" w:type="dxa"/>
            </w:tcMar>
            <w:vAlign w:val="center"/>
          </w:tcPr>
          <w:p w14:paraId="2AB535CB">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613" w:type="dxa"/>
            <w:noWrap w:val="0"/>
            <w:tcMar>
              <w:left w:w="0" w:type="dxa"/>
              <w:right w:w="0" w:type="dxa"/>
            </w:tcMar>
            <w:vAlign w:val="center"/>
          </w:tcPr>
          <w:p w14:paraId="3605B80B">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326" w:type="dxa"/>
            <w:noWrap w:val="0"/>
            <w:tcMar>
              <w:left w:w="0" w:type="dxa"/>
              <w:right w:w="0" w:type="dxa"/>
            </w:tcMar>
            <w:vAlign w:val="center"/>
          </w:tcPr>
          <w:p w14:paraId="778D0E90">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r>
      <w:tr w14:paraId="389AEFE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601" w:type="dxa"/>
            <w:noWrap w:val="0"/>
            <w:tcMar>
              <w:left w:w="0" w:type="dxa"/>
              <w:right w:w="0" w:type="dxa"/>
            </w:tcMar>
            <w:vAlign w:val="center"/>
          </w:tcPr>
          <w:p w14:paraId="729F3791">
            <w:pPr>
              <w:widowControl w:val="0"/>
              <w:topLinePunct/>
              <w:snapToGrid w:val="0"/>
              <w:spacing w:before="60" w:after="60"/>
              <w:ind w:left="0" w:leftChars="0" w:firstLine="210" w:firstLineChars="100"/>
              <w:contextualSpacing/>
              <w:jc w:val="both"/>
              <w:rPr>
                <w:rFonts w:hint="eastAsia" w:ascii="Calibri" w:hAnsi="Calibri" w:eastAsia="宋" w:cs="Times New Roman"/>
                <w:color w:val="auto"/>
                <w:kern w:val="2"/>
                <w:sz w:val="21"/>
                <w:szCs w:val="21"/>
                <w:highlight w:val="none"/>
                <w:lang w:val="en-US" w:eastAsia="zh-CN" w:bidi="ar-SA"/>
              </w:rPr>
            </w:pPr>
            <w:r>
              <w:rPr>
                <w:rFonts w:hint="eastAsia" w:ascii="Calibri" w:hAnsi="Calibri" w:eastAsia="宋" w:cs="Times New Roman"/>
                <w:color w:val="auto"/>
                <w:kern w:val="2"/>
                <w:sz w:val="21"/>
                <w:szCs w:val="21"/>
                <w:highlight w:val="none"/>
                <w:lang w:val="en-US" w:eastAsia="zh-CN" w:bidi="ar-SA"/>
              </w:rPr>
              <w:t>3</w:t>
            </w:r>
          </w:p>
        </w:tc>
        <w:tc>
          <w:tcPr>
            <w:tcW w:w="1104" w:type="dxa"/>
            <w:noWrap w:val="0"/>
            <w:tcMar>
              <w:left w:w="0" w:type="dxa"/>
              <w:right w:w="0" w:type="dxa"/>
            </w:tcMar>
            <w:vAlign w:val="center"/>
          </w:tcPr>
          <w:p w14:paraId="606360C0">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760" w:type="dxa"/>
            <w:noWrap w:val="0"/>
            <w:tcMar>
              <w:left w:w="0" w:type="dxa"/>
              <w:right w:w="0" w:type="dxa"/>
            </w:tcMar>
            <w:vAlign w:val="center"/>
          </w:tcPr>
          <w:p w14:paraId="727BCB90">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2013" w:type="dxa"/>
            <w:noWrap w:val="0"/>
            <w:tcMar>
              <w:left w:w="0" w:type="dxa"/>
              <w:right w:w="0" w:type="dxa"/>
            </w:tcMar>
            <w:vAlign w:val="center"/>
          </w:tcPr>
          <w:p w14:paraId="3F969C1C">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613" w:type="dxa"/>
            <w:noWrap w:val="0"/>
            <w:tcMar>
              <w:left w:w="0" w:type="dxa"/>
              <w:right w:w="0" w:type="dxa"/>
            </w:tcMar>
            <w:vAlign w:val="center"/>
          </w:tcPr>
          <w:p w14:paraId="1EB7168D">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326" w:type="dxa"/>
            <w:noWrap w:val="0"/>
            <w:tcMar>
              <w:left w:w="0" w:type="dxa"/>
              <w:right w:w="0" w:type="dxa"/>
            </w:tcMar>
            <w:vAlign w:val="center"/>
          </w:tcPr>
          <w:p w14:paraId="726B1FC4">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r>
    </w:tbl>
    <w:p w14:paraId="6363211E">
      <w:pPr>
        <w:ind w:firstLine="480"/>
        <w:rPr>
          <w:rFonts w:hint="eastAsia" w:ascii="宋体" w:hAnsi="宋体"/>
        </w:rPr>
      </w:pPr>
    </w:p>
    <w:sectPr>
      <w:headerReference r:id="rId17" w:type="default"/>
      <w:footerReference r:id="rId18" w:type="default"/>
      <w:pgSz w:w="11906" w:h="16838"/>
      <w:pgMar w:top="1440" w:right="1800" w:bottom="1440" w:left="1800" w:header="851" w:footer="549"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方正书宋简体">
    <w:altName w:val="宋体"/>
    <w:panose1 w:val="00000000000000000000"/>
    <w:charset w:val="86"/>
    <w:family w:val="auto"/>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宋">
    <w:altName w:val="宋体"/>
    <w:panose1 w:val="00000000000000000000"/>
    <w:charset w:val="86"/>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ymbol">
    <w:panose1 w:val="050501020107060205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8ED04A">
    <w:pPr>
      <w:pStyle w:val="13"/>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A8FFCF">
    <w:pPr>
      <w:pStyle w:val="13"/>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8DEE71">
    <w:pPr>
      <w:pStyle w:val="13"/>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0FCC93">
    <w:pPr>
      <w:pStyle w:val="13"/>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858935">
    <w:pPr>
      <w:pStyle w:val="13"/>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498F5">
    <w:pPr>
      <w:pStyle w:val="13"/>
      <w:ind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0C7985">
    <w:pPr>
      <w:pStyle w:val="13"/>
      <w:ind w:firstLine="360"/>
      <w:jc w:val="center"/>
    </w:pPr>
    <w:r>
      <w:fldChar w:fldCharType="begin"/>
    </w:r>
    <w:r>
      <w:instrText xml:space="preserve"> PAGE   \* MERGEFORMAT </w:instrText>
    </w:r>
    <w:r>
      <w:fldChar w:fldCharType="separate"/>
    </w:r>
    <w:r>
      <w:t>7</w:t>
    </w:r>
    <w:r>
      <w:fldChar w:fldCharType="end"/>
    </w:r>
  </w:p>
  <w:p w14:paraId="67985347">
    <w:pPr>
      <w:pStyle w:val="13"/>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B0039F">
    <w:pPr>
      <w:pStyle w:val="14"/>
      <w:pBdr>
        <w:top w:val="none" w:color="auto" w:sz="0" w:space="0"/>
        <w:left w:val="none" w:color="auto" w:sz="0" w:space="0"/>
        <w:bottom w:val="none" w:color="auto" w:sz="0" w:space="1"/>
        <w:right w:val="none" w:color="auto" w:sz="0" w:space="0"/>
        <w:between w:val="none" w:color="auto" w:sz="0" w:space="0"/>
      </w:pBdr>
      <w:ind w:firstLine="360"/>
    </w:pPr>
    <w:r>
      <w:rPr>
        <w:rFonts w:hint="eastAsia" w:ascii="黑体" w:hAnsi="黑体" w:eastAsia="黑体" w:cs="黑体"/>
        <w:b w:val="0"/>
        <w:bCs w:val="0"/>
        <w:color w:val="auto"/>
        <w:sz w:val="32"/>
        <w:szCs w:val="32"/>
        <w:lang w:val="en-US" w:eastAsia="zh-CN"/>
      </w:rPr>
      <w:drawing>
        <wp:anchor distT="0" distB="0" distL="114300" distR="114300" simplePos="0" relativeHeight="251659264" behindDoc="1" locked="0" layoutInCell="1" allowOverlap="1">
          <wp:simplePos x="0" y="0"/>
          <wp:positionH relativeFrom="column">
            <wp:posOffset>-1138555</wp:posOffset>
          </wp:positionH>
          <wp:positionV relativeFrom="paragraph">
            <wp:posOffset>-828040</wp:posOffset>
          </wp:positionV>
          <wp:extent cx="7765415" cy="10979150"/>
          <wp:effectExtent l="0" t="0" r="6985" b="0"/>
          <wp:wrapNone/>
          <wp:docPr id="1" name="图片 3"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D:\2021文件夹\南方电网\20210531——南网VI完稿修改\中国南方电网2021版交接设计稿\应用文件AI\B办公事务系统\未标题-2_画板 1.png未标题-2_画板 1"/>
                  <pic:cNvPicPr>
                    <a:picLocks noChangeAspect="1" noChangeArrowheads="1"/>
                  </pic:cNvPicPr>
                </pic:nvPicPr>
                <pic:blipFill>
                  <a:blip r:embed="rId1"/>
                  <a:srcRect/>
                  <a:stretch>
                    <a:fillRect/>
                  </a:stretch>
                </pic:blipFill>
                <pic:spPr>
                  <a:xfrm>
                    <a:off x="0" y="0"/>
                    <a:ext cx="7765415" cy="1097915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1D613C">
    <w:pPr>
      <w:pStyle w:val="14"/>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204B32">
    <w:pPr>
      <w:pStyle w:val="14"/>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A9B08A">
    <w:pPr>
      <w:pStyle w:val="14"/>
      <w:pBdr>
        <w:bottom w:val="none" w:color="auto" w:sz="0" w:space="0"/>
      </w:pBdr>
      <w:ind w:firstLine="0" w:firstLineChars="0"/>
      <w:jc w:val="lef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F2A4FE">
    <w:pPr>
      <w:pStyle w:val="14"/>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0A18EF">
    <w:pPr>
      <w:pStyle w:val="14"/>
      <w:ind w:firstLine="36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45D08F">
    <w:pPr>
      <w:pStyle w:val="14"/>
      <w:pBdr>
        <w:bottom w:val="none" w:color="auto" w:sz="0" w:space="0"/>
      </w:pBdr>
      <w:ind w:firstLine="0" w:firstLineChars="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0"/>
    <w:multiLevelType w:val="multilevel"/>
    <w:tmpl w:val="00000010"/>
    <w:lvl w:ilvl="0" w:tentative="0">
      <w:start w:val="1"/>
      <w:numFmt w:val="decimal"/>
      <w:pStyle w:val="4"/>
      <w:suff w:val="space"/>
      <w:lvlText w:val="%1."/>
      <w:lvlJc w:val="left"/>
      <w:pPr>
        <w:ind w:left="720" w:firstLine="0"/>
      </w:pPr>
      <w:rPr>
        <w:rFonts w:hint="eastAsia"/>
      </w:rPr>
    </w:lvl>
    <w:lvl w:ilvl="1" w:tentative="0">
      <w:start w:val="1"/>
      <w:numFmt w:val="decimal"/>
      <w:lvlText w:val="%1.%2."/>
      <w:lvlJc w:val="left"/>
      <w:pPr>
        <w:ind w:left="0" w:firstLine="0"/>
      </w:pPr>
      <w:rPr>
        <w:rFonts w:hint="eastAsia"/>
      </w:rPr>
    </w:lvl>
    <w:lvl w:ilvl="2" w:tentative="0">
      <w:start w:val="1"/>
      <w:numFmt w:val="decimal"/>
      <w:lvlText w:val="%1.%2.%3."/>
      <w:lvlJc w:val="left"/>
      <w:pPr>
        <w:ind w:left="0" w:firstLine="0"/>
      </w:pPr>
      <w:rPr>
        <w:rFonts w:hint="eastAsia"/>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4"/>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AxNTEzOTdjZTdkOGE4MWIyMGZiYWQ4MWJkOTIwYTIifQ=="/>
  </w:docVars>
  <w:rsids>
    <w:rsidRoot w:val="00172A27"/>
    <w:rsid w:val="00004157"/>
    <w:rsid w:val="000041A4"/>
    <w:rsid w:val="000052EC"/>
    <w:rsid w:val="00007D13"/>
    <w:rsid w:val="000224BF"/>
    <w:rsid w:val="000258D4"/>
    <w:rsid w:val="00030479"/>
    <w:rsid w:val="00032717"/>
    <w:rsid w:val="00033440"/>
    <w:rsid w:val="00033F7F"/>
    <w:rsid w:val="00035681"/>
    <w:rsid w:val="00035D33"/>
    <w:rsid w:val="00043144"/>
    <w:rsid w:val="00044CDB"/>
    <w:rsid w:val="00046DFE"/>
    <w:rsid w:val="00050BDA"/>
    <w:rsid w:val="00054AA8"/>
    <w:rsid w:val="00055E63"/>
    <w:rsid w:val="00056767"/>
    <w:rsid w:val="000661E0"/>
    <w:rsid w:val="00070856"/>
    <w:rsid w:val="00072157"/>
    <w:rsid w:val="000802B5"/>
    <w:rsid w:val="00085586"/>
    <w:rsid w:val="000874A2"/>
    <w:rsid w:val="00095CB6"/>
    <w:rsid w:val="00096F1E"/>
    <w:rsid w:val="000A263D"/>
    <w:rsid w:val="000A5721"/>
    <w:rsid w:val="000A722B"/>
    <w:rsid w:val="000B3BEC"/>
    <w:rsid w:val="000B435C"/>
    <w:rsid w:val="000B4BE8"/>
    <w:rsid w:val="000B5F9E"/>
    <w:rsid w:val="000D090E"/>
    <w:rsid w:val="000D5CC4"/>
    <w:rsid w:val="000E0498"/>
    <w:rsid w:val="000E0616"/>
    <w:rsid w:val="000E0E62"/>
    <w:rsid w:val="000E5032"/>
    <w:rsid w:val="000E5C42"/>
    <w:rsid w:val="000E64A4"/>
    <w:rsid w:val="000F0767"/>
    <w:rsid w:val="00104CFA"/>
    <w:rsid w:val="001109DD"/>
    <w:rsid w:val="00111650"/>
    <w:rsid w:val="001148D6"/>
    <w:rsid w:val="00122043"/>
    <w:rsid w:val="00122E5E"/>
    <w:rsid w:val="00122E78"/>
    <w:rsid w:val="00124416"/>
    <w:rsid w:val="00124504"/>
    <w:rsid w:val="00135D83"/>
    <w:rsid w:val="00150A8E"/>
    <w:rsid w:val="00151D98"/>
    <w:rsid w:val="0016086E"/>
    <w:rsid w:val="001626EF"/>
    <w:rsid w:val="00166883"/>
    <w:rsid w:val="001668FD"/>
    <w:rsid w:val="00171826"/>
    <w:rsid w:val="00172A27"/>
    <w:rsid w:val="00176332"/>
    <w:rsid w:val="001825A1"/>
    <w:rsid w:val="0018662B"/>
    <w:rsid w:val="001945DC"/>
    <w:rsid w:val="00197251"/>
    <w:rsid w:val="00197F2E"/>
    <w:rsid w:val="001A79DB"/>
    <w:rsid w:val="001B531B"/>
    <w:rsid w:val="001C4316"/>
    <w:rsid w:val="001C52D8"/>
    <w:rsid w:val="001C5D9F"/>
    <w:rsid w:val="001D1368"/>
    <w:rsid w:val="001D3DBA"/>
    <w:rsid w:val="001D73FA"/>
    <w:rsid w:val="001D7C43"/>
    <w:rsid w:val="001E16E7"/>
    <w:rsid w:val="001E240F"/>
    <w:rsid w:val="001E5350"/>
    <w:rsid w:val="001E56E3"/>
    <w:rsid w:val="001E6310"/>
    <w:rsid w:val="001F1B3A"/>
    <w:rsid w:val="001F2E26"/>
    <w:rsid w:val="001F5E12"/>
    <w:rsid w:val="00200344"/>
    <w:rsid w:val="00204DDE"/>
    <w:rsid w:val="00206CA6"/>
    <w:rsid w:val="002076A9"/>
    <w:rsid w:val="002129DB"/>
    <w:rsid w:val="00214076"/>
    <w:rsid w:val="00215454"/>
    <w:rsid w:val="00215C24"/>
    <w:rsid w:val="002170DB"/>
    <w:rsid w:val="00221DD8"/>
    <w:rsid w:val="00223528"/>
    <w:rsid w:val="00227267"/>
    <w:rsid w:val="002272F7"/>
    <w:rsid w:val="00232F10"/>
    <w:rsid w:val="002447E5"/>
    <w:rsid w:val="00244A2F"/>
    <w:rsid w:val="00244F7C"/>
    <w:rsid w:val="00253136"/>
    <w:rsid w:val="00254812"/>
    <w:rsid w:val="0025554B"/>
    <w:rsid w:val="00256DFA"/>
    <w:rsid w:val="002578A1"/>
    <w:rsid w:val="00263624"/>
    <w:rsid w:val="0026366A"/>
    <w:rsid w:val="00273D45"/>
    <w:rsid w:val="0027655A"/>
    <w:rsid w:val="00277AB6"/>
    <w:rsid w:val="0028170E"/>
    <w:rsid w:val="00281CC3"/>
    <w:rsid w:val="00284961"/>
    <w:rsid w:val="00286DFD"/>
    <w:rsid w:val="00291885"/>
    <w:rsid w:val="00293207"/>
    <w:rsid w:val="00296ABB"/>
    <w:rsid w:val="00297FC6"/>
    <w:rsid w:val="002A2204"/>
    <w:rsid w:val="002A3CE3"/>
    <w:rsid w:val="002B11FE"/>
    <w:rsid w:val="002B3FC8"/>
    <w:rsid w:val="002B6605"/>
    <w:rsid w:val="002C3F8E"/>
    <w:rsid w:val="002C416A"/>
    <w:rsid w:val="002C6F94"/>
    <w:rsid w:val="002D2215"/>
    <w:rsid w:val="002E4799"/>
    <w:rsid w:val="002F0B3F"/>
    <w:rsid w:val="00303976"/>
    <w:rsid w:val="00304504"/>
    <w:rsid w:val="003056CF"/>
    <w:rsid w:val="00323D15"/>
    <w:rsid w:val="00330DB3"/>
    <w:rsid w:val="00331942"/>
    <w:rsid w:val="003374FB"/>
    <w:rsid w:val="00337E95"/>
    <w:rsid w:val="0035398A"/>
    <w:rsid w:val="00367D06"/>
    <w:rsid w:val="00370CBE"/>
    <w:rsid w:val="00374D73"/>
    <w:rsid w:val="00375A24"/>
    <w:rsid w:val="00383D96"/>
    <w:rsid w:val="0038428A"/>
    <w:rsid w:val="00384DD9"/>
    <w:rsid w:val="00387572"/>
    <w:rsid w:val="00390743"/>
    <w:rsid w:val="003A5221"/>
    <w:rsid w:val="003B44D9"/>
    <w:rsid w:val="003B4B63"/>
    <w:rsid w:val="003B71DA"/>
    <w:rsid w:val="003C474C"/>
    <w:rsid w:val="003D2D90"/>
    <w:rsid w:val="003D518E"/>
    <w:rsid w:val="003D5A88"/>
    <w:rsid w:val="003D6855"/>
    <w:rsid w:val="003E1652"/>
    <w:rsid w:val="003E7211"/>
    <w:rsid w:val="003F3D66"/>
    <w:rsid w:val="003F6647"/>
    <w:rsid w:val="0041096A"/>
    <w:rsid w:val="00410AB4"/>
    <w:rsid w:val="00413078"/>
    <w:rsid w:val="00414022"/>
    <w:rsid w:val="004141AF"/>
    <w:rsid w:val="00420404"/>
    <w:rsid w:val="00424010"/>
    <w:rsid w:val="004319DD"/>
    <w:rsid w:val="00431A70"/>
    <w:rsid w:val="0043697B"/>
    <w:rsid w:val="0044008D"/>
    <w:rsid w:val="004428FF"/>
    <w:rsid w:val="004436AF"/>
    <w:rsid w:val="00445A6C"/>
    <w:rsid w:val="004460FA"/>
    <w:rsid w:val="00450340"/>
    <w:rsid w:val="0046254A"/>
    <w:rsid w:val="00464CA7"/>
    <w:rsid w:val="004656FF"/>
    <w:rsid w:val="004715E2"/>
    <w:rsid w:val="00481534"/>
    <w:rsid w:val="004824FD"/>
    <w:rsid w:val="00483253"/>
    <w:rsid w:val="00486E6D"/>
    <w:rsid w:val="00490469"/>
    <w:rsid w:val="00496968"/>
    <w:rsid w:val="004977C0"/>
    <w:rsid w:val="004A3092"/>
    <w:rsid w:val="004A5258"/>
    <w:rsid w:val="004B422D"/>
    <w:rsid w:val="004B73DC"/>
    <w:rsid w:val="004B7665"/>
    <w:rsid w:val="004C2C32"/>
    <w:rsid w:val="004C679B"/>
    <w:rsid w:val="004D40D4"/>
    <w:rsid w:val="004D4E92"/>
    <w:rsid w:val="004D5806"/>
    <w:rsid w:val="004D632E"/>
    <w:rsid w:val="004E0983"/>
    <w:rsid w:val="004E0AD2"/>
    <w:rsid w:val="004E1EF8"/>
    <w:rsid w:val="004E7B53"/>
    <w:rsid w:val="004F5CCD"/>
    <w:rsid w:val="00503AB9"/>
    <w:rsid w:val="00504879"/>
    <w:rsid w:val="005067D0"/>
    <w:rsid w:val="00510D9A"/>
    <w:rsid w:val="00511A84"/>
    <w:rsid w:val="00515454"/>
    <w:rsid w:val="005200C1"/>
    <w:rsid w:val="0052107D"/>
    <w:rsid w:val="00521DD7"/>
    <w:rsid w:val="00525600"/>
    <w:rsid w:val="00532496"/>
    <w:rsid w:val="00533557"/>
    <w:rsid w:val="0053627F"/>
    <w:rsid w:val="005365C7"/>
    <w:rsid w:val="00541F49"/>
    <w:rsid w:val="00542F5A"/>
    <w:rsid w:val="0054505D"/>
    <w:rsid w:val="00546480"/>
    <w:rsid w:val="0055140F"/>
    <w:rsid w:val="005546AC"/>
    <w:rsid w:val="00555060"/>
    <w:rsid w:val="005550E0"/>
    <w:rsid w:val="00570A2E"/>
    <w:rsid w:val="00575B70"/>
    <w:rsid w:val="00576175"/>
    <w:rsid w:val="005770D1"/>
    <w:rsid w:val="00577103"/>
    <w:rsid w:val="005808E9"/>
    <w:rsid w:val="00584106"/>
    <w:rsid w:val="00586294"/>
    <w:rsid w:val="0058651D"/>
    <w:rsid w:val="00594E70"/>
    <w:rsid w:val="005950C1"/>
    <w:rsid w:val="005B5AAA"/>
    <w:rsid w:val="005B7391"/>
    <w:rsid w:val="005C0E9A"/>
    <w:rsid w:val="005C42F8"/>
    <w:rsid w:val="005C45D2"/>
    <w:rsid w:val="005C5FA1"/>
    <w:rsid w:val="005D1816"/>
    <w:rsid w:val="005D3538"/>
    <w:rsid w:val="005D3C76"/>
    <w:rsid w:val="005D5795"/>
    <w:rsid w:val="005D7E95"/>
    <w:rsid w:val="005E1C0A"/>
    <w:rsid w:val="005E4AF6"/>
    <w:rsid w:val="005F0D01"/>
    <w:rsid w:val="005F5385"/>
    <w:rsid w:val="005F642B"/>
    <w:rsid w:val="005F6C08"/>
    <w:rsid w:val="00602D5B"/>
    <w:rsid w:val="00603B29"/>
    <w:rsid w:val="006120BA"/>
    <w:rsid w:val="0061273D"/>
    <w:rsid w:val="00615391"/>
    <w:rsid w:val="00616713"/>
    <w:rsid w:val="00620489"/>
    <w:rsid w:val="00621C69"/>
    <w:rsid w:val="00624B4E"/>
    <w:rsid w:val="0063112A"/>
    <w:rsid w:val="006316A0"/>
    <w:rsid w:val="006346A1"/>
    <w:rsid w:val="00634AA5"/>
    <w:rsid w:val="0063794D"/>
    <w:rsid w:val="00640D51"/>
    <w:rsid w:val="006449DC"/>
    <w:rsid w:val="00651BDE"/>
    <w:rsid w:val="00654782"/>
    <w:rsid w:val="00660BAE"/>
    <w:rsid w:val="006620B3"/>
    <w:rsid w:val="0066639C"/>
    <w:rsid w:val="00667765"/>
    <w:rsid w:val="0067357A"/>
    <w:rsid w:val="00674005"/>
    <w:rsid w:val="00684EB5"/>
    <w:rsid w:val="006856EE"/>
    <w:rsid w:val="00685814"/>
    <w:rsid w:val="00687E51"/>
    <w:rsid w:val="006961CC"/>
    <w:rsid w:val="0069730B"/>
    <w:rsid w:val="006A050D"/>
    <w:rsid w:val="006A0C95"/>
    <w:rsid w:val="006A32DC"/>
    <w:rsid w:val="006A3E2E"/>
    <w:rsid w:val="006B31C3"/>
    <w:rsid w:val="006B7B48"/>
    <w:rsid w:val="006C3FD9"/>
    <w:rsid w:val="006C431A"/>
    <w:rsid w:val="006D1FF4"/>
    <w:rsid w:val="006E0A4A"/>
    <w:rsid w:val="006F0594"/>
    <w:rsid w:val="006F1E19"/>
    <w:rsid w:val="006F53B4"/>
    <w:rsid w:val="0070068F"/>
    <w:rsid w:val="0070113F"/>
    <w:rsid w:val="00702201"/>
    <w:rsid w:val="00702BCA"/>
    <w:rsid w:val="0071238D"/>
    <w:rsid w:val="007131CA"/>
    <w:rsid w:val="0071489E"/>
    <w:rsid w:val="00714D09"/>
    <w:rsid w:val="007157EB"/>
    <w:rsid w:val="0071769C"/>
    <w:rsid w:val="00725DF9"/>
    <w:rsid w:val="00733A12"/>
    <w:rsid w:val="007423F8"/>
    <w:rsid w:val="007429C8"/>
    <w:rsid w:val="007475B0"/>
    <w:rsid w:val="00751F29"/>
    <w:rsid w:val="0075277E"/>
    <w:rsid w:val="00755E29"/>
    <w:rsid w:val="00761415"/>
    <w:rsid w:val="00764ABD"/>
    <w:rsid w:val="00770633"/>
    <w:rsid w:val="00771A04"/>
    <w:rsid w:val="00784867"/>
    <w:rsid w:val="0078561A"/>
    <w:rsid w:val="00785A56"/>
    <w:rsid w:val="00785EFB"/>
    <w:rsid w:val="00795F84"/>
    <w:rsid w:val="0079699C"/>
    <w:rsid w:val="007B1B67"/>
    <w:rsid w:val="007B4054"/>
    <w:rsid w:val="007B7C28"/>
    <w:rsid w:val="007C0F94"/>
    <w:rsid w:val="007C3F03"/>
    <w:rsid w:val="007C5204"/>
    <w:rsid w:val="007D2307"/>
    <w:rsid w:val="007D649B"/>
    <w:rsid w:val="007E7EC8"/>
    <w:rsid w:val="007F2444"/>
    <w:rsid w:val="007F4718"/>
    <w:rsid w:val="007F5D7D"/>
    <w:rsid w:val="007F6999"/>
    <w:rsid w:val="00815AC7"/>
    <w:rsid w:val="008232D4"/>
    <w:rsid w:val="00843392"/>
    <w:rsid w:val="00843E35"/>
    <w:rsid w:val="008457D7"/>
    <w:rsid w:val="00846536"/>
    <w:rsid w:val="00856A73"/>
    <w:rsid w:val="00857C8F"/>
    <w:rsid w:val="008602E4"/>
    <w:rsid w:val="0086374E"/>
    <w:rsid w:val="00866A1B"/>
    <w:rsid w:val="00866C9F"/>
    <w:rsid w:val="00871146"/>
    <w:rsid w:val="00872365"/>
    <w:rsid w:val="0087296F"/>
    <w:rsid w:val="0087344E"/>
    <w:rsid w:val="008746D5"/>
    <w:rsid w:val="008746E1"/>
    <w:rsid w:val="00877AFA"/>
    <w:rsid w:val="00881565"/>
    <w:rsid w:val="00886426"/>
    <w:rsid w:val="00892552"/>
    <w:rsid w:val="00895652"/>
    <w:rsid w:val="008A3A45"/>
    <w:rsid w:val="008A7CE7"/>
    <w:rsid w:val="008B346E"/>
    <w:rsid w:val="008B6898"/>
    <w:rsid w:val="008B753B"/>
    <w:rsid w:val="008B7C6C"/>
    <w:rsid w:val="008C020E"/>
    <w:rsid w:val="008C26D9"/>
    <w:rsid w:val="008C342F"/>
    <w:rsid w:val="008D0CA5"/>
    <w:rsid w:val="008E3E14"/>
    <w:rsid w:val="008E3EC8"/>
    <w:rsid w:val="00901522"/>
    <w:rsid w:val="00911DA9"/>
    <w:rsid w:val="00915C4F"/>
    <w:rsid w:val="00925041"/>
    <w:rsid w:val="00925365"/>
    <w:rsid w:val="00932F76"/>
    <w:rsid w:val="00933388"/>
    <w:rsid w:val="0093674E"/>
    <w:rsid w:val="00940243"/>
    <w:rsid w:val="00941926"/>
    <w:rsid w:val="00952503"/>
    <w:rsid w:val="00955B4E"/>
    <w:rsid w:val="00957002"/>
    <w:rsid w:val="009605FE"/>
    <w:rsid w:val="009628F5"/>
    <w:rsid w:val="009673C9"/>
    <w:rsid w:val="00976C40"/>
    <w:rsid w:val="00981E3E"/>
    <w:rsid w:val="00984CEB"/>
    <w:rsid w:val="009862DA"/>
    <w:rsid w:val="00986BB2"/>
    <w:rsid w:val="009A5C45"/>
    <w:rsid w:val="009B081C"/>
    <w:rsid w:val="009B1C8B"/>
    <w:rsid w:val="009B4C85"/>
    <w:rsid w:val="009B61D9"/>
    <w:rsid w:val="009C0827"/>
    <w:rsid w:val="009C0B63"/>
    <w:rsid w:val="009C24DF"/>
    <w:rsid w:val="009D5878"/>
    <w:rsid w:val="009D5B5D"/>
    <w:rsid w:val="009E0FE9"/>
    <w:rsid w:val="009E23F4"/>
    <w:rsid w:val="009E5BFB"/>
    <w:rsid w:val="009F04C4"/>
    <w:rsid w:val="009F04C9"/>
    <w:rsid w:val="009F2843"/>
    <w:rsid w:val="009F2B89"/>
    <w:rsid w:val="009F3C0C"/>
    <w:rsid w:val="009F4C8D"/>
    <w:rsid w:val="009F7F98"/>
    <w:rsid w:val="00A02D44"/>
    <w:rsid w:val="00A0383B"/>
    <w:rsid w:val="00A12B0B"/>
    <w:rsid w:val="00A1763A"/>
    <w:rsid w:val="00A21FC7"/>
    <w:rsid w:val="00A24519"/>
    <w:rsid w:val="00A27151"/>
    <w:rsid w:val="00A34954"/>
    <w:rsid w:val="00A349BC"/>
    <w:rsid w:val="00A41D34"/>
    <w:rsid w:val="00A54CE4"/>
    <w:rsid w:val="00A6014B"/>
    <w:rsid w:val="00A642C5"/>
    <w:rsid w:val="00A82E92"/>
    <w:rsid w:val="00A84A0D"/>
    <w:rsid w:val="00A86CD6"/>
    <w:rsid w:val="00A92999"/>
    <w:rsid w:val="00AA3762"/>
    <w:rsid w:val="00AA3949"/>
    <w:rsid w:val="00AA489A"/>
    <w:rsid w:val="00AB2957"/>
    <w:rsid w:val="00AC262B"/>
    <w:rsid w:val="00AC4AA8"/>
    <w:rsid w:val="00AC53E4"/>
    <w:rsid w:val="00AD5385"/>
    <w:rsid w:val="00AE174D"/>
    <w:rsid w:val="00AE467A"/>
    <w:rsid w:val="00AF4B61"/>
    <w:rsid w:val="00AF56F2"/>
    <w:rsid w:val="00AF6D39"/>
    <w:rsid w:val="00B000D2"/>
    <w:rsid w:val="00B014D1"/>
    <w:rsid w:val="00B0578B"/>
    <w:rsid w:val="00B06D17"/>
    <w:rsid w:val="00B1695C"/>
    <w:rsid w:val="00B20308"/>
    <w:rsid w:val="00B332D9"/>
    <w:rsid w:val="00B35E5D"/>
    <w:rsid w:val="00B35FCE"/>
    <w:rsid w:val="00B36D6A"/>
    <w:rsid w:val="00B41150"/>
    <w:rsid w:val="00B44C64"/>
    <w:rsid w:val="00B4557C"/>
    <w:rsid w:val="00B47E7F"/>
    <w:rsid w:val="00B5337C"/>
    <w:rsid w:val="00B53BC3"/>
    <w:rsid w:val="00B559B7"/>
    <w:rsid w:val="00B61A55"/>
    <w:rsid w:val="00B65B69"/>
    <w:rsid w:val="00B677F9"/>
    <w:rsid w:val="00B7364F"/>
    <w:rsid w:val="00B832D0"/>
    <w:rsid w:val="00B94945"/>
    <w:rsid w:val="00B97175"/>
    <w:rsid w:val="00BA0AF7"/>
    <w:rsid w:val="00BA37BB"/>
    <w:rsid w:val="00BA4322"/>
    <w:rsid w:val="00BA6AEB"/>
    <w:rsid w:val="00BB0D8D"/>
    <w:rsid w:val="00BB204F"/>
    <w:rsid w:val="00BB3130"/>
    <w:rsid w:val="00BC0CE4"/>
    <w:rsid w:val="00BC1DF0"/>
    <w:rsid w:val="00BD3953"/>
    <w:rsid w:val="00BE3A35"/>
    <w:rsid w:val="00BF3D2F"/>
    <w:rsid w:val="00BF520A"/>
    <w:rsid w:val="00BF706B"/>
    <w:rsid w:val="00C0619F"/>
    <w:rsid w:val="00C074A9"/>
    <w:rsid w:val="00C12CF2"/>
    <w:rsid w:val="00C172C3"/>
    <w:rsid w:val="00C25569"/>
    <w:rsid w:val="00C302FA"/>
    <w:rsid w:val="00C30946"/>
    <w:rsid w:val="00C334C5"/>
    <w:rsid w:val="00C34AE5"/>
    <w:rsid w:val="00C40698"/>
    <w:rsid w:val="00C451EA"/>
    <w:rsid w:val="00C517D1"/>
    <w:rsid w:val="00C53028"/>
    <w:rsid w:val="00C542F7"/>
    <w:rsid w:val="00C56DEE"/>
    <w:rsid w:val="00C600C7"/>
    <w:rsid w:val="00C636B7"/>
    <w:rsid w:val="00C66A18"/>
    <w:rsid w:val="00C7216E"/>
    <w:rsid w:val="00C842BD"/>
    <w:rsid w:val="00C921CD"/>
    <w:rsid w:val="00C93C34"/>
    <w:rsid w:val="00C97BF9"/>
    <w:rsid w:val="00CA30C0"/>
    <w:rsid w:val="00CB1AD1"/>
    <w:rsid w:val="00CB4083"/>
    <w:rsid w:val="00CB7961"/>
    <w:rsid w:val="00CC555F"/>
    <w:rsid w:val="00CC6711"/>
    <w:rsid w:val="00CD16D2"/>
    <w:rsid w:val="00CD1731"/>
    <w:rsid w:val="00CD1C9F"/>
    <w:rsid w:val="00CD7BD4"/>
    <w:rsid w:val="00CD7DA4"/>
    <w:rsid w:val="00CE29D1"/>
    <w:rsid w:val="00CF46C9"/>
    <w:rsid w:val="00CF66A6"/>
    <w:rsid w:val="00CF6719"/>
    <w:rsid w:val="00D03B03"/>
    <w:rsid w:val="00D06041"/>
    <w:rsid w:val="00D128FD"/>
    <w:rsid w:val="00D1332B"/>
    <w:rsid w:val="00D24E2D"/>
    <w:rsid w:val="00D30F60"/>
    <w:rsid w:val="00D42328"/>
    <w:rsid w:val="00D46B74"/>
    <w:rsid w:val="00D548D9"/>
    <w:rsid w:val="00D56005"/>
    <w:rsid w:val="00D6301D"/>
    <w:rsid w:val="00D74DA6"/>
    <w:rsid w:val="00D770CD"/>
    <w:rsid w:val="00D86FBA"/>
    <w:rsid w:val="00D877D8"/>
    <w:rsid w:val="00D92539"/>
    <w:rsid w:val="00D9290E"/>
    <w:rsid w:val="00D936B8"/>
    <w:rsid w:val="00D93872"/>
    <w:rsid w:val="00D94D3B"/>
    <w:rsid w:val="00DA06B5"/>
    <w:rsid w:val="00DA4723"/>
    <w:rsid w:val="00DA4A72"/>
    <w:rsid w:val="00DB06E8"/>
    <w:rsid w:val="00DB6A2A"/>
    <w:rsid w:val="00DB781A"/>
    <w:rsid w:val="00DC3AA5"/>
    <w:rsid w:val="00DC4367"/>
    <w:rsid w:val="00DC4368"/>
    <w:rsid w:val="00DC53BB"/>
    <w:rsid w:val="00DD2F52"/>
    <w:rsid w:val="00DD4126"/>
    <w:rsid w:val="00DD6EC5"/>
    <w:rsid w:val="00DE41CF"/>
    <w:rsid w:val="00DF3C0C"/>
    <w:rsid w:val="00DF57F5"/>
    <w:rsid w:val="00DF58D7"/>
    <w:rsid w:val="00E033D5"/>
    <w:rsid w:val="00E046DA"/>
    <w:rsid w:val="00E137EF"/>
    <w:rsid w:val="00E22B77"/>
    <w:rsid w:val="00E24F8F"/>
    <w:rsid w:val="00E24F93"/>
    <w:rsid w:val="00E327BA"/>
    <w:rsid w:val="00E33503"/>
    <w:rsid w:val="00E36B58"/>
    <w:rsid w:val="00E37E74"/>
    <w:rsid w:val="00E4290E"/>
    <w:rsid w:val="00E47476"/>
    <w:rsid w:val="00E5152A"/>
    <w:rsid w:val="00E524C1"/>
    <w:rsid w:val="00E65502"/>
    <w:rsid w:val="00E67613"/>
    <w:rsid w:val="00E67E90"/>
    <w:rsid w:val="00E7510A"/>
    <w:rsid w:val="00E80769"/>
    <w:rsid w:val="00E8103A"/>
    <w:rsid w:val="00E8536E"/>
    <w:rsid w:val="00E87412"/>
    <w:rsid w:val="00E914F5"/>
    <w:rsid w:val="00E92D2F"/>
    <w:rsid w:val="00EA076D"/>
    <w:rsid w:val="00EA1090"/>
    <w:rsid w:val="00EA1201"/>
    <w:rsid w:val="00EA35A1"/>
    <w:rsid w:val="00EB702A"/>
    <w:rsid w:val="00EB7D0B"/>
    <w:rsid w:val="00EC1C6D"/>
    <w:rsid w:val="00EC2DB6"/>
    <w:rsid w:val="00EC6991"/>
    <w:rsid w:val="00EC6A5C"/>
    <w:rsid w:val="00EC6C7B"/>
    <w:rsid w:val="00ED58A5"/>
    <w:rsid w:val="00ED76F8"/>
    <w:rsid w:val="00EE3F7F"/>
    <w:rsid w:val="00EE7B24"/>
    <w:rsid w:val="00EF07D2"/>
    <w:rsid w:val="00EF40E7"/>
    <w:rsid w:val="00EF7E26"/>
    <w:rsid w:val="00F05D7C"/>
    <w:rsid w:val="00F10131"/>
    <w:rsid w:val="00F11B25"/>
    <w:rsid w:val="00F21728"/>
    <w:rsid w:val="00F306AF"/>
    <w:rsid w:val="00F34F40"/>
    <w:rsid w:val="00F354F3"/>
    <w:rsid w:val="00F35CA2"/>
    <w:rsid w:val="00F36D3A"/>
    <w:rsid w:val="00F41E93"/>
    <w:rsid w:val="00F7145F"/>
    <w:rsid w:val="00F76968"/>
    <w:rsid w:val="00F83D9D"/>
    <w:rsid w:val="00F871A0"/>
    <w:rsid w:val="00F87440"/>
    <w:rsid w:val="00F9269A"/>
    <w:rsid w:val="00F94332"/>
    <w:rsid w:val="00F943CC"/>
    <w:rsid w:val="00F9673E"/>
    <w:rsid w:val="00FB0EC3"/>
    <w:rsid w:val="00FB1093"/>
    <w:rsid w:val="00FC1D1E"/>
    <w:rsid w:val="00FC2BA1"/>
    <w:rsid w:val="00FC70CA"/>
    <w:rsid w:val="00FD532A"/>
    <w:rsid w:val="00FD75F1"/>
    <w:rsid w:val="00FE3E95"/>
    <w:rsid w:val="00FE55AE"/>
    <w:rsid w:val="00FF15D5"/>
    <w:rsid w:val="00FF7B7F"/>
    <w:rsid w:val="0115077C"/>
    <w:rsid w:val="0116312F"/>
    <w:rsid w:val="0175001E"/>
    <w:rsid w:val="017C66DE"/>
    <w:rsid w:val="01804A4C"/>
    <w:rsid w:val="01890D0B"/>
    <w:rsid w:val="01963062"/>
    <w:rsid w:val="01AC1887"/>
    <w:rsid w:val="01DD1E9F"/>
    <w:rsid w:val="01E37A17"/>
    <w:rsid w:val="01F55FA8"/>
    <w:rsid w:val="020578DD"/>
    <w:rsid w:val="026C4FD1"/>
    <w:rsid w:val="027A2971"/>
    <w:rsid w:val="028606DA"/>
    <w:rsid w:val="02B11EFA"/>
    <w:rsid w:val="02C9546D"/>
    <w:rsid w:val="03604AE8"/>
    <w:rsid w:val="03EE0393"/>
    <w:rsid w:val="04155920"/>
    <w:rsid w:val="04305357"/>
    <w:rsid w:val="044E2BE0"/>
    <w:rsid w:val="0452141E"/>
    <w:rsid w:val="04842AA6"/>
    <w:rsid w:val="048707FB"/>
    <w:rsid w:val="04980A96"/>
    <w:rsid w:val="049D5915"/>
    <w:rsid w:val="04DD0CB1"/>
    <w:rsid w:val="04ED66A4"/>
    <w:rsid w:val="05087233"/>
    <w:rsid w:val="05406EB7"/>
    <w:rsid w:val="059D2DF8"/>
    <w:rsid w:val="05BA78F4"/>
    <w:rsid w:val="05C55124"/>
    <w:rsid w:val="05CB7B8E"/>
    <w:rsid w:val="05CE4396"/>
    <w:rsid w:val="05F17CC7"/>
    <w:rsid w:val="062A122C"/>
    <w:rsid w:val="06320837"/>
    <w:rsid w:val="06E65352"/>
    <w:rsid w:val="074B6D85"/>
    <w:rsid w:val="076D79E5"/>
    <w:rsid w:val="07713C35"/>
    <w:rsid w:val="07B63B11"/>
    <w:rsid w:val="07D720B6"/>
    <w:rsid w:val="07DB403D"/>
    <w:rsid w:val="07ED0B0D"/>
    <w:rsid w:val="080D690E"/>
    <w:rsid w:val="081F390C"/>
    <w:rsid w:val="08B275D1"/>
    <w:rsid w:val="08E001B0"/>
    <w:rsid w:val="09222209"/>
    <w:rsid w:val="098826F0"/>
    <w:rsid w:val="09BB55BA"/>
    <w:rsid w:val="09C87119"/>
    <w:rsid w:val="09E922F6"/>
    <w:rsid w:val="09F75AC8"/>
    <w:rsid w:val="0A0C3321"/>
    <w:rsid w:val="0A0D0E47"/>
    <w:rsid w:val="0A18464F"/>
    <w:rsid w:val="0A291D87"/>
    <w:rsid w:val="0A2E2341"/>
    <w:rsid w:val="0A366207"/>
    <w:rsid w:val="0A8B0EAB"/>
    <w:rsid w:val="0A922065"/>
    <w:rsid w:val="0AA049F3"/>
    <w:rsid w:val="0AA96DC2"/>
    <w:rsid w:val="0ABF3E2E"/>
    <w:rsid w:val="0ADC03EB"/>
    <w:rsid w:val="0B441098"/>
    <w:rsid w:val="0B4D3BF1"/>
    <w:rsid w:val="0B71078D"/>
    <w:rsid w:val="0B95124F"/>
    <w:rsid w:val="0BBD1D37"/>
    <w:rsid w:val="0BC56F5F"/>
    <w:rsid w:val="0BDB3721"/>
    <w:rsid w:val="0C073E59"/>
    <w:rsid w:val="0C314090"/>
    <w:rsid w:val="0C51682D"/>
    <w:rsid w:val="0CB27CB2"/>
    <w:rsid w:val="0CB3217A"/>
    <w:rsid w:val="0CD10852"/>
    <w:rsid w:val="0D2336F8"/>
    <w:rsid w:val="0D8D2D08"/>
    <w:rsid w:val="0DAD7D0E"/>
    <w:rsid w:val="0E0D0C45"/>
    <w:rsid w:val="0E236A3E"/>
    <w:rsid w:val="0E3E5A73"/>
    <w:rsid w:val="0E740F48"/>
    <w:rsid w:val="0E9B5403"/>
    <w:rsid w:val="0EA37FCC"/>
    <w:rsid w:val="0F3048C7"/>
    <w:rsid w:val="0FD51371"/>
    <w:rsid w:val="0FDB4A43"/>
    <w:rsid w:val="0FDE3679"/>
    <w:rsid w:val="0FDF3286"/>
    <w:rsid w:val="10635C65"/>
    <w:rsid w:val="106E0187"/>
    <w:rsid w:val="107D339A"/>
    <w:rsid w:val="10961B97"/>
    <w:rsid w:val="10AD2295"/>
    <w:rsid w:val="11060FEB"/>
    <w:rsid w:val="11332C1D"/>
    <w:rsid w:val="11424B3C"/>
    <w:rsid w:val="115434A7"/>
    <w:rsid w:val="1186164E"/>
    <w:rsid w:val="11893269"/>
    <w:rsid w:val="11DA6313"/>
    <w:rsid w:val="11F67716"/>
    <w:rsid w:val="120C6381"/>
    <w:rsid w:val="120E6D62"/>
    <w:rsid w:val="12263756"/>
    <w:rsid w:val="129C0FBA"/>
    <w:rsid w:val="12BC3060"/>
    <w:rsid w:val="12CF1390"/>
    <w:rsid w:val="12EA61CA"/>
    <w:rsid w:val="12EB7263"/>
    <w:rsid w:val="12F42BA4"/>
    <w:rsid w:val="13270D7A"/>
    <w:rsid w:val="13352C8C"/>
    <w:rsid w:val="134B775D"/>
    <w:rsid w:val="134E01D7"/>
    <w:rsid w:val="13584DCD"/>
    <w:rsid w:val="13624C7F"/>
    <w:rsid w:val="136B4AD7"/>
    <w:rsid w:val="137E3987"/>
    <w:rsid w:val="1382238D"/>
    <w:rsid w:val="13B25860"/>
    <w:rsid w:val="13DB2AF9"/>
    <w:rsid w:val="141B1331"/>
    <w:rsid w:val="14324EA6"/>
    <w:rsid w:val="143809CF"/>
    <w:rsid w:val="14565BE9"/>
    <w:rsid w:val="1457366A"/>
    <w:rsid w:val="145D1E98"/>
    <w:rsid w:val="147C1835"/>
    <w:rsid w:val="147C5E29"/>
    <w:rsid w:val="14D54096"/>
    <w:rsid w:val="14DD044C"/>
    <w:rsid w:val="14DD31E2"/>
    <w:rsid w:val="15142B24"/>
    <w:rsid w:val="153C0833"/>
    <w:rsid w:val="158C14E9"/>
    <w:rsid w:val="15BA2D4A"/>
    <w:rsid w:val="15D62A35"/>
    <w:rsid w:val="15E74C42"/>
    <w:rsid w:val="16315EBE"/>
    <w:rsid w:val="163341DB"/>
    <w:rsid w:val="168F1DFA"/>
    <w:rsid w:val="16A77525"/>
    <w:rsid w:val="16A9400E"/>
    <w:rsid w:val="16D276A1"/>
    <w:rsid w:val="16D30CDD"/>
    <w:rsid w:val="17156845"/>
    <w:rsid w:val="171928BE"/>
    <w:rsid w:val="173E6AE4"/>
    <w:rsid w:val="174723F2"/>
    <w:rsid w:val="174943E9"/>
    <w:rsid w:val="1757657C"/>
    <w:rsid w:val="176519FD"/>
    <w:rsid w:val="176F167E"/>
    <w:rsid w:val="17814E1C"/>
    <w:rsid w:val="17932850"/>
    <w:rsid w:val="17C41659"/>
    <w:rsid w:val="17D849D6"/>
    <w:rsid w:val="180E527E"/>
    <w:rsid w:val="18184694"/>
    <w:rsid w:val="182B30B6"/>
    <w:rsid w:val="182C673E"/>
    <w:rsid w:val="18C313DF"/>
    <w:rsid w:val="18EE0BF6"/>
    <w:rsid w:val="19131D2F"/>
    <w:rsid w:val="192405E7"/>
    <w:rsid w:val="195C76F5"/>
    <w:rsid w:val="19600305"/>
    <w:rsid w:val="196210E1"/>
    <w:rsid w:val="19714CB9"/>
    <w:rsid w:val="19753246"/>
    <w:rsid w:val="19923A79"/>
    <w:rsid w:val="19CC2CC4"/>
    <w:rsid w:val="1A142085"/>
    <w:rsid w:val="1A2C3DD7"/>
    <w:rsid w:val="1A606D71"/>
    <w:rsid w:val="1A6B245E"/>
    <w:rsid w:val="1A7E2606"/>
    <w:rsid w:val="1AAA4EE5"/>
    <w:rsid w:val="1AAE5A45"/>
    <w:rsid w:val="1AAF59FC"/>
    <w:rsid w:val="1AB10FB0"/>
    <w:rsid w:val="1AD5150D"/>
    <w:rsid w:val="1AEB1A05"/>
    <w:rsid w:val="1AEB5F51"/>
    <w:rsid w:val="1AFF2E9C"/>
    <w:rsid w:val="1B205A92"/>
    <w:rsid w:val="1B31572D"/>
    <w:rsid w:val="1B494FD0"/>
    <w:rsid w:val="1B6C5B53"/>
    <w:rsid w:val="1C3310A9"/>
    <w:rsid w:val="1D2F77CB"/>
    <w:rsid w:val="1D40117C"/>
    <w:rsid w:val="1D785B20"/>
    <w:rsid w:val="1D8760B4"/>
    <w:rsid w:val="1DA805C1"/>
    <w:rsid w:val="1DB00010"/>
    <w:rsid w:val="1DB72D4D"/>
    <w:rsid w:val="1DD469C9"/>
    <w:rsid w:val="1DDF5840"/>
    <w:rsid w:val="1DFD14A7"/>
    <w:rsid w:val="1E033CFE"/>
    <w:rsid w:val="1E2F53D8"/>
    <w:rsid w:val="1E4E1D03"/>
    <w:rsid w:val="1E562965"/>
    <w:rsid w:val="1E566E09"/>
    <w:rsid w:val="1E960FB4"/>
    <w:rsid w:val="1E966DAA"/>
    <w:rsid w:val="1EB83620"/>
    <w:rsid w:val="1ECE4BF1"/>
    <w:rsid w:val="1ED84278"/>
    <w:rsid w:val="1ED97BFC"/>
    <w:rsid w:val="1EE12082"/>
    <w:rsid w:val="1EE73B09"/>
    <w:rsid w:val="1EF501D6"/>
    <w:rsid w:val="1F0C23CC"/>
    <w:rsid w:val="1F1545CE"/>
    <w:rsid w:val="1F2C1918"/>
    <w:rsid w:val="1F316326"/>
    <w:rsid w:val="1F5D4A06"/>
    <w:rsid w:val="1F964F4E"/>
    <w:rsid w:val="1F9A2D26"/>
    <w:rsid w:val="1F9F6536"/>
    <w:rsid w:val="1FB92045"/>
    <w:rsid w:val="1FE87E47"/>
    <w:rsid w:val="1FF42436"/>
    <w:rsid w:val="1FF53618"/>
    <w:rsid w:val="20215745"/>
    <w:rsid w:val="203647FC"/>
    <w:rsid w:val="205A5529"/>
    <w:rsid w:val="20631369"/>
    <w:rsid w:val="207B66B3"/>
    <w:rsid w:val="20A0436C"/>
    <w:rsid w:val="20AE4DC8"/>
    <w:rsid w:val="20C20786"/>
    <w:rsid w:val="20C274CD"/>
    <w:rsid w:val="20C34F92"/>
    <w:rsid w:val="20DD55C0"/>
    <w:rsid w:val="20EC75B1"/>
    <w:rsid w:val="21024A33"/>
    <w:rsid w:val="21224D81"/>
    <w:rsid w:val="2184139D"/>
    <w:rsid w:val="218F1C0A"/>
    <w:rsid w:val="21912162"/>
    <w:rsid w:val="2191233E"/>
    <w:rsid w:val="219A0DBB"/>
    <w:rsid w:val="21AB2FC8"/>
    <w:rsid w:val="21C55DF6"/>
    <w:rsid w:val="21FB04CE"/>
    <w:rsid w:val="221F6235"/>
    <w:rsid w:val="224A27E1"/>
    <w:rsid w:val="225D2D35"/>
    <w:rsid w:val="226B066F"/>
    <w:rsid w:val="227A2080"/>
    <w:rsid w:val="22834430"/>
    <w:rsid w:val="22E10344"/>
    <w:rsid w:val="22E942A6"/>
    <w:rsid w:val="22EC3DDE"/>
    <w:rsid w:val="22F45DE8"/>
    <w:rsid w:val="22FF76A7"/>
    <w:rsid w:val="236E082B"/>
    <w:rsid w:val="237C10C0"/>
    <w:rsid w:val="237F64DC"/>
    <w:rsid w:val="241A2A47"/>
    <w:rsid w:val="244C451B"/>
    <w:rsid w:val="24524D99"/>
    <w:rsid w:val="24A600AD"/>
    <w:rsid w:val="24AB7DB8"/>
    <w:rsid w:val="24C21763"/>
    <w:rsid w:val="24CD5D6E"/>
    <w:rsid w:val="24D60D47"/>
    <w:rsid w:val="25421E95"/>
    <w:rsid w:val="26091A0C"/>
    <w:rsid w:val="261F5032"/>
    <w:rsid w:val="2628108B"/>
    <w:rsid w:val="26431A21"/>
    <w:rsid w:val="26C239CA"/>
    <w:rsid w:val="26C90E2D"/>
    <w:rsid w:val="26D747CC"/>
    <w:rsid w:val="270B25DA"/>
    <w:rsid w:val="270F17A0"/>
    <w:rsid w:val="273705EE"/>
    <w:rsid w:val="27723A43"/>
    <w:rsid w:val="278542BB"/>
    <w:rsid w:val="27C460AB"/>
    <w:rsid w:val="27DA4607"/>
    <w:rsid w:val="27E06514"/>
    <w:rsid w:val="2827575A"/>
    <w:rsid w:val="28801A02"/>
    <w:rsid w:val="28902F18"/>
    <w:rsid w:val="28994B2A"/>
    <w:rsid w:val="28B46433"/>
    <w:rsid w:val="28CD560F"/>
    <w:rsid w:val="28ED0D31"/>
    <w:rsid w:val="29032BEF"/>
    <w:rsid w:val="2927562A"/>
    <w:rsid w:val="298A7967"/>
    <w:rsid w:val="29AC36EE"/>
    <w:rsid w:val="2A0B0AA8"/>
    <w:rsid w:val="2A1B0D71"/>
    <w:rsid w:val="2A4C7902"/>
    <w:rsid w:val="2A62490E"/>
    <w:rsid w:val="2A663F30"/>
    <w:rsid w:val="2A6A39E8"/>
    <w:rsid w:val="2AC670C5"/>
    <w:rsid w:val="2B2D01CF"/>
    <w:rsid w:val="2B4F2A6E"/>
    <w:rsid w:val="2B4F631D"/>
    <w:rsid w:val="2B7375A1"/>
    <w:rsid w:val="2B7D5B67"/>
    <w:rsid w:val="2BCA23E3"/>
    <w:rsid w:val="2BCB64B2"/>
    <w:rsid w:val="2BCD490E"/>
    <w:rsid w:val="2BD51A79"/>
    <w:rsid w:val="2BDB094E"/>
    <w:rsid w:val="2BDF04C0"/>
    <w:rsid w:val="2BE50244"/>
    <w:rsid w:val="2BED6F1A"/>
    <w:rsid w:val="2C255C58"/>
    <w:rsid w:val="2C365B84"/>
    <w:rsid w:val="2C532B0F"/>
    <w:rsid w:val="2C6E29F7"/>
    <w:rsid w:val="2C931228"/>
    <w:rsid w:val="2CC41C04"/>
    <w:rsid w:val="2CE079AD"/>
    <w:rsid w:val="2CF40263"/>
    <w:rsid w:val="2D48195B"/>
    <w:rsid w:val="2D7363DF"/>
    <w:rsid w:val="2D8C0151"/>
    <w:rsid w:val="2DDF2977"/>
    <w:rsid w:val="2E5642BC"/>
    <w:rsid w:val="2E7620ED"/>
    <w:rsid w:val="2ECD498D"/>
    <w:rsid w:val="2EE724DC"/>
    <w:rsid w:val="2EF51D26"/>
    <w:rsid w:val="2EF76C06"/>
    <w:rsid w:val="2F0D20DE"/>
    <w:rsid w:val="2F177EEF"/>
    <w:rsid w:val="2F5D30B3"/>
    <w:rsid w:val="2F7009B1"/>
    <w:rsid w:val="2F7964B4"/>
    <w:rsid w:val="2FA07728"/>
    <w:rsid w:val="2FB318C4"/>
    <w:rsid w:val="2FC002D5"/>
    <w:rsid w:val="2FCA419D"/>
    <w:rsid w:val="30083A5D"/>
    <w:rsid w:val="30162726"/>
    <w:rsid w:val="302E6AE1"/>
    <w:rsid w:val="30537758"/>
    <w:rsid w:val="30677FB8"/>
    <w:rsid w:val="306A6A79"/>
    <w:rsid w:val="309335A5"/>
    <w:rsid w:val="309537C1"/>
    <w:rsid w:val="30963B52"/>
    <w:rsid w:val="30BD0622"/>
    <w:rsid w:val="30E3277E"/>
    <w:rsid w:val="30E82380"/>
    <w:rsid w:val="31324444"/>
    <w:rsid w:val="31476967"/>
    <w:rsid w:val="315453F8"/>
    <w:rsid w:val="31653193"/>
    <w:rsid w:val="31973FCB"/>
    <w:rsid w:val="31C003CA"/>
    <w:rsid w:val="31D21342"/>
    <w:rsid w:val="31E21586"/>
    <w:rsid w:val="31FA6300"/>
    <w:rsid w:val="320E50AB"/>
    <w:rsid w:val="321118B3"/>
    <w:rsid w:val="32170A8D"/>
    <w:rsid w:val="32525BDF"/>
    <w:rsid w:val="32786E04"/>
    <w:rsid w:val="328B6984"/>
    <w:rsid w:val="32983FD4"/>
    <w:rsid w:val="32AF23C2"/>
    <w:rsid w:val="32DC4F67"/>
    <w:rsid w:val="32EE1A36"/>
    <w:rsid w:val="33723946"/>
    <w:rsid w:val="33BF4A72"/>
    <w:rsid w:val="33D7599C"/>
    <w:rsid w:val="342D1BFF"/>
    <w:rsid w:val="342F480F"/>
    <w:rsid w:val="343E26EE"/>
    <w:rsid w:val="344F3C87"/>
    <w:rsid w:val="3475581F"/>
    <w:rsid w:val="347E1DA2"/>
    <w:rsid w:val="349B682B"/>
    <w:rsid w:val="34B34830"/>
    <w:rsid w:val="34C649F1"/>
    <w:rsid w:val="34ED54E4"/>
    <w:rsid w:val="3503309E"/>
    <w:rsid w:val="35435064"/>
    <w:rsid w:val="35476E77"/>
    <w:rsid w:val="35A1628C"/>
    <w:rsid w:val="361707D4"/>
    <w:rsid w:val="3620672B"/>
    <w:rsid w:val="36250A64"/>
    <w:rsid w:val="365B1287"/>
    <w:rsid w:val="365C313C"/>
    <w:rsid w:val="36831F44"/>
    <w:rsid w:val="36A209E6"/>
    <w:rsid w:val="36BE109A"/>
    <w:rsid w:val="36E01197"/>
    <w:rsid w:val="36FA2163"/>
    <w:rsid w:val="37042CD1"/>
    <w:rsid w:val="37293B7E"/>
    <w:rsid w:val="375F2433"/>
    <w:rsid w:val="377B3D13"/>
    <w:rsid w:val="37A54EB9"/>
    <w:rsid w:val="37B86AAF"/>
    <w:rsid w:val="37BC7880"/>
    <w:rsid w:val="37C14982"/>
    <w:rsid w:val="37C44C8D"/>
    <w:rsid w:val="37DB3ACA"/>
    <w:rsid w:val="38082ACA"/>
    <w:rsid w:val="3810525E"/>
    <w:rsid w:val="381D6482"/>
    <w:rsid w:val="381E409C"/>
    <w:rsid w:val="38234CA6"/>
    <w:rsid w:val="383407C4"/>
    <w:rsid w:val="385E26EA"/>
    <w:rsid w:val="38684E80"/>
    <w:rsid w:val="3875617F"/>
    <w:rsid w:val="389573C2"/>
    <w:rsid w:val="38A00D60"/>
    <w:rsid w:val="38B52017"/>
    <w:rsid w:val="390521E1"/>
    <w:rsid w:val="390C65EA"/>
    <w:rsid w:val="39184F8F"/>
    <w:rsid w:val="39BC591B"/>
    <w:rsid w:val="39D24B04"/>
    <w:rsid w:val="39DF13C4"/>
    <w:rsid w:val="39E032E9"/>
    <w:rsid w:val="3A1E08C5"/>
    <w:rsid w:val="3A3A347C"/>
    <w:rsid w:val="3A6D1368"/>
    <w:rsid w:val="3A8332F9"/>
    <w:rsid w:val="3A914FF9"/>
    <w:rsid w:val="3AC94E98"/>
    <w:rsid w:val="3AD16E8E"/>
    <w:rsid w:val="3AD2258E"/>
    <w:rsid w:val="3AD62764"/>
    <w:rsid w:val="3AFA3A3A"/>
    <w:rsid w:val="3AFE1F63"/>
    <w:rsid w:val="3B035B6A"/>
    <w:rsid w:val="3B135B6F"/>
    <w:rsid w:val="3B2A71FC"/>
    <w:rsid w:val="3B455DE4"/>
    <w:rsid w:val="3B4B6B6F"/>
    <w:rsid w:val="3B4F1DA6"/>
    <w:rsid w:val="3B510544"/>
    <w:rsid w:val="3B6250F8"/>
    <w:rsid w:val="3B7003FD"/>
    <w:rsid w:val="3B915553"/>
    <w:rsid w:val="3BAE7806"/>
    <w:rsid w:val="3BB16FD5"/>
    <w:rsid w:val="3BCF3DE2"/>
    <w:rsid w:val="3BFF5F92"/>
    <w:rsid w:val="3C022A83"/>
    <w:rsid w:val="3C2708B8"/>
    <w:rsid w:val="3C342B36"/>
    <w:rsid w:val="3C3876DA"/>
    <w:rsid w:val="3C6E7B33"/>
    <w:rsid w:val="3C8F2735"/>
    <w:rsid w:val="3D697A4C"/>
    <w:rsid w:val="3DA637B6"/>
    <w:rsid w:val="3DC70DA6"/>
    <w:rsid w:val="3E4203B8"/>
    <w:rsid w:val="3E433531"/>
    <w:rsid w:val="3E524F05"/>
    <w:rsid w:val="3E8310FD"/>
    <w:rsid w:val="3E8D51C5"/>
    <w:rsid w:val="3E911ED8"/>
    <w:rsid w:val="3E9776C5"/>
    <w:rsid w:val="3E9B4698"/>
    <w:rsid w:val="3EF4070F"/>
    <w:rsid w:val="3F345912"/>
    <w:rsid w:val="3F456AA7"/>
    <w:rsid w:val="3F4A39C9"/>
    <w:rsid w:val="3FC76DC7"/>
    <w:rsid w:val="3FCC0881"/>
    <w:rsid w:val="3FE86074"/>
    <w:rsid w:val="404350E0"/>
    <w:rsid w:val="407549A4"/>
    <w:rsid w:val="40A33F45"/>
    <w:rsid w:val="40BE38AE"/>
    <w:rsid w:val="40E32281"/>
    <w:rsid w:val="411F6FD5"/>
    <w:rsid w:val="413E57AF"/>
    <w:rsid w:val="414F176A"/>
    <w:rsid w:val="41694E7F"/>
    <w:rsid w:val="418E3EDE"/>
    <w:rsid w:val="41AD3D25"/>
    <w:rsid w:val="41EC6FB9"/>
    <w:rsid w:val="42573468"/>
    <w:rsid w:val="42675C80"/>
    <w:rsid w:val="42857E42"/>
    <w:rsid w:val="429C3481"/>
    <w:rsid w:val="42AE426E"/>
    <w:rsid w:val="42F775E0"/>
    <w:rsid w:val="432934FC"/>
    <w:rsid w:val="433A3A5A"/>
    <w:rsid w:val="433B7B45"/>
    <w:rsid w:val="4346094B"/>
    <w:rsid w:val="43461DE8"/>
    <w:rsid w:val="43600284"/>
    <w:rsid w:val="43642BE7"/>
    <w:rsid w:val="43860D47"/>
    <w:rsid w:val="438F36C0"/>
    <w:rsid w:val="43943464"/>
    <w:rsid w:val="439D5CFD"/>
    <w:rsid w:val="442C26BD"/>
    <w:rsid w:val="44463ADF"/>
    <w:rsid w:val="447A4D50"/>
    <w:rsid w:val="44BA6EFA"/>
    <w:rsid w:val="44C70737"/>
    <w:rsid w:val="450862B9"/>
    <w:rsid w:val="452B429C"/>
    <w:rsid w:val="45442CA9"/>
    <w:rsid w:val="45525FCE"/>
    <w:rsid w:val="45AF7D25"/>
    <w:rsid w:val="45BA7421"/>
    <w:rsid w:val="45FA1F13"/>
    <w:rsid w:val="461036EB"/>
    <w:rsid w:val="4642740B"/>
    <w:rsid w:val="46603AD2"/>
    <w:rsid w:val="46621D09"/>
    <w:rsid w:val="466D2298"/>
    <w:rsid w:val="46896345"/>
    <w:rsid w:val="468F024E"/>
    <w:rsid w:val="46985A97"/>
    <w:rsid w:val="469F0A9E"/>
    <w:rsid w:val="46E23A2A"/>
    <w:rsid w:val="46E37CD8"/>
    <w:rsid w:val="47195F8F"/>
    <w:rsid w:val="47347438"/>
    <w:rsid w:val="475450F8"/>
    <w:rsid w:val="476C7959"/>
    <w:rsid w:val="4795557D"/>
    <w:rsid w:val="47A63299"/>
    <w:rsid w:val="47C737CE"/>
    <w:rsid w:val="4828256E"/>
    <w:rsid w:val="482E4477"/>
    <w:rsid w:val="48362D3C"/>
    <w:rsid w:val="48711FC6"/>
    <w:rsid w:val="487318F4"/>
    <w:rsid w:val="48E174F1"/>
    <w:rsid w:val="48F6071D"/>
    <w:rsid w:val="490E7AA5"/>
    <w:rsid w:val="494012EE"/>
    <w:rsid w:val="495C67D2"/>
    <w:rsid w:val="498948AA"/>
    <w:rsid w:val="49994D4E"/>
    <w:rsid w:val="49E04860"/>
    <w:rsid w:val="49F243DB"/>
    <w:rsid w:val="49FB156F"/>
    <w:rsid w:val="49FC5D5A"/>
    <w:rsid w:val="4A286E62"/>
    <w:rsid w:val="4A471230"/>
    <w:rsid w:val="4A780610"/>
    <w:rsid w:val="4A8E676D"/>
    <w:rsid w:val="4AC54194"/>
    <w:rsid w:val="4B0C433A"/>
    <w:rsid w:val="4B35476F"/>
    <w:rsid w:val="4B475260"/>
    <w:rsid w:val="4B5A07E8"/>
    <w:rsid w:val="4BA25344"/>
    <w:rsid w:val="4BDA4326"/>
    <w:rsid w:val="4BEB36BA"/>
    <w:rsid w:val="4BEF33B4"/>
    <w:rsid w:val="4C2F38A5"/>
    <w:rsid w:val="4C320988"/>
    <w:rsid w:val="4C331F8F"/>
    <w:rsid w:val="4C54044A"/>
    <w:rsid w:val="4C7306FC"/>
    <w:rsid w:val="4C7C5EF5"/>
    <w:rsid w:val="4CB57E51"/>
    <w:rsid w:val="4CEE0B24"/>
    <w:rsid w:val="4CF514BF"/>
    <w:rsid w:val="4D000C8D"/>
    <w:rsid w:val="4D0F7FFF"/>
    <w:rsid w:val="4D1717E9"/>
    <w:rsid w:val="4D287306"/>
    <w:rsid w:val="4D3B2BA3"/>
    <w:rsid w:val="4D9E3AFA"/>
    <w:rsid w:val="4DC12B9F"/>
    <w:rsid w:val="4E233D62"/>
    <w:rsid w:val="4E962786"/>
    <w:rsid w:val="4ECF2AD4"/>
    <w:rsid w:val="4F195165"/>
    <w:rsid w:val="4F273FBE"/>
    <w:rsid w:val="4F2C6C47"/>
    <w:rsid w:val="4F2F65F9"/>
    <w:rsid w:val="4F31194C"/>
    <w:rsid w:val="4F506DD9"/>
    <w:rsid w:val="4F602AB3"/>
    <w:rsid w:val="4F6C34E7"/>
    <w:rsid w:val="500D6ABF"/>
    <w:rsid w:val="501C315F"/>
    <w:rsid w:val="502B5150"/>
    <w:rsid w:val="506505B6"/>
    <w:rsid w:val="5082298F"/>
    <w:rsid w:val="508A631B"/>
    <w:rsid w:val="50A867A1"/>
    <w:rsid w:val="50C231AF"/>
    <w:rsid w:val="50C64E79"/>
    <w:rsid w:val="51121E6C"/>
    <w:rsid w:val="5145397C"/>
    <w:rsid w:val="51C714B0"/>
    <w:rsid w:val="52085A22"/>
    <w:rsid w:val="52242D7E"/>
    <w:rsid w:val="52255532"/>
    <w:rsid w:val="52545EA1"/>
    <w:rsid w:val="527313D2"/>
    <w:rsid w:val="52A5133D"/>
    <w:rsid w:val="52AE4A26"/>
    <w:rsid w:val="52BA6550"/>
    <w:rsid w:val="52C36E5D"/>
    <w:rsid w:val="52D518F2"/>
    <w:rsid w:val="52F413F9"/>
    <w:rsid w:val="53162A7A"/>
    <w:rsid w:val="53466052"/>
    <w:rsid w:val="53693E4A"/>
    <w:rsid w:val="5393682D"/>
    <w:rsid w:val="53BF72F1"/>
    <w:rsid w:val="53C77F81"/>
    <w:rsid w:val="54013AED"/>
    <w:rsid w:val="542D56BA"/>
    <w:rsid w:val="54405E87"/>
    <w:rsid w:val="545C37CE"/>
    <w:rsid w:val="548825BE"/>
    <w:rsid w:val="548E488F"/>
    <w:rsid w:val="54AC0E74"/>
    <w:rsid w:val="54C10E48"/>
    <w:rsid w:val="54F3048A"/>
    <w:rsid w:val="55024FEE"/>
    <w:rsid w:val="557B1FBF"/>
    <w:rsid w:val="55910872"/>
    <w:rsid w:val="55C8213D"/>
    <w:rsid w:val="55D97B52"/>
    <w:rsid w:val="5624334F"/>
    <w:rsid w:val="56890087"/>
    <w:rsid w:val="56941399"/>
    <w:rsid w:val="56FE35BF"/>
    <w:rsid w:val="5704401B"/>
    <w:rsid w:val="575F7ED8"/>
    <w:rsid w:val="580D12D8"/>
    <w:rsid w:val="580F0E14"/>
    <w:rsid w:val="58175C92"/>
    <w:rsid w:val="582E1C82"/>
    <w:rsid w:val="583A640D"/>
    <w:rsid w:val="5855257E"/>
    <w:rsid w:val="58650B29"/>
    <w:rsid w:val="58907EDA"/>
    <w:rsid w:val="59142B31"/>
    <w:rsid w:val="592A00D8"/>
    <w:rsid w:val="59594278"/>
    <w:rsid w:val="595B7AB0"/>
    <w:rsid w:val="596040BD"/>
    <w:rsid w:val="59965D30"/>
    <w:rsid w:val="59C832BE"/>
    <w:rsid w:val="5A3D2DC3"/>
    <w:rsid w:val="5A5F5106"/>
    <w:rsid w:val="5A6951E1"/>
    <w:rsid w:val="5A6F70EB"/>
    <w:rsid w:val="5A8C2C8F"/>
    <w:rsid w:val="5ACB5EC5"/>
    <w:rsid w:val="5ADD34EB"/>
    <w:rsid w:val="5AF54CD9"/>
    <w:rsid w:val="5B0A558E"/>
    <w:rsid w:val="5B327420"/>
    <w:rsid w:val="5B45438C"/>
    <w:rsid w:val="5B5B06A3"/>
    <w:rsid w:val="5BAB33C9"/>
    <w:rsid w:val="5BCB73A7"/>
    <w:rsid w:val="5BDB7642"/>
    <w:rsid w:val="5C000D60"/>
    <w:rsid w:val="5C0564B8"/>
    <w:rsid w:val="5C1C1980"/>
    <w:rsid w:val="5C2B06C5"/>
    <w:rsid w:val="5C4202EB"/>
    <w:rsid w:val="5C487FF6"/>
    <w:rsid w:val="5C751D60"/>
    <w:rsid w:val="5C7B2FBB"/>
    <w:rsid w:val="5C9003EA"/>
    <w:rsid w:val="5CAF45D9"/>
    <w:rsid w:val="5CB8263D"/>
    <w:rsid w:val="5D09221E"/>
    <w:rsid w:val="5D494E95"/>
    <w:rsid w:val="5D525F29"/>
    <w:rsid w:val="5D704AEA"/>
    <w:rsid w:val="5DB56F1E"/>
    <w:rsid w:val="5DC32AF4"/>
    <w:rsid w:val="5DEB6E57"/>
    <w:rsid w:val="5E565A8E"/>
    <w:rsid w:val="5E5A675C"/>
    <w:rsid w:val="5E5F0DE7"/>
    <w:rsid w:val="5E7A598C"/>
    <w:rsid w:val="5E9F7C10"/>
    <w:rsid w:val="5EA41431"/>
    <w:rsid w:val="5EAF73F9"/>
    <w:rsid w:val="5ED715A9"/>
    <w:rsid w:val="5F3673C4"/>
    <w:rsid w:val="5F3B0796"/>
    <w:rsid w:val="5F463DDB"/>
    <w:rsid w:val="5F4D6FE9"/>
    <w:rsid w:val="5F563F98"/>
    <w:rsid w:val="5FB33FD2"/>
    <w:rsid w:val="5FBE1B5B"/>
    <w:rsid w:val="600D4872"/>
    <w:rsid w:val="602F47E9"/>
    <w:rsid w:val="604B0B39"/>
    <w:rsid w:val="607C288E"/>
    <w:rsid w:val="60A26D69"/>
    <w:rsid w:val="60C95C15"/>
    <w:rsid w:val="60DC2E87"/>
    <w:rsid w:val="61334426"/>
    <w:rsid w:val="61351088"/>
    <w:rsid w:val="61E012F0"/>
    <w:rsid w:val="61E53D27"/>
    <w:rsid w:val="622C0E17"/>
    <w:rsid w:val="62605093"/>
    <w:rsid w:val="62695C01"/>
    <w:rsid w:val="62775FD3"/>
    <w:rsid w:val="627E3805"/>
    <w:rsid w:val="62805827"/>
    <w:rsid w:val="62EC6490"/>
    <w:rsid w:val="63743843"/>
    <w:rsid w:val="63D01E3F"/>
    <w:rsid w:val="63E43B3C"/>
    <w:rsid w:val="640E4535"/>
    <w:rsid w:val="643A375C"/>
    <w:rsid w:val="64466AD2"/>
    <w:rsid w:val="644D74F4"/>
    <w:rsid w:val="646F78AA"/>
    <w:rsid w:val="6482678D"/>
    <w:rsid w:val="64AA5237"/>
    <w:rsid w:val="65253FDA"/>
    <w:rsid w:val="65300472"/>
    <w:rsid w:val="65347A1E"/>
    <w:rsid w:val="65452F82"/>
    <w:rsid w:val="65546A82"/>
    <w:rsid w:val="6560518B"/>
    <w:rsid w:val="65A11F4C"/>
    <w:rsid w:val="65B221E6"/>
    <w:rsid w:val="65DA79A0"/>
    <w:rsid w:val="65DB0E2C"/>
    <w:rsid w:val="6632293D"/>
    <w:rsid w:val="664A365E"/>
    <w:rsid w:val="669D4225"/>
    <w:rsid w:val="66D47E98"/>
    <w:rsid w:val="672158C0"/>
    <w:rsid w:val="677B0314"/>
    <w:rsid w:val="677F6F74"/>
    <w:rsid w:val="67CA2A68"/>
    <w:rsid w:val="67DB2AF0"/>
    <w:rsid w:val="68A11FFC"/>
    <w:rsid w:val="693105D7"/>
    <w:rsid w:val="69386092"/>
    <w:rsid w:val="695119B2"/>
    <w:rsid w:val="69584DB0"/>
    <w:rsid w:val="69840267"/>
    <w:rsid w:val="69A407A8"/>
    <w:rsid w:val="69BF6BDD"/>
    <w:rsid w:val="69D31EB9"/>
    <w:rsid w:val="69D83EDA"/>
    <w:rsid w:val="6A192046"/>
    <w:rsid w:val="6A306175"/>
    <w:rsid w:val="6A526EE5"/>
    <w:rsid w:val="6AA560DB"/>
    <w:rsid w:val="6B0B1A2E"/>
    <w:rsid w:val="6B3B6738"/>
    <w:rsid w:val="6B5949F9"/>
    <w:rsid w:val="6B9D2F4E"/>
    <w:rsid w:val="6BA02A3F"/>
    <w:rsid w:val="6BA03046"/>
    <w:rsid w:val="6BC7249D"/>
    <w:rsid w:val="6BD04C6F"/>
    <w:rsid w:val="6BDC20C6"/>
    <w:rsid w:val="6BEB329A"/>
    <w:rsid w:val="6BF86C35"/>
    <w:rsid w:val="6C166F5C"/>
    <w:rsid w:val="6C1D5E3D"/>
    <w:rsid w:val="6C1E448D"/>
    <w:rsid w:val="6C783074"/>
    <w:rsid w:val="6C9500C9"/>
    <w:rsid w:val="6C9F05FC"/>
    <w:rsid w:val="6CCD7110"/>
    <w:rsid w:val="6CFA617E"/>
    <w:rsid w:val="6D2D0302"/>
    <w:rsid w:val="6D760823"/>
    <w:rsid w:val="6D806BB4"/>
    <w:rsid w:val="6D894A65"/>
    <w:rsid w:val="6DD50E85"/>
    <w:rsid w:val="6DDD3F44"/>
    <w:rsid w:val="6DF10A88"/>
    <w:rsid w:val="6DF47A72"/>
    <w:rsid w:val="6DF76D93"/>
    <w:rsid w:val="6E2E1E7D"/>
    <w:rsid w:val="6E671430"/>
    <w:rsid w:val="6E737672"/>
    <w:rsid w:val="6EA5282A"/>
    <w:rsid w:val="6EB04D47"/>
    <w:rsid w:val="6EC425A0"/>
    <w:rsid w:val="6EDD2A32"/>
    <w:rsid w:val="6F593630"/>
    <w:rsid w:val="6F620721"/>
    <w:rsid w:val="6F7076E4"/>
    <w:rsid w:val="6F9D176F"/>
    <w:rsid w:val="6FB04A89"/>
    <w:rsid w:val="6FCA78EF"/>
    <w:rsid w:val="6FE864B6"/>
    <w:rsid w:val="7040659E"/>
    <w:rsid w:val="704412F5"/>
    <w:rsid w:val="70CF2E0D"/>
    <w:rsid w:val="70F55BA8"/>
    <w:rsid w:val="70F57C3D"/>
    <w:rsid w:val="7148570A"/>
    <w:rsid w:val="714B6FA9"/>
    <w:rsid w:val="71551BD5"/>
    <w:rsid w:val="71606B8F"/>
    <w:rsid w:val="71785618"/>
    <w:rsid w:val="719173FA"/>
    <w:rsid w:val="71C63C72"/>
    <w:rsid w:val="71C965BE"/>
    <w:rsid w:val="727069B4"/>
    <w:rsid w:val="72AD133E"/>
    <w:rsid w:val="72F14A43"/>
    <w:rsid w:val="733E6754"/>
    <w:rsid w:val="734D525A"/>
    <w:rsid w:val="737D0B03"/>
    <w:rsid w:val="73BB0416"/>
    <w:rsid w:val="73D31E97"/>
    <w:rsid w:val="73E133AB"/>
    <w:rsid w:val="73E612C3"/>
    <w:rsid w:val="74674908"/>
    <w:rsid w:val="747D4685"/>
    <w:rsid w:val="74AF4CFD"/>
    <w:rsid w:val="7550560B"/>
    <w:rsid w:val="756845CD"/>
    <w:rsid w:val="757906F5"/>
    <w:rsid w:val="758E216C"/>
    <w:rsid w:val="762F1A8F"/>
    <w:rsid w:val="763A78B0"/>
    <w:rsid w:val="763C2FCD"/>
    <w:rsid w:val="7646191B"/>
    <w:rsid w:val="769E45BB"/>
    <w:rsid w:val="76D25BC0"/>
    <w:rsid w:val="77130569"/>
    <w:rsid w:val="77281135"/>
    <w:rsid w:val="77407237"/>
    <w:rsid w:val="7743475F"/>
    <w:rsid w:val="77503688"/>
    <w:rsid w:val="77F160D3"/>
    <w:rsid w:val="77F6629C"/>
    <w:rsid w:val="78212811"/>
    <w:rsid w:val="784D2C1B"/>
    <w:rsid w:val="78CC6C6A"/>
    <w:rsid w:val="79134850"/>
    <w:rsid w:val="791372BB"/>
    <w:rsid w:val="793D1D41"/>
    <w:rsid w:val="79B0623B"/>
    <w:rsid w:val="7A123748"/>
    <w:rsid w:val="7A2533FD"/>
    <w:rsid w:val="7A345D59"/>
    <w:rsid w:val="7A9E7923"/>
    <w:rsid w:val="7ADE32A3"/>
    <w:rsid w:val="7AEA32BE"/>
    <w:rsid w:val="7B2737E9"/>
    <w:rsid w:val="7B564EC8"/>
    <w:rsid w:val="7B5733E2"/>
    <w:rsid w:val="7B781151"/>
    <w:rsid w:val="7B9861E4"/>
    <w:rsid w:val="7BB613F1"/>
    <w:rsid w:val="7BC57958"/>
    <w:rsid w:val="7BDF0A19"/>
    <w:rsid w:val="7C047802"/>
    <w:rsid w:val="7C0A3603"/>
    <w:rsid w:val="7C0B180E"/>
    <w:rsid w:val="7C3A18F2"/>
    <w:rsid w:val="7C3F770A"/>
    <w:rsid w:val="7C60423E"/>
    <w:rsid w:val="7C741AA9"/>
    <w:rsid w:val="7C7554D3"/>
    <w:rsid w:val="7CA659DB"/>
    <w:rsid w:val="7CB67C2D"/>
    <w:rsid w:val="7D7A0E23"/>
    <w:rsid w:val="7DDE371C"/>
    <w:rsid w:val="7E245210"/>
    <w:rsid w:val="7E345FE1"/>
    <w:rsid w:val="7E3773C9"/>
    <w:rsid w:val="7E3B3A15"/>
    <w:rsid w:val="7E621509"/>
    <w:rsid w:val="7E7B38B3"/>
    <w:rsid w:val="7E9868C2"/>
    <w:rsid w:val="7F2A14D1"/>
    <w:rsid w:val="7F4852A7"/>
    <w:rsid w:val="7F614579"/>
    <w:rsid w:val="7F972282"/>
    <w:rsid w:val="7F9D1EA4"/>
    <w:rsid w:val="7FC505D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pPr>
    <w:rPr>
      <w:rFonts w:ascii="Times New Roman" w:hAnsi="Times New Roman" w:eastAsia="宋体" w:cs="Times New Roman"/>
      <w:kern w:val="2"/>
      <w:sz w:val="24"/>
      <w:szCs w:val="24"/>
      <w:lang w:val="en-US" w:eastAsia="zh-CN" w:bidi="ar-SA"/>
    </w:rPr>
  </w:style>
  <w:style w:type="paragraph" w:styleId="4">
    <w:name w:val="heading 1"/>
    <w:basedOn w:val="1"/>
    <w:next w:val="1"/>
    <w:link w:val="26"/>
    <w:qFormat/>
    <w:uiPriority w:val="0"/>
    <w:pPr>
      <w:keepNext/>
      <w:numPr>
        <w:ilvl w:val="0"/>
        <w:numId w:val="1"/>
      </w:numPr>
      <w:spacing w:beforeLines="100" w:afterLines="50"/>
      <w:outlineLvl w:val="0"/>
    </w:pPr>
    <w:rPr>
      <w:rFonts w:ascii="宋体" w:hAnsi="宋体"/>
      <w:b/>
      <w:bCs/>
      <w:kern w:val="24"/>
      <w:sz w:val="30"/>
      <w:u w:color="000000"/>
    </w:rPr>
  </w:style>
  <w:style w:type="paragraph" w:styleId="5">
    <w:name w:val="heading 2"/>
    <w:basedOn w:val="1"/>
    <w:next w:val="6"/>
    <w:qFormat/>
    <w:uiPriority w:val="0"/>
    <w:pPr>
      <w:keepNext/>
      <w:keepLines/>
      <w:spacing w:before="260" w:beforeLines="0" w:after="260" w:afterLines="0" w:line="416" w:lineRule="auto"/>
      <w:outlineLvl w:val="1"/>
    </w:pPr>
    <w:rPr>
      <w:rFonts w:ascii="Cambria" w:hAnsi="Cambria"/>
      <w:b/>
      <w:bCs/>
      <w:sz w:val="30"/>
      <w:szCs w:val="32"/>
    </w:rPr>
  </w:style>
  <w:style w:type="paragraph" w:styleId="7">
    <w:name w:val="heading 3"/>
    <w:basedOn w:val="1"/>
    <w:next w:val="1"/>
    <w:semiHidden/>
    <w:unhideWhenUsed/>
    <w:qFormat/>
    <w:uiPriority w:val="9"/>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rPr>
      <w:kern w:val="0"/>
      <w:sz w:val="20"/>
    </w:rPr>
  </w:style>
  <w:style w:type="paragraph" w:styleId="3">
    <w:name w:val="Title"/>
    <w:basedOn w:val="1"/>
    <w:next w:val="1"/>
    <w:qFormat/>
    <w:uiPriority w:val="0"/>
    <w:pPr>
      <w:spacing w:before="240" w:after="60"/>
      <w:jc w:val="center"/>
      <w:outlineLvl w:val="0"/>
    </w:pPr>
    <w:rPr>
      <w:rFonts w:ascii="Cambria" w:hAnsi="Cambria"/>
      <w:b/>
      <w:bCs/>
      <w:sz w:val="32"/>
      <w:szCs w:val="32"/>
    </w:rPr>
  </w:style>
  <w:style w:type="paragraph" w:styleId="6">
    <w:name w:val="Normal Indent"/>
    <w:basedOn w:val="1"/>
    <w:unhideWhenUsed/>
    <w:qFormat/>
    <w:uiPriority w:val="0"/>
    <w:pPr>
      <w:ind w:firstLine="420" w:firstLineChars="200"/>
    </w:pPr>
  </w:style>
  <w:style w:type="paragraph" w:styleId="8">
    <w:name w:val="caption"/>
    <w:basedOn w:val="1"/>
    <w:next w:val="1"/>
    <w:unhideWhenUsed/>
    <w:qFormat/>
    <w:uiPriority w:val="35"/>
    <w:rPr>
      <w:rFonts w:eastAsia="黑体" w:asciiTheme="majorHAnsi" w:hAnsiTheme="majorHAnsi" w:cstheme="majorBidi"/>
      <w:sz w:val="20"/>
      <w:szCs w:val="20"/>
    </w:rPr>
  </w:style>
  <w:style w:type="paragraph" w:styleId="9">
    <w:name w:val="Document Map"/>
    <w:basedOn w:val="1"/>
    <w:qFormat/>
    <w:uiPriority w:val="0"/>
    <w:pPr>
      <w:shd w:val="clear" w:color="auto" w:fill="000080"/>
    </w:pPr>
  </w:style>
  <w:style w:type="paragraph" w:styleId="10">
    <w:name w:val="annotation text"/>
    <w:basedOn w:val="1"/>
    <w:link w:val="28"/>
    <w:qFormat/>
    <w:uiPriority w:val="0"/>
  </w:style>
  <w:style w:type="paragraph" w:styleId="11">
    <w:name w:val="Plain Text"/>
    <w:basedOn w:val="1"/>
    <w:qFormat/>
    <w:uiPriority w:val="99"/>
    <w:rPr>
      <w:rFonts w:ascii="宋体" w:hAnsi="Courier New" w:cs="Courier New"/>
      <w:szCs w:val="21"/>
    </w:rPr>
  </w:style>
  <w:style w:type="paragraph" w:styleId="12">
    <w:name w:val="Balloon Text"/>
    <w:basedOn w:val="1"/>
    <w:link w:val="29"/>
    <w:qFormat/>
    <w:uiPriority w:val="0"/>
    <w:rPr>
      <w:sz w:val="18"/>
      <w:szCs w:val="18"/>
    </w:rPr>
  </w:style>
  <w:style w:type="paragraph" w:styleId="13">
    <w:name w:val="footer"/>
    <w:basedOn w:val="1"/>
    <w:link w:val="25"/>
    <w:qFormat/>
    <w:uiPriority w:val="0"/>
    <w:pPr>
      <w:tabs>
        <w:tab w:val="center" w:pos="4153"/>
        <w:tab w:val="right" w:pos="8306"/>
      </w:tabs>
      <w:snapToGrid w:val="0"/>
    </w:pPr>
    <w:rPr>
      <w:sz w:val="18"/>
    </w:rPr>
  </w:style>
  <w:style w:type="paragraph" w:styleId="14">
    <w:name w:val="header"/>
    <w:basedOn w:val="1"/>
    <w:link w:val="27"/>
    <w:qFormat/>
    <w:uiPriority w:val="0"/>
    <w:pPr>
      <w:pBdr>
        <w:bottom w:val="single" w:color="auto" w:sz="6" w:space="1"/>
      </w:pBdr>
      <w:tabs>
        <w:tab w:val="center" w:pos="4153"/>
        <w:tab w:val="right" w:pos="8306"/>
      </w:tabs>
      <w:snapToGrid w:val="0"/>
      <w:jc w:val="center"/>
    </w:pPr>
    <w:rPr>
      <w:sz w:val="18"/>
      <w:szCs w:val="18"/>
    </w:rPr>
  </w:style>
  <w:style w:type="paragraph" w:styleId="15">
    <w:name w:val="toc 1"/>
    <w:basedOn w:val="1"/>
    <w:next w:val="1"/>
    <w:unhideWhenUsed/>
    <w:qFormat/>
    <w:uiPriority w:val="39"/>
    <w:pPr>
      <w:spacing w:line="240" w:lineRule="auto"/>
      <w:ind w:firstLine="0" w:firstLineChars="0"/>
    </w:pPr>
    <w:rPr>
      <w:sz w:val="21"/>
    </w:rPr>
  </w:style>
  <w:style w:type="paragraph" w:styleId="16">
    <w:name w:val="toc 2"/>
    <w:basedOn w:val="1"/>
    <w:next w:val="1"/>
    <w:unhideWhenUsed/>
    <w:qFormat/>
    <w:uiPriority w:val="39"/>
    <w:pPr>
      <w:widowControl/>
      <w:spacing w:after="100" w:line="259" w:lineRule="auto"/>
      <w:ind w:left="220"/>
    </w:pPr>
    <w:rPr>
      <w:kern w:val="0"/>
      <w:sz w:val="22"/>
    </w:rPr>
  </w:style>
  <w:style w:type="paragraph" w:styleId="17">
    <w:name w:val="annotation subject"/>
    <w:basedOn w:val="10"/>
    <w:next w:val="10"/>
    <w:link w:val="30"/>
    <w:qFormat/>
    <w:uiPriority w:val="0"/>
    <w:rPr>
      <w:b/>
      <w:bCs/>
    </w:rPr>
  </w:style>
  <w:style w:type="table" w:styleId="19">
    <w:name w:val="Table Grid"/>
    <w:basedOn w:val="1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22"/>
    <w:rPr>
      <w:b/>
    </w:rPr>
  </w:style>
  <w:style w:type="character" w:styleId="22">
    <w:name w:val="page number"/>
    <w:semiHidden/>
    <w:qFormat/>
    <w:uiPriority w:val="0"/>
  </w:style>
  <w:style w:type="character" w:styleId="23">
    <w:name w:val="Hyperlink"/>
    <w:qFormat/>
    <w:uiPriority w:val="99"/>
    <w:rPr>
      <w:color w:val="0000FF"/>
      <w:u w:val="single"/>
    </w:rPr>
  </w:style>
  <w:style w:type="character" w:styleId="24">
    <w:name w:val="annotation reference"/>
    <w:qFormat/>
    <w:uiPriority w:val="0"/>
    <w:rPr>
      <w:sz w:val="21"/>
      <w:szCs w:val="21"/>
    </w:rPr>
  </w:style>
  <w:style w:type="character" w:customStyle="1" w:styleId="25">
    <w:name w:val="页脚 字符"/>
    <w:link w:val="13"/>
    <w:qFormat/>
    <w:uiPriority w:val="0"/>
    <w:rPr>
      <w:rFonts w:ascii="Times New Roman" w:hAnsi="Times New Roman" w:eastAsia="宋体" w:cs="Times New Roman"/>
      <w:sz w:val="18"/>
      <w:szCs w:val="24"/>
    </w:rPr>
  </w:style>
  <w:style w:type="character" w:customStyle="1" w:styleId="26">
    <w:name w:val="标题 1 字符"/>
    <w:link w:val="4"/>
    <w:qFormat/>
    <w:uiPriority w:val="0"/>
    <w:rPr>
      <w:rFonts w:ascii="宋体" w:hAnsi="宋体"/>
      <w:b/>
      <w:bCs/>
      <w:kern w:val="24"/>
      <w:sz w:val="30"/>
      <w:szCs w:val="24"/>
      <w:u w:color="000000"/>
    </w:rPr>
  </w:style>
  <w:style w:type="character" w:customStyle="1" w:styleId="27">
    <w:name w:val="页眉 字符"/>
    <w:link w:val="14"/>
    <w:qFormat/>
    <w:uiPriority w:val="0"/>
    <w:rPr>
      <w:rFonts w:ascii="Times New Roman" w:hAnsi="Times New Roman" w:eastAsia="宋体" w:cs="Times New Roman"/>
      <w:sz w:val="18"/>
      <w:szCs w:val="18"/>
    </w:rPr>
  </w:style>
  <w:style w:type="character" w:customStyle="1" w:styleId="28">
    <w:name w:val="批注文字 字符"/>
    <w:link w:val="10"/>
    <w:qFormat/>
    <w:uiPriority w:val="0"/>
    <w:rPr>
      <w:rFonts w:ascii="Times New Roman" w:hAnsi="Times New Roman"/>
      <w:kern w:val="2"/>
      <w:sz w:val="21"/>
      <w:szCs w:val="24"/>
    </w:rPr>
  </w:style>
  <w:style w:type="character" w:customStyle="1" w:styleId="29">
    <w:name w:val="批注框文本 字符"/>
    <w:link w:val="12"/>
    <w:qFormat/>
    <w:uiPriority w:val="0"/>
    <w:rPr>
      <w:rFonts w:ascii="Times New Roman" w:hAnsi="Times New Roman"/>
      <w:kern w:val="2"/>
      <w:sz w:val="18"/>
      <w:szCs w:val="18"/>
    </w:rPr>
  </w:style>
  <w:style w:type="character" w:customStyle="1" w:styleId="30">
    <w:name w:val="批注主题 字符"/>
    <w:link w:val="17"/>
    <w:qFormat/>
    <w:uiPriority w:val="0"/>
    <w:rPr>
      <w:rFonts w:ascii="Times New Roman" w:hAnsi="Times New Roman"/>
      <w:b/>
      <w:bCs/>
      <w:kern w:val="2"/>
      <w:sz w:val="21"/>
      <w:szCs w:val="24"/>
    </w:rPr>
  </w:style>
  <w:style w:type="paragraph" w:customStyle="1" w:styleId="31">
    <w:name w:val="修订1"/>
    <w:qFormat/>
    <w:uiPriority w:val="0"/>
    <w:rPr>
      <w:rFonts w:ascii="Times New Roman" w:hAnsi="Times New Roman" w:eastAsia="宋体" w:cs="Times New Roman"/>
      <w:kern w:val="2"/>
      <w:sz w:val="21"/>
      <w:szCs w:val="24"/>
      <w:lang w:val="en-US" w:eastAsia="zh-CN" w:bidi="ar-SA"/>
    </w:rPr>
  </w:style>
  <w:style w:type="paragraph" w:customStyle="1" w:styleId="32">
    <w:name w:val="ZHR标题2"/>
    <w:qFormat/>
    <w:uiPriority w:val="0"/>
    <w:pPr>
      <w:spacing w:beforeLines="50" w:afterLines="50" w:line="360" w:lineRule="auto"/>
      <w:outlineLvl w:val="1"/>
    </w:pPr>
    <w:rPr>
      <w:rFonts w:ascii="Times New Roman" w:hAnsi="Times New Roman" w:eastAsia="宋体" w:cs="Times New Roman"/>
      <w:b/>
      <w:kern w:val="2"/>
      <w:sz w:val="24"/>
      <w:szCs w:val="24"/>
      <w:lang w:val="en-US" w:eastAsia="zh-CN" w:bidi="ar-SA"/>
    </w:rPr>
  </w:style>
  <w:style w:type="paragraph" w:customStyle="1" w:styleId="33">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4">
    <w:name w:val="修订2"/>
    <w:hidden/>
    <w:unhideWhenUsed/>
    <w:qFormat/>
    <w:uiPriority w:val="99"/>
    <w:rPr>
      <w:rFonts w:ascii="Times New Roman" w:hAnsi="Times New Roman" w:eastAsia="宋体" w:cs="Times New Roman"/>
      <w:kern w:val="2"/>
      <w:sz w:val="24"/>
      <w:szCs w:val="24"/>
      <w:lang w:val="en-US" w:eastAsia="zh-CN" w:bidi="ar-SA"/>
    </w:rPr>
  </w:style>
  <w:style w:type="paragraph" w:customStyle="1" w:styleId="35">
    <w:name w:val="WPSOffice手动目录 1"/>
    <w:qFormat/>
    <w:uiPriority w:val="0"/>
    <w:rPr>
      <w:rFonts w:ascii="Times New Roman" w:hAnsi="Times New Roman" w:eastAsia="宋体" w:cs="Times New Roman"/>
      <w:lang w:val="en-US" w:eastAsia="zh-CN" w:bidi="ar-SA"/>
    </w:rPr>
  </w:style>
  <w:style w:type="paragraph" w:customStyle="1" w:styleId="36">
    <w:name w:val="Revision"/>
    <w:hidden/>
    <w:unhideWhenUsed/>
    <w:qFormat/>
    <w:uiPriority w:val="99"/>
    <w:rPr>
      <w:rFonts w:ascii="Times New Roman" w:hAnsi="Times New Roman" w:eastAsia="宋体" w:cs="Times New Roman"/>
      <w:kern w:val="2"/>
      <w:sz w:val="24"/>
      <w:szCs w:val="24"/>
      <w:lang w:val="en-US" w:eastAsia="zh-CN" w:bidi="ar-SA"/>
    </w:rPr>
  </w:style>
  <w:style w:type="paragraph" w:customStyle="1" w:styleId="37">
    <w:name w:val="段"/>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38">
    <w:name w:val="首行缩进"/>
    <w:basedOn w:val="1"/>
    <w:qFormat/>
    <w:uiPriority w:val="0"/>
    <w:pPr>
      <w:spacing w:line="300" w:lineRule="auto"/>
      <w:ind w:firstLine="420" w:firstLineChars="200"/>
    </w:pPr>
    <w:rPr>
      <w:rFonts w:eastAsia="方正书宋简体" w:cs="宋体"/>
      <w:kern w:val="2"/>
      <w:sz w:val="21"/>
      <w:lang w:val="en-US" w:eastAsia="zh-CN" w:bidi="ar-SA"/>
    </w:rPr>
  </w:style>
  <w:style w:type="paragraph" w:customStyle="1" w:styleId="39">
    <w:name w:val="正文首先缩进"/>
    <w:basedOn w:val="1"/>
    <w:qFormat/>
    <w:uiPriority w:val="0"/>
    <w:pPr>
      <w:spacing w:line="360" w:lineRule="auto"/>
      <w:ind w:firstLine="420" w:firstLineChars="200"/>
    </w:pPr>
  </w:style>
  <w:style w:type="paragraph" w:customStyle="1" w:styleId="40">
    <w:name w:val="Bg"/>
    <w:basedOn w:val="1"/>
    <w:qFormat/>
    <w:uiPriority w:val="0"/>
    <w:pPr>
      <w:topLinePunct/>
      <w:snapToGrid w:val="0"/>
      <w:spacing w:before="60" w:after="60"/>
      <w:contextualSpacing/>
      <w:jc w:val="center"/>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customXml" Target="../customXml/item1.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7.xml"/><Relationship Id="rId17" Type="http://schemas.openxmlformats.org/officeDocument/2006/relationships/header" Target="header7.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EB3E7A-6C58-421D-A3C7-862D2BF5EF1F}">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11</Pages>
  <Words>5324</Words>
  <Characters>5603</Characters>
  <Lines>128</Lines>
  <Paragraphs>114</Paragraphs>
  <TotalTime>3</TotalTime>
  <ScaleCrop>false</ScaleCrop>
  <LinksUpToDate>false</LinksUpToDate>
  <CharactersWithSpaces>5640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2025-03-19T16:10:00Z</dcterms:created>
  <dc:creator>Chen Xiangyu</dc:creator>
  <cp:lastModifiedBy>大春。</cp:lastModifiedBy>
  <cp:lastPrinted>2025-03-06T07:48:00Z</cp:lastPrinted>
  <dcterms:modified xsi:type="dcterms:W3CDTF">2026-06-25T01:52:33Z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FC23943281034425B39BA16B1270832C</vt:lpwstr>
  </property>
  <property fmtid="{D5CDD505-2E9C-101B-9397-08002B2CF9AE}" pid="4" name="KSOTemplateDocerSaveRecord">
    <vt:lpwstr>eyJoZGlkIjoiOWUwOWY1OThjOTBmY2I1M2U5OGEyOWE4OWU3MTI0MDIiLCJ1c2VySWQiOiI0NzA4MDYwMjIifQ==</vt:lpwstr>
  </property>
</Properties>
</file>