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rPr>
      </w:pPr>
      <w:bookmarkStart w:id="0" w:name="_Toc309593186"/>
      <w:bookmarkStart w:id="1" w:name="_Toc307577976"/>
      <w:bookmarkStart w:id="2" w:name="_Toc309593257"/>
      <w:bookmarkStart w:id="3" w:name="_Toc309805581"/>
    </w:p>
    <w:p>
      <w:pPr>
        <w:tabs>
          <w:tab w:val="left" w:pos="0"/>
        </w:tabs>
        <w:ind w:firstLine="1044"/>
        <w:jc w:val="center"/>
        <w:rPr>
          <w:rFonts w:ascii="仿宋_GB2312"/>
          <w:sz w:val="44"/>
        </w:rPr>
      </w:pPr>
    </w:p>
    <w:p>
      <w:pPr>
        <w:tabs>
          <w:tab w:val="left" w:pos="0"/>
        </w:tabs>
        <w:ind w:firstLine="964"/>
        <w:jc w:val="center"/>
        <w:rPr>
          <w:rFonts w:hint="eastAsia" w:ascii="宋体" w:hAnsi="宋体"/>
          <w:b/>
          <w:sz w:val="48"/>
          <w:szCs w:val="48"/>
        </w:rPr>
      </w:pPr>
    </w:p>
    <w:p>
      <w:pPr>
        <w:tabs>
          <w:tab w:val="left" w:pos="0"/>
        </w:tabs>
        <w:ind w:firstLine="964"/>
        <w:jc w:val="center"/>
        <w:rPr>
          <w:rFonts w:hint="eastAsia" w:ascii="宋体" w:hAnsi="宋体"/>
          <w:b/>
          <w:sz w:val="48"/>
          <w:szCs w:val="48"/>
        </w:rPr>
      </w:pPr>
    </w:p>
    <w:p>
      <w:pPr>
        <w:tabs>
          <w:tab w:val="left" w:pos="0"/>
        </w:tabs>
        <w:spacing w:line="240" w:lineRule="auto"/>
        <w:ind w:firstLine="964"/>
        <w:jc w:val="center"/>
        <w:rPr>
          <w:rFonts w:hint="eastAsia" w:ascii="宋体" w:hAnsi="宋体"/>
          <w:b/>
          <w:sz w:val="48"/>
          <w:szCs w:val="48"/>
        </w:rPr>
      </w:pPr>
    </w:p>
    <w:p>
      <w:pPr>
        <w:adjustRightInd w:val="0"/>
        <w:snapToGrid w:val="0"/>
        <w:ind w:firstLine="0" w:firstLineChars="0"/>
        <w:jc w:val="center"/>
        <w:rPr>
          <w:rFonts w:ascii="Calibri" w:hAnsi="Calibri" w:eastAsia="黑体"/>
          <w:b/>
          <w:sz w:val="52"/>
        </w:rPr>
      </w:pPr>
      <w:r>
        <w:rPr>
          <w:rFonts w:hint="eastAsia" w:ascii="Calibri" w:hAnsi="Calibri" w:eastAsia="黑体"/>
          <w:b/>
          <w:sz w:val="52"/>
          <w:lang w:val="en-US" w:eastAsia="zh-CN"/>
        </w:rPr>
        <w:t>南网超高压公司百色局2026年职创项目（基于多摄像头阵列与边缘AI的便携式全景智能监控装置）技术规范书</w:t>
      </w:r>
    </w:p>
    <w:p>
      <w:pPr>
        <w:ind w:firstLine="600"/>
        <w:rPr>
          <w:sz w:val="30"/>
          <w:szCs w:val="30"/>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pPr>
        <w:pStyle w:val="6"/>
        <w:rPr>
          <w:sz w:val="28"/>
          <w:szCs w:val="36"/>
        </w:rPr>
      </w:pPr>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bookmarkStart w:id="4" w:name="_Toc30053"/>
      <w:bookmarkStart w:id="5" w:name="_Toc218675718"/>
      <w:bookmarkStart w:id="6" w:name="_Toc19998"/>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0" w:firstLineChars="0"/>
        <w:jc w:val="center"/>
        <w:rPr>
          <w:rFonts w:hint="eastAsia" w:hAnsi="宋体"/>
          <w:b/>
          <w:spacing w:val="100"/>
          <w:sz w:val="32"/>
          <w:szCs w:val="30"/>
        </w:rPr>
      </w:pPr>
    </w:p>
    <w:p>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TOC \o "1-1" \h \u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_Toc9520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1.总则</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_Toc9520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_Toc5588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2.应遵循的主要标准</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_Toc5588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_Toc16474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3.使用条件</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_Toc16474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3</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_Toc27043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4.制作原则</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_Toc27043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4</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_Toc22696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5.技术服务内容及方式</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_Toc22696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5</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_Toc23208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6.对投标方的要求</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_Toc23208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9</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_Toc30826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7.售后服务及其它服务要求</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_Toc30826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11</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_Toc16657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8.对投标技术文件的要求</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_Toc16657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12</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pP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pPr>
        <w:pStyle w:val="4"/>
        <w:numPr>
          <w:ilvl w:val="255"/>
          <w:numId w:val="0"/>
        </w:numPr>
        <w:spacing w:before="312" w:after="156"/>
        <w:rPr>
          <w:rFonts w:hint="eastAsia" w:ascii="宋体" w:hAnsi="宋体" w:eastAsia="宋体" w:cs="Times New Roman"/>
        </w:rPr>
      </w:pPr>
      <w:bookmarkStart w:id="7" w:name="_Toc5872"/>
      <w:bookmarkStart w:id="8" w:name="_Toc9520"/>
      <w:bookmarkStart w:id="9" w:name="_Toc28984"/>
      <w:r>
        <w:rPr>
          <w:rFonts w:hint="eastAsia" w:ascii="宋体" w:hAnsi="宋体" w:eastAsia="宋体" w:cs="Times New Roman"/>
        </w:rPr>
        <w:t>1.</w:t>
      </w:r>
      <w:r>
        <w:rPr>
          <w:rFonts w:ascii="宋体" w:hAnsi="宋体" w:eastAsia="宋体" w:cs="Times New Roman"/>
        </w:rPr>
        <w:t>总则</w:t>
      </w:r>
      <w:bookmarkEnd w:id="7"/>
      <w:bookmarkEnd w:id="8"/>
      <w:bookmarkEnd w:id="9"/>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w:t>
      </w:r>
      <w:r>
        <w:rPr>
          <w:rFonts w:hint="eastAsia" w:ascii="宋体" w:hAnsi="宋体" w:cs="宋体"/>
          <w:lang w:val="en-US" w:eastAsia="zh-CN"/>
        </w:rPr>
        <w:t>（基于多摄像头阵列与边缘AI的便携式全景智能监控装置）</w:t>
      </w:r>
      <w:r>
        <w:rPr>
          <w:rFonts w:hint="eastAsia" w:ascii="宋体" w:hAnsi="宋体" w:eastAsia="宋体" w:cs="宋体"/>
          <w:lang w:val="en-US" w:eastAsia="zh-CN"/>
        </w:rPr>
        <w:t>》，提出了项目的技术内容、工期进度等要求，投标方应针对自身特点，根据本技术规范书所描述的具体要求，提供完整的解决方案。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pPr>
        <w:pStyle w:val="4"/>
        <w:numPr>
          <w:ilvl w:val="255"/>
          <w:numId w:val="0"/>
        </w:numPr>
        <w:spacing w:before="312" w:after="156"/>
        <w:rPr>
          <w:rFonts w:hint="eastAsia" w:ascii="宋体" w:hAnsi="宋体" w:eastAsia="宋体" w:cs="Times New Roman"/>
        </w:rPr>
      </w:pPr>
      <w:bookmarkStart w:id="11" w:name="_Toc5588"/>
      <w:bookmarkStart w:id="12" w:name="_Toc2740"/>
      <w:r>
        <w:rPr>
          <w:rFonts w:hint="eastAsia" w:ascii="宋体" w:hAnsi="宋体" w:eastAsia="宋体" w:cs="Times New Roman"/>
        </w:rPr>
        <w:t>2.应遵循的主要标准</w:t>
      </w:r>
      <w:bookmarkEnd w:id="10"/>
      <w:bookmarkEnd w:id="11"/>
      <w:bookmarkEnd w:id="12"/>
    </w:p>
    <w:bookmarkEnd w:id="0"/>
    <w:bookmarkEnd w:id="1"/>
    <w:bookmarkEnd w:id="2"/>
    <w:bookmarkEnd w:id="3"/>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本项目实施过程中所应用到的各种标准，由投标方推荐，经招标方确认后由投标方提供并在项目中使用。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推荐使用但不限于以下标准：</w:t>
      </w:r>
    </w:p>
    <w:tbl>
      <w:tblPr>
        <w:tblStyle w:val="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33"/>
        <w:gridCol w:w="5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标准号</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eastAsia" w:ascii="Times New Roman"/>
                <w:szCs w:val="21"/>
                <w:lang w:val="en-US" w:eastAsia="zh-CN"/>
              </w:rPr>
              <w:t>GB/T 28181-2022</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default" w:ascii="Times New Roman"/>
                <w:szCs w:val="21"/>
                <w:lang w:val="en-US" w:eastAsia="zh-CN"/>
              </w:rPr>
              <w:t>公共安全视频监控联网系统信息传输、交换、控制技术要求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rPr>
                <w:rFonts w:hint="eastAsia" w:ascii="Times New Roman"/>
                <w:szCs w:val="21"/>
                <w:lang w:val="en-US" w:eastAsia="zh-CN"/>
              </w:rPr>
            </w:pPr>
            <w:r>
              <w:rPr>
                <w:rFonts w:hint="eastAsia" w:ascii="Times New Roman"/>
                <w:szCs w:val="21"/>
                <w:lang w:val="en-US" w:eastAsia="zh-CN"/>
              </w:rPr>
              <w:t>GB/T 35789.1-2017</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default" w:ascii="Times New Roman"/>
                <w:szCs w:val="21"/>
                <w:lang w:val="en-US" w:eastAsia="zh-CN"/>
              </w:rPr>
              <w:t>信息安全技术 执法记录仪通用安全规范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rPr>
                <w:rFonts w:hint="eastAsia" w:ascii="Times New Roman"/>
                <w:szCs w:val="21"/>
                <w:lang w:val="en-US" w:eastAsia="zh-CN"/>
              </w:rPr>
            </w:pPr>
            <w:r>
              <w:rPr>
                <w:rFonts w:hint="eastAsia" w:ascii="Times New Roman"/>
                <w:szCs w:val="21"/>
                <w:lang w:val="en-US" w:eastAsia="zh-CN"/>
              </w:rPr>
              <w:t>GB/T 38637.1-2020</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default" w:ascii="Times New Roman"/>
                <w:szCs w:val="21"/>
                <w:lang w:val="en-US" w:eastAsia="zh-CN"/>
              </w:rPr>
              <w:t>信息安全技术 移动智能终端安全技术要求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rPr>
                <w:rFonts w:hint="eastAsia" w:ascii="Times New Roman"/>
                <w:szCs w:val="21"/>
                <w:lang w:val="en-US" w:eastAsia="zh-CN"/>
              </w:rPr>
            </w:pPr>
            <w:r>
              <w:rPr>
                <w:rFonts w:hint="eastAsia" w:ascii="Times New Roman"/>
                <w:szCs w:val="21"/>
                <w:lang w:val="en-US" w:eastAsia="zh-CN"/>
              </w:rPr>
              <w:t>GB/T 35273-2020</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default" w:ascii="Times New Roman"/>
                <w:szCs w:val="21"/>
                <w:lang w:val="en-US" w:eastAsia="zh-CN"/>
              </w:rPr>
              <w:t>信息安全技术 个人信息安全规范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default" w:ascii="Times New Roman"/>
                <w:szCs w:val="21"/>
                <w:lang w:val="en-US" w:eastAsia="zh-CN"/>
              </w:rPr>
              <w:t>GA/T 1081-2013</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ascii="Source Han Sans CN" w:hAnsi="Source Han Sans CN" w:eastAsia="Source Han Sans CN" w:cs="Source Han Sans CN"/>
                <w:i w:val="0"/>
                <w:iCs w:val="0"/>
                <w:caps w:val="0"/>
                <w:color w:val="333333"/>
                <w:spacing w:val="2"/>
                <w:sz w:val="21"/>
                <w:szCs w:val="21"/>
                <w:shd w:val="clear" w:fill="FFFFFF"/>
              </w:rPr>
              <w:t>执法记录仪接口及数据交换规范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default" w:ascii="Times New Roman"/>
                <w:szCs w:val="21"/>
                <w:lang w:val="en-US" w:eastAsia="zh-CN"/>
              </w:rPr>
              <w:t>GA/T 1028-2013</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rPr>
                <w:rFonts w:ascii="Source Han Sans CN" w:hAnsi="Source Han Sans CN" w:eastAsia="Source Han Sans CN" w:cs="Source Han Sans CN"/>
                <w:i w:val="0"/>
                <w:iCs w:val="0"/>
                <w:caps w:val="0"/>
                <w:color w:val="333333"/>
                <w:spacing w:val="2"/>
                <w:sz w:val="21"/>
                <w:szCs w:val="21"/>
                <w:shd w:val="clear" w:fill="FFFFFF"/>
              </w:rPr>
            </w:pPr>
            <w:r>
              <w:rPr>
                <w:rFonts w:ascii="Source Han Sans CN" w:hAnsi="Source Han Sans CN" w:eastAsia="Source Han Sans CN" w:cs="Source Han Sans CN"/>
                <w:i w:val="0"/>
                <w:iCs w:val="0"/>
                <w:caps w:val="0"/>
                <w:color w:val="333333"/>
                <w:spacing w:val="2"/>
                <w:sz w:val="21"/>
                <w:szCs w:val="21"/>
                <w:shd w:val="clear" w:fill="FFFFFF"/>
              </w:rPr>
              <w:t>执法记录仪专用充电底座通用技术要求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default" w:ascii="Times New Roman"/>
                <w:szCs w:val="21"/>
                <w:lang w:val="en-US" w:eastAsia="zh-CN"/>
              </w:rPr>
              <w:t>GA/T 1082-2013</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rPr>
                <w:rFonts w:ascii="Source Han Sans CN" w:hAnsi="Source Han Sans CN" w:eastAsia="Source Han Sans CN" w:cs="Source Han Sans CN"/>
                <w:i w:val="0"/>
                <w:iCs w:val="0"/>
                <w:caps w:val="0"/>
                <w:color w:val="333333"/>
                <w:spacing w:val="2"/>
                <w:sz w:val="21"/>
                <w:szCs w:val="21"/>
                <w:shd w:val="clear" w:fill="FFFFFF"/>
              </w:rPr>
            </w:pPr>
            <w:r>
              <w:rPr>
                <w:rFonts w:ascii="Source Han Sans CN" w:hAnsi="Source Han Sans CN" w:eastAsia="Source Han Sans CN" w:cs="Source Han Sans CN"/>
                <w:i w:val="0"/>
                <w:iCs w:val="0"/>
                <w:caps w:val="0"/>
                <w:color w:val="333333"/>
                <w:spacing w:val="2"/>
                <w:sz w:val="21"/>
                <w:szCs w:val="21"/>
                <w:shd w:val="clear" w:fill="FFFFFF"/>
              </w:rPr>
              <w:t>执法记录仪专用车载支架通用技术要求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default" w:ascii="Times New Roman"/>
                <w:szCs w:val="21"/>
                <w:lang w:val="en-US" w:eastAsia="zh-CN"/>
              </w:rPr>
              <w:t>GA/T 1159-2014</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rPr>
                <w:rFonts w:ascii="Source Han Sans CN" w:hAnsi="Source Han Sans CN" w:eastAsia="Source Han Sans CN" w:cs="Source Han Sans CN"/>
                <w:i w:val="0"/>
                <w:iCs w:val="0"/>
                <w:caps w:val="0"/>
                <w:color w:val="333333"/>
                <w:spacing w:val="2"/>
                <w:sz w:val="21"/>
                <w:szCs w:val="21"/>
                <w:shd w:val="clear" w:fill="FFFFFF"/>
              </w:rPr>
            </w:pPr>
            <w:r>
              <w:rPr>
                <w:rFonts w:ascii="Source Han Sans CN" w:hAnsi="Source Han Sans CN" w:eastAsia="Source Han Sans CN" w:cs="Source Han Sans CN"/>
                <w:i w:val="0"/>
                <w:iCs w:val="0"/>
                <w:caps w:val="0"/>
                <w:color w:val="333333"/>
                <w:spacing w:val="2"/>
                <w:sz w:val="21"/>
                <w:szCs w:val="21"/>
                <w:shd w:val="clear" w:fill="FFFFFF"/>
              </w:rPr>
              <w:t>警用电子装备通用技术条件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shd w:val="clear" w:color="auto" w:fill="auto"/>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hAnsi="Times New Roman" w:eastAsia="宋体" w:cs="Times New Roman"/>
                <w:sz w:val="21"/>
                <w:szCs w:val="21"/>
                <w:lang w:val="en-US" w:eastAsia="zh-CN" w:bidi="ar-SA"/>
              </w:rPr>
            </w:pPr>
            <w:r>
              <w:rPr>
                <w:rFonts w:hint="default" w:ascii="Times New Roman" w:eastAsia="宋体"/>
                <w:szCs w:val="21"/>
                <w:lang w:val="en-US" w:eastAsia="zh-CN"/>
              </w:rPr>
              <w:t>GA/T 947-2015</w:t>
            </w:r>
          </w:p>
        </w:tc>
        <w:tc>
          <w:tcPr>
            <w:tcW w:w="3395" w:type="pct"/>
            <w:shd w:val="clear" w:color="auto" w:fill="auto"/>
            <w:noWrap w:val="0"/>
            <w:vAlign w:val="center"/>
          </w:tcPr>
          <w:p>
            <w:pPr>
              <w:pStyle w:val="38"/>
              <w:tabs>
                <w:tab w:val="left" w:pos="2160"/>
                <w:tab w:val="clear" w:pos="4201"/>
                <w:tab w:val="clear" w:pos="9298"/>
              </w:tabs>
              <w:adjustRightInd w:val="0"/>
              <w:snapToGrid w:val="0"/>
              <w:spacing w:line="360" w:lineRule="auto"/>
              <w:ind w:firstLine="0" w:firstLineChars="0"/>
              <w:rPr>
                <w:rFonts w:hint="default" w:ascii="Times New Roman" w:hAnsi="Times New Roman" w:eastAsia="宋体" w:cs="Times New Roman"/>
                <w:sz w:val="21"/>
                <w:szCs w:val="21"/>
                <w:lang w:val="en-US" w:eastAsia="zh-CN" w:bidi="ar-SA"/>
              </w:rPr>
            </w:pPr>
            <w:r>
              <w:rPr>
                <w:rFonts w:ascii="Source Han Sans CN" w:hAnsi="Source Han Sans CN" w:eastAsia="Source Han Sans CN" w:cs="Source Han Sans CN"/>
                <w:i w:val="0"/>
                <w:iCs w:val="0"/>
                <w:caps w:val="0"/>
                <w:color w:val="333333"/>
                <w:spacing w:val="2"/>
                <w:sz w:val="21"/>
                <w:szCs w:val="21"/>
                <w:shd w:val="clear" w:fill="FFFFFF"/>
              </w:rPr>
              <w:t>单警执法视音频记录仪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default" w:ascii="Times New Roman" w:hAnsi="Times New Roman" w:eastAsia="宋体"/>
                <w:color w:val="000000"/>
                <w:sz w:val="21"/>
                <w:szCs w:val="21"/>
                <w:lang w:val="en-US" w:eastAsia="zh-CN"/>
              </w:rPr>
              <w:t>GA/T 1426-2017</w:t>
            </w:r>
          </w:p>
        </w:tc>
        <w:tc>
          <w:tcPr>
            <w:tcW w:w="3395"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default" w:ascii="Times New Roman" w:hAnsi="Times New Roman" w:eastAsia="宋体"/>
                <w:color w:val="000000"/>
                <w:sz w:val="21"/>
                <w:szCs w:val="21"/>
                <w:lang w:val="en-US" w:eastAsia="zh-CN"/>
              </w:rPr>
              <w:t>执法记录仪数据管理系统通用技术要求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color w:val="000000"/>
                <w:sz w:val="21"/>
                <w:szCs w:val="21"/>
                <w:lang w:val="en-US" w:eastAsia="zh-CN"/>
              </w:rPr>
            </w:pPr>
            <w:bookmarkStart w:id="13" w:name="_Toc25883"/>
            <w:bookmarkStart w:id="14" w:name="_Toc16474"/>
            <w:bookmarkStart w:id="15" w:name="_Toc7639"/>
            <w:r>
              <w:rPr>
                <w:rFonts w:hint="default" w:ascii="Times New Roman"/>
                <w:color w:val="000000"/>
                <w:sz w:val="21"/>
                <w:szCs w:val="21"/>
                <w:lang w:val="en-US" w:eastAsia="zh-CN"/>
              </w:rPr>
              <w:t>Q/GDW12177-2021</w:t>
            </w:r>
          </w:p>
        </w:tc>
        <w:tc>
          <w:tcPr>
            <w:tcW w:w="3395"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color w:val="000000"/>
                <w:sz w:val="21"/>
                <w:szCs w:val="21"/>
                <w:lang w:val="en-US" w:eastAsia="zh-CN"/>
              </w:rPr>
            </w:pPr>
            <w:r>
              <w:rPr>
                <w:rFonts w:hint="default" w:ascii="Times New Roman"/>
                <w:color w:val="000000"/>
                <w:sz w:val="21"/>
                <w:szCs w:val="21"/>
                <w:lang w:val="en-US" w:eastAsia="zh-CN"/>
              </w:rPr>
              <w:t>供电服务记录仪技术规范</w:t>
            </w:r>
          </w:p>
        </w:tc>
      </w:tr>
    </w:tbl>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3.使用条件</w:t>
      </w:r>
      <w:bookmarkEnd w:id="13"/>
      <w:bookmarkEnd w:id="14"/>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3.1正常工作条件</w:t>
      </w:r>
    </w:p>
    <w:p>
      <w:pPr>
        <w:numPr>
          <w:ilvl w:val="0"/>
          <w:numId w:val="2"/>
        </w:numPr>
        <w:tabs>
          <w:tab w:val="left" w:pos="851"/>
        </w:tabs>
        <w:ind w:firstLine="480"/>
        <w:rPr>
          <w:rFonts w:hint="eastAsia" w:ascii="宋体" w:hAnsi="宋体" w:eastAsia="宋体" w:cs="宋体"/>
          <w:lang w:val="en-US" w:eastAsia="zh-CN"/>
        </w:rPr>
      </w:pPr>
      <w:r>
        <w:rPr>
          <w:rFonts w:hint="eastAsia" w:ascii="宋体" w:hAnsi="宋体" w:cs="宋体"/>
          <w:lang w:val="en-US" w:eastAsia="zh-CN"/>
        </w:rPr>
        <w:t>系统运行环境：支持在招标方指定的办公网络、输电线路、变电管理现场网络或经授权的专用网络环境中部署运行，满足实现360°无死角监视与作业风险自动预警，适配多类复杂现场场景</w:t>
      </w:r>
      <w:r>
        <w:rPr>
          <w:rFonts w:hint="eastAsia" w:ascii="宋体" w:hAnsi="宋体" w:eastAsia="宋体" w:cs="宋体"/>
          <w:lang w:val="en-US" w:eastAsia="zh-CN"/>
        </w:rPr>
        <w:t>；</w:t>
      </w:r>
    </w:p>
    <w:p>
      <w:pPr>
        <w:numPr>
          <w:ilvl w:val="0"/>
          <w:numId w:val="2"/>
        </w:numPr>
        <w:tabs>
          <w:tab w:val="left" w:pos="851"/>
        </w:tabs>
        <w:ind w:left="0" w:leftChars="0" w:firstLine="480" w:firstLineChars="200"/>
        <w:rPr>
          <w:rFonts w:hint="eastAsia" w:ascii="宋体" w:hAnsi="宋体" w:eastAsia="宋体" w:cs="宋体"/>
          <w:lang w:val="en-US" w:eastAsia="zh-CN"/>
        </w:rPr>
      </w:pPr>
      <w:r>
        <w:rPr>
          <w:rFonts w:hint="eastAsia" w:ascii="宋体" w:hAnsi="宋体" w:cs="宋体"/>
          <w:lang w:val="en-US" w:eastAsia="zh-CN"/>
        </w:rPr>
        <w:t>终端使用环境：该便携式全景智能监控装置适用于输电线路安全施工监控区域、变电站安全施工监控区域、验收区、办公区等场景，</w:t>
      </w:r>
      <w:r>
        <w:rPr>
          <w:rFonts w:hint="eastAsia" w:ascii="宋体" w:hAnsi="宋体" w:eastAsia="宋体" w:cs="宋体"/>
          <w:i w:val="0"/>
          <w:iCs w:val="0"/>
          <w:color w:val="auto"/>
          <w:kern w:val="0"/>
          <w:sz w:val="24"/>
          <w:szCs w:val="24"/>
          <w:highlight w:val="none"/>
          <w:u w:val="none"/>
          <w:lang w:val="en-US" w:eastAsia="zh-CN" w:bidi="ar"/>
        </w:rPr>
        <w:t>界面显示清晰不玄关、操作简便、顺畅无卡顿、反应灵敏。</w:t>
      </w:r>
    </w:p>
    <w:p>
      <w:pPr>
        <w:numPr>
          <w:ilvl w:val="0"/>
          <w:numId w:val="2"/>
        </w:numPr>
        <w:tabs>
          <w:tab w:val="left" w:pos="851"/>
        </w:tabs>
        <w:ind w:left="0" w:leftChars="0" w:firstLine="480" w:firstLineChars="200"/>
        <w:rPr>
          <w:rFonts w:hint="eastAsia"/>
          <w:lang w:val="en-US" w:eastAsia="zh-CN"/>
        </w:rPr>
      </w:pPr>
      <w:r>
        <w:rPr>
          <w:rFonts w:hint="eastAsia" w:ascii="宋体" w:hAnsi="宋体" w:cs="宋体"/>
          <w:lang w:val="en-US" w:eastAsia="zh-CN"/>
        </w:rPr>
        <w:t>数据接入条件：</w:t>
      </w:r>
      <w:r>
        <w:rPr>
          <w:rFonts w:hint="eastAsia" w:ascii="宋体" w:hAnsi="宋体" w:eastAsia="宋体" w:cs="宋体"/>
          <w:i w:val="0"/>
          <w:iCs w:val="0"/>
          <w:color w:val="auto"/>
          <w:kern w:val="0"/>
          <w:sz w:val="24"/>
          <w:szCs w:val="24"/>
          <w:highlight w:val="none"/>
          <w:u w:val="none"/>
          <w:lang w:val="en-US" w:eastAsia="zh-CN" w:bidi="ar"/>
        </w:rPr>
        <w:t>可WAP视频接入、可智慧安监、可智慧工程、能够直接接入电鸿平台</w:t>
      </w:r>
      <w:r>
        <w:rPr>
          <w:rFonts w:hint="eastAsia" w:ascii="宋体" w:hAnsi="宋体" w:eastAsia="宋体" w:cs="宋体"/>
          <w:lang w:val="en-US" w:eastAsia="zh-CN"/>
        </w:rPr>
        <w:t>；</w:t>
      </w:r>
      <w:r>
        <w:rPr>
          <w:rFonts w:hint="eastAsia" w:ascii="宋体" w:hAnsi="宋体" w:cs="宋体"/>
          <w:lang w:val="en-US" w:eastAsia="zh-CN"/>
        </w:rPr>
        <w:t>兼容移动、电信、联通5G通信卡；</w:t>
      </w:r>
    </w:p>
    <w:p>
      <w:pPr>
        <w:numPr>
          <w:ilvl w:val="0"/>
          <w:numId w:val="2"/>
        </w:numPr>
        <w:tabs>
          <w:tab w:val="left" w:pos="851"/>
        </w:tabs>
        <w:ind w:left="0" w:leftChars="0" w:firstLine="480" w:firstLineChars="200"/>
        <w:rPr>
          <w:rFonts w:hint="default" w:ascii="宋体" w:hAnsi="宋体" w:eastAsia="宋体" w:cs="宋体"/>
          <w:lang w:val="en-US" w:eastAsia="zh-CN"/>
        </w:rPr>
      </w:pPr>
      <w:r>
        <w:rPr>
          <w:rFonts w:hint="eastAsia" w:ascii="宋体" w:hAnsi="宋体" w:cs="宋体"/>
          <w:lang w:val="en-US" w:eastAsia="zh-CN"/>
        </w:rPr>
        <w:t>数据处理能力</w:t>
      </w:r>
      <w:r>
        <w:rPr>
          <w:rFonts w:hint="eastAsia" w:ascii="宋体" w:hAnsi="宋体" w:eastAsia="宋体" w:cs="宋体"/>
          <w:lang w:val="en-US" w:eastAsia="zh-CN"/>
        </w:rPr>
        <w:t>：必须支持至少4路摄像头画面的实时无缝拼接，</w:t>
      </w:r>
      <w:r>
        <w:rPr>
          <w:rFonts w:hint="eastAsia" w:ascii="宋体" w:hAnsi="宋体" w:cs="宋体"/>
          <w:lang w:val="en-US" w:eastAsia="zh-CN"/>
        </w:rPr>
        <w:t>无延迟</w:t>
      </w:r>
      <w:r>
        <w:rPr>
          <w:rFonts w:hint="eastAsia" w:ascii="宋体" w:hAnsi="宋体" w:eastAsia="宋体" w:cs="宋体"/>
          <w:lang w:val="en-US" w:eastAsia="zh-CN"/>
        </w:rPr>
        <w:t>。拼接后的全景画面分辨率通常需达到1080P（1920 × 1080）。</w:t>
      </w:r>
      <w:r>
        <w:rPr>
          <w:rFonts w:hint="eastAsia" w:ascii="宋体" w:hAnsi="宋体" w:cs="宋体"/>
          <w:lang w:val="en-US" w:eastAsia="zh-CN"/>
        </w:rPr>
        <w:t>具备AI算力，具备目标检测与跟踪、行为分析、本地存储与处理能力，循环录制、视频结构化，如人脸特征、衣着颜色、是否戴口罩、带安全帽等功能。</w:t>
      </w:r>
    </w:p>
    <w:p>
      <w:pPr>
        <w:numPr>
          <w:ilvl w:val="0"/>
          <w:numId w:val="2"/>
        </w:numPr>
        <w:tabs>
          <w:tab w:val="left" w:pos="851"/>
        </w:tabs>
        <w:ind w:left="0" w:leftChars="0" w:firstLine="480" w:firstLineChars="200"/>
        <w:rPr>
          <w:rFonts w:hint="eastAsia" w:ascii="宋体" w:hAnsi="宋体" w:eastAsia="宋体" w:cs="宋体"/>
          <w:lang w:val="en-US" w:eastAsia="zh-CN"/>
        </w:rPr>
      </w:pPr>
      <w:r>
        <w:rPr>
          <w:rFonts w:hint="eastAsia" w:ascii="宋体" w:hAnsi="宋体" w:cs="宋体"/>
          <w:lang w:val="en-US" w:eastAsia="zh-CN"/>
        </w:rPr>
        <w:t>安全运行条件</w:t>
      </w:r>
      <w:r>
        <w:rPr>
          <w:rFonts w:hint="eastAsia" w:ascii="宋体" w:hAnsi="宋体" w:eastAsia="宋体" w:cs="宋体"/>
          <w:lang w:val="en-US" w:eastAsia="zh-CN"/>
        </w:rPr>
        <w:t>：数据安全与防篡改</w:t>
      </w:r>
      <w:r>
        <w:rPr>
          <w:rFonts w:hint="eastAsia" w:ascii="宋体" w:hAnsi="宋体" w:cs="宋体"/>
          <w:lang w:val="en-US" w:eastAsia="zh-CN"/>
        </w:rPr>
        <w:t>功能，具备数据加密、数字水印预篡改、身份认证、安全启动；环境适应性：防护等级IP66、抗跌落、宽温工作 -20℃ ~ +55℃；电气与电磁安全，具体为电磁兼容性（EMC）；电池安全；供电稳定性、网络与通信安全，具体为能够加密传输、抗干扰功能。</w:t>
      </w:r>
    </w:p>
    <w:p>
      <w:pPr>
        <w:numPr>
          <w:ilvl w:val="0"/>
          <w:numId w:val="2"/>
        </w:numPr>
        <w:tabs>
          <w:tab w:val="left" w:pos="851"/>
        </w:tabs>
        <w:ind w:left="0" w:leftChars="0" w:firstLine="480" w:firstLineChars="200"/>
        <w:rPr>
          <w:rFonts w:hint="eastAsia" w:ascii="宋体" w:hAnsi="宋体" w:eastAsia="宋体" w:cs="宋体"/>
          <w:lang w:val="en-US" w:eastAsia="zh-CN"/>
        </w:rPr>
      </w:pPr>
      <w:r>
        <w:rPr>
          <w:rFonts w:hint="eastAsia" w:ascii="宋体" w:hAnsi="宋体" w:cs="宋体"/>
          <w:lang w:val="en-US" w:eastAsia="zh-CN"/>
        </w:rPr>
        <w:t>该便携式全景智能监控装置应能在招标方规定的业务流程、审批流程和数据安全要求范围内稳定运行，满足多类复杂现场场景监控需求。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3.2特殊工作条件</w:t>
      </w:r>
    </w:p>
    <w:p>
      <w:pPr>
        <w:tabs>
          <w:tab w:val="left" w:pos="851"/>
        </w:tabs>
        <w:ind w:firstLine="480"/>
        <w:rPr>
          <w:rFonts w:hint="default" w:ascii="宋体" w:hAnsi="宋体" w:eastAsia="宋体" w:cs="宋体"/>
          <w:lang w:val="en-US" w:eastAsia="zh-CN"/>
        </w:rPr>
      </w:pPr>
      <w:r>
        <w:rPr>
          <w:rFonts w:hint="eastAsia" w:ascii="宋体" w:hAnsi="宋体" w:eastAsia="宋体" w:cs="宋体"/>
          <w:lang w:val="en-US" w:eastAsia="zh-CN"/>
        </w:rPr>
        <w:t>针对具体应用工况，用户根据实际需求提出特殊工作条件。当超出正常与特殊工作条件时，由用户与供应商协商确定。</w:t>
      </w:r>
      <w:r>
        <w:rPr>
          <w:rFonts w:hint="eastAsia" w:ascii="宋体" w:hAnsi="宋体" w:cs="宋体"/>
          <w:lang w:val="en-US" w:eastAsia="zh-CN"/>
        </w:rPr>
        <w:t>针对系统部署环境、网络策略、接口权限、音视频数据导入、系统联动方式等特殊条件，招标方可根据实际需求提出补充要求。当超出正常与特殊工作条件时，由招、投标双方协商确定。</w:t>
      </w:r>
    </w:p>
    <w:p>
      <w:pPr>
        <w:pStyle w:val="4"/>
        <w:numPr>
          <w:ilvl w:val="255"/>
          <w:numId w:val="0"/>
        </w:numPr>
        <w:spacing w:before="312" w:after="156"/>
        <w:rPr>
          <w:rFonts w:hint="eastAsia" w:ascii="宋体" w:hAnsi="宋体" w:eastAsia="宋体" w:cs="Times New Roman"/>
        </w:rPr>
      </w:pPr>
      <w:bookmarkStart w:id="16" w:name="_Toc27043"/>
      <w:bookmarkStart w:id="17" w:name="_Toc14218"/>
      <w:r>
        <w:rPr>
          <w:rFonts w:hint="eastAsia" w:ascii="宋体" w:hAnsi="宋体" w:eastAsia="宋体" w:cs="Times New Roman"/>
          <w:lang w:val="en-US" w:eastAsia="zh-CN"/>
        </w:rPr>
        <w:t>4</w:t>
      </w:r>
      <w:r>
        <w:rPr>
          <w:rFonts w:hint="eastAsia" w:cs="Times New Roman"/>
          <w:lang w:val="en-US" w:eastAsia="zh-CN"/>
        </w:rPr>
        <w:t>.</w:t>
      </w:r>
      <w:r>
        <w:rPr>
          <w:rFonts w:hint="eastAsia" w:ascii="宋体" w:hAnsi="宋体" w:eastAsia="宋体" w:cs="Times New Roman"/>
          <w:lang w:val="en-US" w:eastAsia="zh-CN"/>
        </w:rPr>
        <w:t>制作原则</w:t>
      </w:r>
      <w:bookmarkEnd w:id="16"/>
      <w:bookmarkEnd w:id="1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（1）先进性原则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遵循南方电网公司的</w:t>
      </w:r>
      <w:r>
        <w:rPr>
          <w:rFonts w:hint="eastAsia" w:ascii="宋体" w:hAnsi="宋体" w:cs="宋体"/>
          <w:lang w:val="en-US" w:eastAsia="zh-CN"/>
        </w:rPr>
        <w:t>执法监控设备的</w:t>
      </w:r>
      <w:r>
        <w:rPr>
          <w:rFonts w:hint="eastAsia" w:ascii="宋体" w:hAnsi="宋体" w:eastAsia="宋体" w:cs="宋体"/>
          <w:lang w:val="en-US" w:eastAsia="zh-CN"/>
        </w:rPr>
        <w:t>总体规划与要求，并结合南方电网公司现状，参考国际经验，充分利用各项先进技术，采用创新型设计技术。以现场实际实用为目标，采用安全、高效、便携的技术方案，全面实现能效提升、业务提升及管理提升，确保软件的先进性和实用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（2）安全性原则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 xml:space="preserve">  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并结合平台功能的业务特点加强信息安全防护，支持多种安全可靠性技术手段，制定严格的安全可靠性管理措施。通过权限管理、安全隔离、信息加密等措施，构建通信层、网络层、系统层、应用层等多层面的立体安全防护体系，确保平台安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（3）可靠性原则</w:t>
      </w:r>
    </w:p>
    <w:p>
      <w:pPr>
        <w:tabs>
          <w:tab w:val="left" w:pos="851"/>
        </w:tabs>
        <w:ind w:firstLine="480"/>
        <w:rPr>
          <w:rFonts w:hint="eastAsia" w:ascii="宋体" w:hAnsi="宋体" w:eastAsia="宋体" w:cs="宋体"/>
          <w:lang w:val="en-US" w:eastAsia="zh-CN"/>
        </w:rPr>
      </w:pPr>
      <w:r>
        <w:rPr>
          <w:rFonts w:hint="eastAsia" w:ascii="宋体" w:hAnsi="宋体" w:cs="宋体"/>
          <w:lang w:val="en-US" w:eastAsia="zh-CN"/>
        </w:rPr>
        <w:t>设备至少要有3.5年以上的使用寿命，并且在该段时间有服务人员在百色市提供服务的驻点厂家人员提供技术服务员、设备调试</w:t>
      </w:r>
      <w:r>
        <w:rPr>
          <w:rFonts w:hint="eastAsia" w:ascii="宋体" w:hAnsi="宋体" w:eastAsia="宋体" w:cs="宋体"/>
          <w:lang w:val="en-US" w:eastAsia="zh-CN"/>
        </w:rPr>
        <w:t>、</w:t>
      </w:r>
      <w:r>
        <w:rPr>
          <w:rFonts w:hint="eastAsia" w:ascii="宋体" w:hAnsi="宋体" w:cs="宋体"/>
          <w:lang w:val="en-US" w:eastAsia="zh-CN"/>
        </w:rPr>
        <w:t>设备</w:t>
      </w:r>
      <w:r>
        <w:rPr>
          <w:rFonts w:hint="eastAsia" w:ascii="宋体" w:hAnsi="宋体" w:eastAsia="宋体" w:cs="宋体"/>
          <w:lang w:val="en-US" w:eastAsia="zh-CN"/>
        </w:rPr>
        <w:t>可靠运行，因此必须配备完善的可靠性措施设计，保证系统运行的高度可靠。要充分考虑关键应用的可靠性要求，在数据库、主机、应用部署、网络等关键环节配备多种高可用性方案。</w:t>
      </w:r>
    </w:p>
    <w:p>
      <w:pPr>
        <w:pStyle w:val="2"/>
        <w:rPr>
          <w:rFonts w:hint="eastAsia"/>
          <w:lang w:val="en-US" w:eastAsia="zh-CN"/>
        </w:rPr>
      </w:pP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（4）规范化原则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设计应遵循相关国际标准、国家标准、行业标准及公司标准，统一设计、统一开发和应用，遵循南方电网公司数字电网模型设计，保持平台设计、开发、实施过程中全程规范化管理，对项目质量和进度严格管控。</w:t>
      </w:r>
    </w:p>
    <w:p>
      <w:pPr>
        <w:pStyle w:val="4"/>
        <w:numPr>
          <w:ilvl w:val="255"/>
          <w:numId w:val="0"/>
        </w:numPr>
        <w:spacing w:before="312" w:after="156"/>
        <w:rPr>
          <w:rFonts w:hint="eastAsia" w:ascii="宋体" w:hAnsi="宋体" w:eastAsia="宋体" w:cs="Times New Roman"/>
        </w:rPr>
      </w:pPr>
      <w:bookmarkStart w:id="18" w:name="_Toc32566"/>
      <w:bookmarkStart w:id="19" w:name="_Toc22696"/>
      <w:r>
        <w:rPr>
          <w:rFonts w:hint="eastAsia" w:ascii="宋体" w:hAnsi="宋体" w:eastAsia="宋体" w:cs="Times New Roman"/>
          <w:lang w:val="en-US" w:eastAsia="zh-CN"/>
        </w:rPr>
        <w:t>5</w:t>
      </w:r>
      <w:r>
        <w:rPr>
          <w:rFonts w:hint="eastAsia" w:cs="Times New Roman"/>
          <w:lang w:val="en-US" w:eastAsia="zh-CN"/>
        </w:rPr>
        <w:t>.</w:t>
      </w:r>
      <w:r>
        <w:rPr>
          <w:rFonts w:hint="eastAsia" w:ascii="宋体" w:hAnsi="宋体" w:eastAsia="宋体" w:cs="Times New Roman"/>
        </w:rPr>
        <w:t>技术服务内容及方式</w:t>
      </w:r>
      <w:bookmarkEnd w:id="15"/>
      <w:bookmarkEnd w:id="18"/>
      <w:bookmarkEnd w:id="19"/>
    </w:p>
    <w:p>
      <w:pPr>
        <w:tabs>
          <w:tab w:val="left" w:pos="851"/>
        </w:tabs>
        <w:ind w:firstLine="480"/>
        <w:rPr>
          <w:rFonts w:hint="eastAsia" w:ascii="宋体" w:hAnsi="宋体" w:eastAsia="宋体" w:cs="宋体"/>
          <w:lang w:val="en-US" w:eastAsia="zh-CN"/>
        </w:rPr>
      </w:pPr>
      <w:bookmarkStart w:id="20" w:name="_Toc369561308"/>
      <w:bookmarkStart w:id="21" w:name="_Toc369559705"/>
      <w:r>
        <w:rPr>
          <w:rFonts w:hint="eastAsia" w:ascii="宋体" w:hAnsi="宋体" w:eastAsia="宋体" w:cs="宋体"/>
          <w:lang w:val="en-US" w:eastAsia="zh-CN"/>
        </w:rPr>
        <w:t>服务期限为合同生效之日起至2026年1</w:t>
      </w:r>
      <w:r>
        <w:rPr>
          <w:rFonts w:hint="eastAsia" w:ascii="宋体" w:hAnsi="宋体" w:cs="宋体"/>
          <w:lang w:val="en-US" w:eastAsia="zh-CN"/>
        </w:rPr>
        <w:t>2</w:t>
      </w:r>
      <w:r>
        <w:rPr>
          <w:rFonts w:hint="eastAsia" w:ascii="宋体" w:hAnsi="宋体" w:eastAsia="宋体" w:cs="宋体"/>
          <w:lang w:val="en-US" w:eastAsia="zh-CN"/>
        </w:rPr>
        <w:t>月</w:t>
      </w:r>
      <w:r>
        <w:rPr>
          <w:rFonts w:hint="eastAsia" w:ascii="宋体" w:hAnsi="宋体" w:cs="宋体"/>
          <w:lang w:val="en-US" w:eastAsia="zh-CN"/>
        </w:rPr>
        <w:t>20</w:t>
      </w:r>
      <w:r>
        <w:rPr>
          <w:rFonts w:hint="eastAsia" w:ascii="宋体" w:hAnsi="宋体" w:eastAsia="宋体" w:cs="宋体"/>
          <w:lang w:val="en-US" w:eastAsia="zh-CN"/>
        </w:rPr>
        <w:t>日</w:t>
      </w:r>
      <w:r>
        <w:rPr>
          <w:rFonts w:hint="eastAsia" w:ascii="宋体" w:hAnsi="宋体" w:cs="宋体"/>
          <w:lang w:val="en-US" w:eastAsia="zh-CN"/>
        </w:rPr>
        <w:t>前</w:t>
      </w:r>
      <w:r>
        <w:rPr>
          <w:rFonts w:hint="eastAsia" w:ascii="宋体" w:hAnsi="宋体" w:eastAsia="宋体" w:cs="宋体"/>
          <w:lang w:val="en-US" w:eastAsia="zh-CN"/>
        </w:rPr>
        <w:t>。</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本创新项目需根据</w:t>
      </w:r>
      <w:r>
        <w:rPr>
          <w:rFonts w:hint="eastAsia" w:ascii="宋体" w:hAnsi="宋体" w:cs="宋体"/>
          <w:lang w:val="en-US" w:eastAsia="zh-CN"/>
        </w:rPr>
        <w:t>设计、生产、</w:t>
      </w:r>
      <w:r>
        <w:rPr>
          <w:rFonts w:hint="eastAsia" w:ascii="宋体" w:hAnsi="宋体" w:eastAsia="宋体" w:cs="宋体"/>
          <w:lang w:val="en-US" w:eastAsia="zh-CN"/>
        </w:rPr>
        <w:t>加工、制作、调试的实际情况</w:t>
      </w:r>
      <w:r>
        <w:rPr>
          <w:rFonts w:hint="eastAsia" w:ascii="宋体" w:hAnsi="宋体" w:cs="宋体"/>
          <w:lang w:val="en-US" w:eastAsia="zh-CN"/>
        </w:rPr>
        <w:t>，与</w:t>
      </w:r>
      <w:r>
        <w:rPr>
          <w:rFonts w:hint="eastAsia" w:ascii="宋体" w:hAnsi="宋体" w:eastAsia="宋体" w:cs="宋体"/>
          <w:lang w:val="en-US" w:eastAsia="zh-CN"/>
        </w:rPr>
        <w:t>相关项目负责人</w:t>
      </w:r>
      <w:r>
        <w:rPr>
          <w:rFonts w:hint="eastAsia" w:ascii="宋体" w:hAnsi="宋体" w:cs="宋体"/>
          <w:lang w:val="en-US" w:eastAsia="zh-CN"/>
        </w:rPr>
        <w:t>积极对接</w:t>
      </w:r>
      <w:r>
        <w:rPr>
          <w:rFonts w:hint="eastAsia" w:ascii="宋体" w:hAnsi="宋体" w:eastAsia="宋体" w:cs="宋体"/>
          <w:lang w:val="en-US" w:eastAsia="zh-CN"/>
        </w:rPr>
        <w:t>。</w:t>
      </w:r>
    </w:p>
    <w:bookmarkEnd w:id="20"/>
    <w:bookmarkEnd w:id="21"/>
    <w:p>
      <w:pPr>
        <w:snapToGrid w:val="0"/>
        <w:spacing w:line="360" w:lineRule="auto"/>
        <w:ind w:firstLine="0" w:firstLineChars="0"/>
        <w:jc w:val="center"/>
        <w:rPr>
          <w:rFonts w:hint="eastAsia"/>
          <w:color w:val="auto"/>
          <w:szCs w:val="21"/>
          <w:highlight w:val="none"/>
          <w:lang w:val="en-US" w:eastAsia="zh-CN"/>
        </w:rPr>
      </w:pPr>
      <w:bookmarkStart w:id="22" w:name="_Toc27075"/>
      <w:bookmarkStart w:id="23" w:name="_Toc12318"/>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20"/>
        <w:tblW w:w="9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99"/>
        <w:gridCol w:w="4348"/>
        <w:gridCol w:w="204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noWrap w:val="0"/>
            <w:vAlign w:val="center"/>
          </w:tcPr>
          <w:p>
            <w:pPr>
              <w:widowControl w:val="0"/>
              <w:spacing w:line="420" w:lineRule="exact"/>
              <w:ind w:left="0" w:leftChars="0"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序号</w:t>
            </w:r>
          </w:p>
        </w:tc>
        <w:tc>
          <w:tcPr>
            <w:tcW w:w="1199" w:type="dxa"/>
            <w:noWrap w:val="0"/>
            <w:vAlign w:val="center"/>
          </w:tcPr>
          <w:p>
            <w:pPr>
              <w:widowControl w:val="0"/>
              <w:spacing w:line="420" w:lineRule="exact"/>
              <w:ind w:left="0" w:leftChars="0" w:firstLine="0" w:firstLineChars="0"/>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标的名称</w:t>
            </w:r>
          </w:p>
        </w:tc>
        <w:tc>
          <w:tcPr>
            <w:tcW w:w="4348" w:type="dxa"/>
            <w:noWrap w:val="0"/>
            <w:vAlign w:val="center"/>
          </w:tcPr>
          <w:p>
            <w:pPr>
              <w:widowControl w:val="0"/>
              <w:spacing w:line="420" w:lineRule="exact"/>
              <w:ind w:left="0" w:leftChars="0" w:firstLine="0" w:firstLineChars="0"/>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cs="Times New Roman"/>
                <w:kern w:val="2"/>
                <w:sz w:val="21"/>
                <w:szCs w:val="20"/>
                <w:highlight w:val="none"/>
                <w:vertAlign w:val="baseline"/>
                <w:lang w:val="en-US" w:eastAsia="zh-CN" w:bidi="ar-SA"/>
              </w:rPr>
              <w:t>产品技术/服务</w:t>
            </w:r>
            <w:r>
              <w:rPr>
                <w:rFonts w:hint="eastAsia" w:ascii="Calibri" w:hAnsi="Calibri" w:eastAsia="宋体" w:cs="Times New Roman"/>
                <w:kern w:val="2"/>
                <w:sz w:val="21"/>
                <w:szCs w:val="20"/>
                <w:highlight w:val="none"/>
                <w:vertAlign w:val="baseline"/>
                <w:lang w:val="en-US" w:eastAsia="zh-CN" w:bidi="ar-SA"/>
              </w:rPr>
              <w:t>内容</w:t>
            </w:r>
          </w:p>
        </w:tc>
        <w:tc>
          <w:tcPr>
            <w:tcW w:w="2048" w:type="dxa"/>
            <w:noWrap w:val="0"/>
            <w:vAlign w:val="center"/>
          </w:tcPr>
          <w:p>
            <w:pPr>
              <w:widowControl w:val="0"/>
              <w:spacing w:line="420" w:lineRule="exact"/>
              <w:ind w:left="0" w:leftChars="0"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交付物</w:t>
            </w:r>
          </w:p>
        </w:tc>
        <w:tc>
          <w:tcPr>
            <w:tcW w:w="1309" w:type="dxa"/>
            <w:noWrap w:val="0"/>
            <w:vAlign w:val="center"/>
          </w:tcPr>
          <w:p>
            <w:pPr>
              <w:widowControl w:val="0"/>
              <w:spacing w:line="420" w:lineRule="exact"/>
              <w:ind w:left="0" w:leftChars="0"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bookmarkStart w:id="24" w:name="_Toc7886"/>
            <w:bookmarkStart w:id="25" w:name="_Toc14394"/>
            <w:bookmarkStart w:id="26" w:name="_Toc2581"/>
            <w:bookmarkStart w:id="27" w:name="_Toc12691"/>
            <w:bookmarkStart w:id="28" w:name="_Toc369561313"/>
            <w:bookmarkStart w:id="29" w:name="_Toc369559710"/>
            <w:r>
              <w:rPr>
                <w:rFonts w:hint="eastAsia" w:ascii="宋体" w:hAnsi="宋体" w:cs="宋体"/>
                <w:i w:val="0"/>
                <w:iCs w:val="0"/>
                <w:color w:val="000000"/>
                <w:kern w:val="0"/>
                <w:sz w:val="20"/>
                <w:szCs w:val="20"/>
                <w:highlight w:val="none"/>
                <w:u w:val="none"/>
                <w:lang w:val="en-US" w:eastAsia="zh-CN" w:bidi="ar"/>
              </w:rPr>
              <w:t>1</w:t>
            </w:r>
          </w:p>
        </w:tc>
        <w:tc>
          <w:tcPr>
            <w:tcW w:w="1199"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基于多摄像头阵列与边缘AI的便携式全景智能监控装置</w:t>
            </w:r>
          </w:p>
        </w:tc>
        <w:tc>
          <w:tcPr>
            <w:tcW w:w="434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根据招标方设计方案，协助完成：</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1.配合2套基于多摄像头阵列与边缘AI的便携式全景智能监控装置加工。适配南网信息平台，界面显示清晰、操作简便、可WAP视频接入、可智慧安监、可智慧工程、能够直接接入电鸿平台、运行稳定。</w:t>
            </w:r>
            <w:bookmarkStart w:id="69" w:name="_GoBack"/>
            <w:bookmarkEnd w:id="69"/>
            <w:r>
              <w:rPr>
                <w:rFonts w:hint="eastAsia" w:ascii="宋体" w:hAnsi="宋体" w:eastAsia="宋体" w:cs="宋体"/>
                <w:i w:val="0"/>
                <w:iCs w:val="0"/>
                <w:color w:val="000000"/>
                <w:kern w:val="0"/>
                <w:sz w:val="20"/>
                <w:szCs w:val="20"/>
                <w:highlight w:val="none"/>
                <w:u w:val="none"/>
                <w:lang w:val="en-US" w:eastAsia="zh-CN" w:bidi="ar"/>
              </w:rPr>
              <w:t>多摄像头阵列硬件系统含4-6路微型摄像头的阵列模组，支持三种取景模式智能切换：</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常规模式：单摄像头高清拍摄，适配单一工作面近距离监控；</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广角模式：双摄像头画面实时拼接，同步监视高处与地面作业；</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全景模式：多摄像头阵列融合成像，运用畸变矫正算法实现360°环视监控，消除盲区。</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2.配合边缘AI智能识别算法开发测试。内置轻量化神经网络模型，实现两类核心功能：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场景自适应：通过图像语义分析自动识别作业场景（高空/地面/交叉作业），动态切换最优取景模式。</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3.配合便携式智能交互测试。采用模块化结构，整机重量≤300g，续航≥8小时；配备磁吸/背夹/支架多形态固定组件，适配头盔、脚手架、三脚架等现场快速部署需求；支持实时画面调阅与告警信息推送。</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配合技术验证与成果总结。开展变电、输电、配电三类典型作业场景实地测试，验证全景覆盖效果与镜头切换与工作场景适配率；配合技术研究报告文本撰写，整理装置设计图纸、算法逻辑说明及现场应用指南。</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5.负责完成成果的第三方检测（检测机构应具备CMA或CNAS认证资质），并配合完成论文文本优化。</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6.需在超特高压新型电气装备科技成果转化中试基地完成中试。</w:t>
            </w:r>
          </w:p>
        </w:tc>
        <w:tc>
          <w:tcPr>
            <w:tcW w:w="204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配合开展集多摄像头阵列、边缘AI芯片与自适应算法于一体的便携式全景智能监控装置加工</w:t>
            </w:r>
            <w:r>
              <w:rPr>
                <w:rFonts w:hint="eastAsia" w:ascii="宋体" w:hAnsi="宋体" w:eastAsia="宋体" w:cs="宋体"/>
                <w:i w:val="0"/>
                <w:iCs w:val="0"/>
                <w:color w:val="000000"/>
                <w:kern w:val="0"/>
                <w:sz w:val="20"/>
                <w:szCs w:val="20"/>
                <w:highlight w:val="none"/>
                <w:u w:val="none"/>
                <w:lang w:val="en-US" w:eastAsia="zh-CN" w:bidi="ar"/>
              </w:rPr>
              <w:t>2套；</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2.配合完成发明专利申请文本编制1份；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3.配合完成技术研究报告</w:t>
            </w:r>
            <w:r>
              <w:rPr>
                <w:rFonts w:hint="default" w:ascii="宋体" w:hAnsi="宋体" w:eastAsia="宋体" w:cs="宋体"/>
                <w:i w:val="0"/>
                <w:iCs w:val="0"/>
                <w:color w:val="000000"/>
                <w:kern w:val="0"/>
                <w:sz w:val="20"/>
                <w:szCs w:val="20"/>
                <w:highlight w:val="none"/>
                <w:u w:val="none"/>
                <w:lang w:val="en-US" w:eastAsia="zh-CN" w:bidi="ar"/>
              </w:rPr>
              <w:t>文本编制</w:t>
            </w:r>
            <w:r>
              <w:rPr>
                <w:rFonts w:hint="eastAsia" w:ascii="宋体" w:hAnsi="宋体" w:eastAsia="宋体" w:cs="宋体"/>
                <w:i w:val="0"/>
                <w:iCs w:val="0"/>
                <w:color w:val="000000"/>
                <w:kern w:val="0"/>
                <w:sz w:val="20"/>
                <w:szCs w:val="20"/>
                <w:highlight w:val="none"/>
                <w:u w:val="none"/>
                <w:lang w:val="en-US" w:eastAsia="zh-CN" w:bidi="ar"/>
              </w:rPr>
              <w:t>1份。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4.配合完成算法模型测试报告</w:t>
            </w:r>
            <w:r>
              <w:rPr>
                <w:rFonts w:hint="default" w:ascii="宋体" w:hAnsi="宋体" w:eastAsia="宋体" w:cs="宋体"/>
                <w:i w:val="0"/>
                <w:iCs w:val="0"/>
                <w:color w:val="000000"/>
                <w:kern w:val="0"/>
                <w:sz w:val="20"/>
                <w:szCs w:val="20"/>
                <w:highlight w:val="none"/>
                <w:u w:val="none"/>
                <w:lang w:val="en-US" w:eastAsia="zh-CN" w:bidi="ar"/>
              </w:rPr>
              <w:t>文本</w:t>
            </w:r>
            <w:r>
              <w:rPr>
                <w:rFonts w:hint="eastAsia" w:ascii="宋体" w:hAnsi="宋体" w:eastAsia="宋体" w:cs="宋体"/>
                <w:i w:val="0"/>
                <w:iCs w:val="0"/>
                <w:color w:val="000000"/>
                <w:kern w:val="0"/>
                <w:sz w:val="20"/>
                <w:szCs w:val="20"/>
                <w:highlight w:val="none"/>
                <w:u w:val="none"/>
                <w:lang w:val="en-US" w:eastAsia="zh-CN" w:bidi="ar"/>
              </w:rPr>
              <w:t>1份。</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5.完成第三方检测（检测机构应具备CMA或</w:t>
            </w:r>
            <w:r>
              <w:rPr>
                <w:rFonts w:hint="eastAsia" w:ascii="宋体" w:hAnsi="宋体" w:cs="宋体"/>
                <w:i w:val="0"/>
                <w:iCs w:val="0"/>
                <w:color w:val="000000"/>
                <w:kern w:val="0"/>
                <w:sz w:val="20"/>
                <w:szCs w:val="20"/>
                <w:highlight w:val="none"/>
                <w:u w:val="none"/>
                <w:lang w:val="en-US" w:eastAsia="zh-CN" w:bidi="ar"/>
              </w:rPr>
              <w:t>CNAS认证资质）；</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6.在超特高压新型电气装备科技成果转化中试基地完成中试。</w:t>
            </w:r>
          </w:p>
        </w:tc>
        <w:tc>
          <w:tcPr>
            <w:tcW w:w="1309" w:type="dxa"/>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招标方指定地点</w:t>
            </w:r>
          </w:p>
        </w:tc>
      </w:tr>
      <w:bookmarkEnd w:id="22"/>
      <w:bookmarkEnd w:id="23"/>
    </w:tbl>
    <w:p>
      <w:pPr>
        <w:pStyle w:val="4"/>
        <w:numPr>
          <w:ilvl w:val="255"/>
          <w:numId w:val="0"/>
        </w:numPr>
        <w:spacing w:before="312" w:after="156"/>
        <w:rPr>
          <w:rFonts w:hint="eastAsia" w:ascii="宋体" w:hAnsi="宋体" w:eastAsia="宋体" w:cs="Times New Roman"/>
        </w:rPr>
      </w:pPr>
      <w:bookmarkStart w:id="30" w:name="_Toc23208"/>
      <w:r>
        <w:rPr>
          <w:rFonts w:hint="eastAsia" w:ascii="宋体" w:hAnsi="宋体" w:eastAsia="宋体" w:cs="Times New Roman"/>
          <w:lang w:val="en-US" w:eastAsia="zh-CN"/>
        </w:rPr>
        <w:t>6.</w:t>
      </w:r>
      <w:r>
        <w:rPr>
          <w:rFonts w:hint="eastAsia" w:ascii="宋体" w:hAnsi="宋体" w:eastAsia="宋体" w:cs="Times New Roman"/>
        </w:rPr>
        <w:t>对投标方的要求</w:t>
      </w:r>
      <w:bookmarkEnd w:id="24"/>
      <w:bookmarkEnd w:id="25"/>
      <w:bookmarkEnd w:id="26"/>
      <w:bookmarkEnd w:id="27"/>
      <w:bookmarkEnd w:id="28"/>
      <w:bookmarkEnd w:id="29"/>
      <w:bookmarkEnd w:id="30"/>
    </w:p>
    <w:p>
      <w:pPr>
        <w:tabs>
          <w:tab w:val="left" w:pos="851"/>
        </w:tabs>
        <w:ind w:firstLine="480"/>
        <w:rPr>
          <w:rFonts w:hint="eastAsia" w:ascii="宋体" w:hAnsi="宋体" w:eastAsia="宋体" w:cs="宋体"/>
          <w:lang w:val="en-US" w:eastAsia="zh-CN"/>
        </w:rPr>
      </w:pPr>
      <w:bookmarkStart w:id="31" w:name="_Toc31887"/>
      <w:bookmarkStart w:id="32" w:name="_Toc16150"/>
      <w:bookmarkStart w:id="33" w:name="_Toc369559711"/>
      <w:bookmarkStart w:id="34" w:name="_Toc369561314"/>
      <w:bookmarkStart w:id="35" w:name="_Toc28495"/>
      <w:r>
        <w:rPr>
          <w:rFonts w:hint="eastAsia" w:ascii="宋体" w:hAnsi="宋体" w:eastAsia="宋体" w:cs="宋体"/>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（2）为保证投标方有效进行项目制作工作，招标方提供与项目有关的技术资料，并协助投标方协调项目实施过程中所需解决的事项。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（3）在项目实施期间，招标方可派出技术人员并参加项目的管理及实施，投标方有责任对其进行技术指导和答疑，同时投标方也应协助提供招标方编写论文或申请专利所需的项目数据。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（5）投标方必须向招标方保证工程人员组织的稳定性，保证工程按招标方的要求如期进行；在本工程结束前，参加本工程的人员变动必须取得招标方同意；</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（6）投标方负责对招标方专业人员的技术培训 （包括硬件、软件的维护及运行培训），并提供必要的工作场地；</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（7）投标方协助招标方产品开发、负责产品制作、加工、测试、实施及现场调试，参加现场验收和整体考核验收；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（8）投标方负责提供制作范围内所有设备的文件资料和运行维护手册；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（9）保证期以后应招标方要求，投标方应协助招标方对所供系统进行扩容升级、增加功能等工作，并优惠提供最新开发的应用软件。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p>
    <w:p>
      <w:pPr>
        <w:pStyle w:val="4"/>
        <w:numPr>
          <w:ilvl w:val="255"/>
          <w:numId w:val="0"/>
        </w:numPr>
        <w:spacing w:before="312" w:after="156"/>
        <w:rPr>
          <w:rFonts w:hint="eastAsia" w:ascii="宋体" w:hAnsi="宋体" w:eastAsia="宋体" w:cs="Times New Roman"/>
        </w:rPr>
      </w:pPr>
      <w:bookmarkStart w:id="36" w:name="_Toc30826"/>
      <w:bookmarkStart w:id="37" w:name="_Toc2553"/>
      <w:r>
        <w:rPr>
          <w:rFonts w:hint="eastAsia" w:ascii="宋体" w:hAnsi="宋体" w:eastAsia="宋体" w:cs="Times New Roman"/>
          <w:lang w:val="en-US" w:eastAsia="zh-CN"/>
        </w:rPr>
        <w:t>7</w:t>
      </w:r>
      <w:bookmarkEnd w:id="31"/>
      <w:bookmarkEnd w:id="32"/>
      <w:bookmarkEnd w:id="33"/>
      <w:bookmarkEnd w:id="34"/>
      <w:bookmarkEnd w:id="35"/>
      <w:r>
        <w:rPr>
          <w:rFonts w:hint="eastAsia" w:ascii="宋体" w:hAnsi="宋体" w:eastAsia="宋体" w:cs="Times New Roman"/>
          <w:lang w:val="en-US" w:eastAsia="zh-CN"/>
        </w:rPr>
        <w:t>.</w:t>
      </w:r>
      <w:r>
        <w:rPr>
          <w:rFonts w:hint="eastAsia" w:ascii="宋体" w:hAnsi="宋体" w:eastAsia="宋体" w:cs="Times New Roman"/>
        </w:rPr>
        <w:t>售后服务及其它服务要求</w:t>
      </w:r>
      <w:bookmarkEnd w:id="36"/>
      <w:bookmarkEnd w:id="37"/>
    </w:p>
    <w:p>
      <w:pPr>
        <w:tabs>
          <w:tab w:val="left" w:pos="851"/>
        </w:tabs>
        <w:ind w:firstLine="480"/>
        <w:rPr>
          <w:rFonts w:hint="eastAsia" w:ascii="宋体" w:hAnsi="宋体" w:eastAsia="宋体" w:cs="宋体"/>
          <w:lang w:val="en-US" w:eastAsia="zh-CN"/>
        </w:rPr>
      </w:pPr>
      <w:bookmarkStart w:id="38" w:name="_Toc11564"/>
      <w:bookmarkStart w:id="39" w:name="_Toc30582"/>
      <w:bookmarkStart w:id="40" w:name="_Toc29252"/>
      <w:bookmarkStart w:id="41" w:name="_Toc28511"/>
      <w:bookmarkStart w:id="42" w:name="_Toc10389"/>
      <w:bookmarkStart w:id="43" w:name="_Toc10829"/>
      <w:bookmarkStart w:id="44" w:name="_Toc13136"/>
      <w:bookmarkStart w:id="45" w:name="_Toc10420"/>
      <w:bookmarkStart w:id="46" w:name="_Toc20620"/>
      <w:bookmarkStart w:id="47" w:name="_Toc20198"/>
      <w:bookmarkStart w:id="48" w:name="_Toc26310"/>
      <w:bookmarkStart w:id="49" w:name="_Toc20141"/>
      <w:bookmarkStart w:id="50" w:name="_Toc28372"/>
      <w:bookmarkStart w:id="51" w:name="_Toc26277"/>
      <w:r>
        <w:rPr>
          <w:rFonts w:hint="eastAsia" w:ascii="宋体" w:hAnsi="宋体" w:eastAsia="宋体" w:cs="宋体"/>
          <w:lang w:val="en-US" w:eastAsia="zh-CN"/>
        </w:rPr>
        <w:t>7.1 售后服务</w:t>
      </w:r>
      <w:bookmarkEnd w:id="38"/>
      <w:bookmarkEnd w:id="39"/>
      <w:bookmarkEnd w:id="40"/>
      <w:bookmarkEnd w:id="41"/>
      <w:bookmarkEnd w:id="42"/>
      <w:bookmarkEnd w:id="43"/>
      <w:bookmarkEnd w:id="44"/>
      <w:bookmarkEnd w:id="45"/>
      <w:bookmarkEnd w:id="46"/>
      <w:bookmarkEnd w:id="4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（2）提供7×24小时的技术支持服务，制定固定的技术负责人及联络电话等，技术负责人变更前应书面通知招标方。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（3）在用户发现软件故障时，投标方必须在用户提出维护要求的4小时内作出响应，24小时内提交故障分析报告和解决方案</w:t>
      </w:r>
      <w:r>
        <w:rPr>
          <w:rFonts w:hint="eastAsia" w:ascii="宋体" w:hAnsi="宋体" w:cs="宋体"/>
          <w:lang w:val="en-US" w:eastAsia="zh-CN"/>
        </w:rPr>
        <w:t>并到达</w:t>
      </w:r>
      <w:r>
        <w:rPr>
          <w:rFonts w:hint="eastAsia" w:ascii="宋体" w:hAnsi="宋体" w:eastAsia="宋体" w:cs="宋体"/>
          <w:i w:val="0"/>
          <w:iCs w:val="0"/>
          <w:color w:val="auto"/>
          <w:kern w:val="0"/>
          <w:sz w:val="24"/>
          <w:szCs w:val="24"/>
          <w:highlight w:val="none"/>
          <w:u w:val="none"/>
          <w:lang w:val="en-US" w:eastAsia="zh-CN" w:bidi="ar"/>
        </w:rPr>
        <w:t>广西百色市右江区迎龙路69号南网超高压百色局本部</w:t>
      </w:r>
      <w:r>
        <w:rPr>
          <w:rFonts w:hint="eastAsia" w:ascii="宋体" w:hAnsi="宋体" w:cs="宋体"/>
          <w:lang w:val="en-US" w:eastAsia="zh-CN"/>
        </w:rPr>
        <w:t>进行尝试解决，反馈解决结果</w:t>
      </w:r>
      <w:r>
        <w:rPr>
          <w:rFonts w:hint="eastAsia" w:ascii="宋体" w:hAnsi="宋体" w:eastAsia="宋体" w:cs="宋体"/>
          <w:lang w:val="en-US" w:eastAsia="zh-CN"/>
        </w:rPr>
        <w:t>；</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（4）对于用户提出的软件性能提高、功能增加等改进要求，如属“技术规范书”的范畴，投标方应在2周内予以解决；如属“技术规范书”以外的功能制作，也应提供优惠服务。</w:t>
      </w:r>
    </w:p>
    <w:p>
      <w:pPr>
        <w:tabs>
          <w:tab w:val="left" w:pos="851"/>
        </w:tabs>
        <w:ind w:firstLine="480"/>
        <w:rPr>
          <w:rFonts w:hint="eastAsia" w:ascii="宋体" w:hAnsi="宋体" w:eastAsia="宋体" w:cs="宋体"/>
          <w:lang w:val="en-US" w:eastAsia="zh-CN"/>
        </w:rPr>
      </w:pPr>
      <w:bookmarkStart w:id="52" w:name="_Toc9332"/>
      <w:bookmarkStart w:id="53" w:name="_Toc17466"/>
      <w:bookmarkStart w:id="54" w:name="_Toc12828"/>
      <w:bookmarkStart w:id="55" w:name="_Toc10191"/>
      <w:bookmarkStart w:id="56" w:name="_Toc12127"/>
      <w:bookmarkStart w:id="57" w:name="_Toc3047"/>
      <w:bookmarkStart w:id="58" w:name="_Toc12748"/>
      <w:bookmarkStart w:id="59" w:name="_Toc24565"/>
      <w:bookmarkStart w:id="60" w:name="_Toc22421"/>
      <w:bookmarkStart w:id="61" w:name="_Toc11532"/>
      <w:bookmarkStart w:id="62" w:name="_Toc29014"/>
      <w:bookmarkStart w:id="63" w:name="_Toc6703"/>
      <w:r>
        <w:rPr>
          <w:rFonts w:hint="eastAsia" w:ascii="宋体" w:hAnsi="宋体" w:eastAsia="宋体" w:cs="宋体"/>
          <w:lang w:val="en-US" w:eastAsia="zh-CN"/>
        </w:rPr>
        <w:t>7.2 其它服务要求</w:t>
      </w:r>
      <w:bookmarkEnd w:id="52"/>
      <w:bookmarkEnd w:id="53"/>
      <w:bookmarkEnd w:id="54"/>
      <w:bookmarkEnd w:id="55"/>
      <w:bookmarkEnd w:id="56"/>
      <w:bookmarkEnd w:id="57"/>
      <w:bookmarkEnd w:id="58"/>
      <w:bookmarkEnd w:id="59"/>
      <w:bookmarkEnd w:id="60"/>
      <w:bookmarkEnd w:id="61"/>
      <w:bookmarkEnd w:id="62"/>
      <w:bookmarkEnd w:id="63"/>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（1）应对技术支持人员进行网络安全身份认证及背景审查，并进行安全教育、培训；</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（3）投标方应做好有关信息的保密工作，严禁将带有南方电网公司标志及相关信息的制作、测试环境接入互联网等外部环境，严禁将系统运行的业务数据拷贝或发送到外部使用。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（4）投标人提供的</w:t>
      </w:r>
      <w:r>
        <w:rPr>
          <w:rFonts w:hint="eastAsia" w:ascii="宋体" w:hAnsi="宋体" w:cs="宋体"/>
          <w:lang w:val="en-US" w:eastAsia="zh-CN"/>
        </w:rPr>
        <w:t>设备装置、</w:t>
      </w:r>
      <w:r>
        <w:rPr>
          <w:rFonts w:hint="eastAsia" w:ascii="宋体" w:hAnsi="宋体" w:eastAsia="宋体" w:cs="宋体"/>
          <w:lang w:val="en-US" w:eastAsia="zh-CN"/>
        </w:rPr>
        <w:t>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8"/>
      <w:bookmarkEnd w:id="49"/>
      <w:bookmarkEnd w:id="50"/>
      <w:bookmarkEnd w:id="51"/>
      <w:bookmarkStart w:id="64" w:name="_Toc1182"/>
      <w:bookmarkStart w:id="65" w:name="_Toc16657"/>
    </w:p>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8.</w:t>
      </w:r>
      <w:r>
        <w:rPr>
          <w:rFonts w:hint="eastAsia" w:ascii="宋体" w:hAnsi="宋体" w:eastAsia="宋体" w:cs="Times New Roman"/>
        </w:rPr>
        <w:t>对投标技术文件的要求</w:t>
      </w:r>
      <w:bookmarkEnd w:id="64"/>
      <w:bookmarkEnd w:id="65"/>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投标技术文件必须包括但不限于以下内容：投标技术文件响应，技术差异表。</w:t>
      </w:r>
    </w:p>
    <w:p>
      <w:pPr>
        <w:tabs>
          <w:tab w:val="left" w:pos="851"/>
        </w:tabs>
        <w:ind w:firstLine="480"/>
        <w:rPr>
          <w:rFonts w:hint="eastAsia" w:ascii="宋体" w:hAnsi="宋体" w:eastAsia="宋体" w:cs="宋体"/>
          <w:lang w:val="en-US" w:eastAsia="zh-CN"/>
        </w:rPr>
      </w:pPr>
      <w:bookmarkStart w:id="66" w:name="_Toc11575"/>
      <w:r>
        <w:rPr>
          <w:rFonts w:hint="eastAsia" w:ascii="宋体" w:hAnsi="宋体" w:eastAsia="宋体" w:cs="宋体"/>
          <w:lang w:val="en-US" w:eastAsia="zh-CN"/>
        </w:rPr>
        <w:t>8.1投标文件的响应</w:t>
      </w:r>
      <w:bookmarkEnd w:id="66"/>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napToGrid w:val="0"/>
        <w:spacing w:line="360" w:lineRule="auto"/>
        <w:ind w:firstLine="0" w:firstLineChars="0"/>
        <w:jc w:val="center"/>
        <w:rPr>
          <w:color w:val="auto"/>
          <w:szCs w:val="21"/>
          <w:highlight w:val="none"/>
        </w:rPr>
      </w:pPr>
      <w:bookmarkStart w:id="67"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7"/>
      <w:r>
        <w:rPr>
          <w:rFonts w:hint="eastAsia"/>
          <w:color w:val="auto"/>
          <w:szCs w:val="21"/>
          <w:highlight w:val="none"/>
        </w:rPr>
        <w:t>技术参数和性能要求响应表</w:t>
      </w:r>
    </w:p>
    <w:tbl>
      <w:tblPr>
        <w:tblStyle w:val="20"/>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141"/>
        <w:gridCol w:w="3649"/>
        <w:gridCol w:w="1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1"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1258"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标的名称</w:t>
            </w:r>
          </w:p>
        </w:tc>
        <w:tc>
          <w:tcPr>
            <w:tcW w:w="2144"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项目要求值</w:t>
            </w:r>
          </w:p>
        </w:tc>
        <w:tc>
          <w:tcPr>
            <w:tcW w:w="1125"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w:t>
            </w:r>
          </w:p>
        </w:tc>
        <w:tc>
          <w:tcPr>
            <w:tcW w:w="1258"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基于多摄像头阵列与边缘AI的便携式全景智能监控装置</w:t>
            </w:r>
          </w:p>
        </w:tc>
        <w:tc>
          <w:tcPr>
            <w:tcW w:w="2144"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1.便携式视频监督装置2套；</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r>
              <w:rPr>
                <w:rFonts w:hint="eastAsia" w:ascii="宋体" w:hAnsi="宋体" w:cs="宋体"/>
                <w:i w:val="0"/>
                <w:iCs w:val="0"/>
                <w:color w:val="000000"/>
                <w:kern w:val="0"/>
                <w:sz w:val="20"/>
                <w:szCs w:val="20"/>
                <w:highlight w:val="none"/>
                <w:u w:val="none"/>
                <w:lang w:val="en-US" w:eastAsia="zh-CN" w:bidi="ar"/>
              </w:rPr>
              <w:t>配合</w:t>
            </w:r>
            <w:r>
              <w:rPr>
                <w:rFonts w:hint="eastAsia" w:ascii="宋体" w:hAnsi="宋体" w:eastAsia="宋体" w:cs="宋体"/>
                <w:i w:val="0"/>
                <w:iCs w:val="0"/>
                <w:color w:val="000000"/>
                <w:kern w:val="0"/>
                <w:sz w:val="20"/>
                <w:szCs w:val="20"/>
                <w:highlight w:val="none"/>
                <w:u w:val="none"/>
                <w:lang w:val="en-US" w:eastAsia="zh-CN" w:bidi="ar"/>
              </w:rPr>
              <w:t>编制发明专利申请文本1份；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r>
              <w:rPr>
                <w:rFonts w:hint="eastAsia" w:ascii="宋体" w:hAnsi="宋体" w:cs="宋体"/>
                <w:i w:val="0"/>
                <w:iCs w:val="0"/>
                <w:color w:val="000000"/>
                <w:kern w:val="0"/>
                <w:sz w:val="20"/>
                <w:szCs w:val="20"/>
                <w:highlight w:val="none"/>
                <w:u w:val="none"/>
                <w:lang w:val="en-US" w:eastAsia="zh-CN" w:bidi="ar"/>
              </w:rPr>
              <w:t>配合</w:t>
            </w:r>
            <w:r>
              <w:rPr>
                <w:rFonts w:hint="eastAsia" w:ascii="宋体" w:hAnsi="宋体" w:eastAsia="宋体" w:cs="宋体"/>
                <w:i w:val="0"/>
                <w:iCs w:val="0"/>
                <w:color w:val="000000"/>
                <w:kern w:val="0"/>
                <w:sz w:val="20"/>
                <w:szCs w:val="20"/>
                <w:highlight w:val="none"/>
                <w:u w:val="none"/>
                <w:lang w:val="en-US" w:eastAsia="zh-CN" w:bidi="ar"/>
              </w:rPr>
              <w:t>编制</w:t>
            </w:r>
            <w:r>
              <w:rPr>
                <w:rFonts w:hint="eastAsia" w:ascii="宋体" w:hAnsi="宋体" w:eastAsia="宋体" w:cs="宋体"/>
                <w:i w:val="0"/>
                <w:iCs w:val="0"/>
                <w:color w:val="000000"/>
                <w:kern w:val="0"/>
                <w:sz w:val="20"/>
                <w:szCs w:val="20"/>
                <w:highlight w:val="none"/>
                <w:u w:val="none"/>
                <w:lang w:val="en-US" w:eastAsia="zh-CN" w:bidi="ar"/>
              </w:rPr>
              <w:t>技术研究报告</w:t>
            </w:r>
            <w:r>
              <w:rPr>
                <w:rFonts w:hint="eastAsia" w:ascii="宋体" w:hAnsi="宋体" w:eastAsia="宋体" w:cs="宋体"/>
                <w:i w:val="0"/>
                <w:iCs w:val="0"/>
                <w:color w:val="000000"/>
                <w:kern w:val="0"/>
                <w:sz w:val="20"/>
                <w:szCs w:val="20"/>
                <w:highlight w:val="none"/>
                <w:u w:val="none"/>
                <w:lang w:val="en-US" w:eastAsia="zh-CN" w:bidi="ar"/>
              </w:rPr>
              <w:t>文本</w:t>
            </w:r>
            <w:r>
              <w:rPr>
                <w:rFonts w:hint="eastAsia" w:ascii="宋体" w:hAnsi="宋体" w:eastAsia="宋体" w:cs="宋体"/>
                <w:i w:val="0"/>
                <w:iCs w:val="0"/>
                <w:color w:val="000000"/>
                <w:kern w:val="0"/>
                <w:sz w:val="20"/>
                <w:szCs w:val="20"/>
                <w:highlight w:val="none"/>
                <w:u w:val="none"/>
                <w:lang w:val="en-US" w:eastAsia="zh-CN" w:bidi="ar"/>
              </w:rPr>
              <w:t>1份；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r>
              <w:rPr>
                <w:rFonts w:hint="eastAsia" w:ascii="宋体" w:hAnsi="宋体" w:cs="宋体"/>
                <w:i w:val="0"/>
                <w:iCs w:val="0"/>
                <w:color w:val="000000"/>
                <w:kern w:val="0"/>
                <w:sz w:val="20"/>
                <w:szCs w:val="20"/>
                <w:highlight w:val="none"/>
                <w:u w:val="none"/>
                <w:lang w:val="en-US" w:eastAsia="zh-CN" w:bidi="ar"/>
              </w:rPr>
              <w:t>配合</w:t>
            </w:r>
            <w:r>
              <w:rPr>
                <w:rFonts w:hint="eastAsia" w:ascii="宋体" w:hAnsi="宋体" w:eastAsia="宋体" w:cs="宋体"/>
                <w:i w:val="0"/>
                <w:iCs w:val="0"/>
                <w:color w:val="000000"/>
                <w:kern w:val="0"/>
                <w:sz w:val="20"/>
                <w:szCs w:val="20"/>
                <w:highlight w:val="none"/>
                <w:u w:val="none"/>
                <w:lang w:val="en-US" w:eastAsia="zh-CN" w:bidi="ar"/>
              </w:rPr>
              <w:t>编制</w:t>
            </w:r>
            <w:r>
              <w:rPr>
                <w:rFonts w:hint="eastAsia" w:ascii="宋体" w:hAnsi="宋体" w:eastAsia="宋体" w:cs="宋体"/>
                <w:i w:val="0"/>
                <w:iCs w:val="0"/>
                <w:color w:val="000000"/>
                <w:kern w:val="0"/>
                <w:sz w:val="20"/>
                <w:szCs w:val="20"/>
                <w:highlight w:val="none"/>
                <w:u w:val="none"/>
                <w:lang w:val="en-US" w:eastAsia="zh-CN" w:bidi="ar"/>
              </w:rPr>
              <w:t>算法模型测试报告</w:t>
            </w:r>
            <w:r>
              <w:rPr>
                <w:rFonts w:hint="eastAsia" w:ascii="宋体" w:hAnsi="宋体" w:eastAsia="宋体" w:cs="宋体"/>
                <w:i w:val="0"/>
                <w:iCs w:val="0"/>
                <w:color w:val="000000"/>
                <w:kern w:val="0"/>
                <w:sz w:val="20"/>
                <w:szCs w:val="20"/>
                <w:highlight w:val="none"/>
                <w:u w:val="none"/>
                <w:lang w:val="en-US" w:eastAsia="zh-CN" w:bidi="ar"/>
              </w:rPr>
              <w:t>文本</w:t>
            </w:r>
            <w:r>
              <w:rPr>
                <w:rFonts w:hint="eastAsia" w:ascii="宋体" w:hAnsi="宋体" w:eastAsia="宋体" w:cs="宋体"/>
                <w:i w:val="0"/>
                <w:iCs w:val="0"/>
                <w:color w:val="000000"/>
                <w:kern w:val="0"/>
                <w:sz w:val="20"/>
                <w:szCs w:val="20"/>
                <w:highlight w:val="none"/>
                <w:u w:val="none"/>
                <w:lang w:val="en-US" w:eastAsia="zh-CN" w:bidi="ar"/>
              </w:rPr>
              <w:t>1份。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5.</w:t>
            </w:r>
            <w:r>
              <w:rPr>
                <w:rFonts w:hint="eastAsia" w:ascii="宋体" w:hAnsi="宋体" w:cs="宋体"/>
                <w:i w:val="0"/>
                <w:iCs w:val="0"/>
                <w:color w:val="000000"/>
                <w:kern w:val="0"/>
                <w:sz w:val="20"/>
                <w:szCs w:val="20"/>
                <w:highlight w:val="none"/>
                <w:u w:val="none"/>
                <w:lang w:val="en-US" w:eastAsia="zh-CN" w:bidi="ar"/>
              </w:rPr>
              <w:t>完成</w:t>
            </w:r>
            <w:r>
              <w:rPr>
                <w:rFonts w:hint="eastAsia" w:ascii="宋体" w:hAnsi="宋体" w:eastAsia="宋体" w:cs="宋体"/>
                <w:i w:val="0"/>
                <w:iCs w:val="0"/>
                <w:color w:val="000000"/>
                <w:kern w:val="0"/>
                <w:sz w:val="20"/>
                <w:szCs w:val="20"/>
                <w:highlight w:val="none"/>
                <w:u w:val="none"/>
                <w:lang w:val="en-US" w:eastAsia="zh-CN" w:bidi="ar"/>
              </w:rPr>
              <w:t>第三方检测</w:t>
            </w:r>
            <w:r>
              <w:rPr>
                <w:rFonts w:hint="eastAsia" w:ascii="宋体" w:hAnsi="宋体" w:cs="宋体"/>
                <w:i w:val="0"/>
                <w:iCs w:val="0"/>
                <w:color w:val="000000"/>
                <w:kern w:val="0"/>
                <w:sz w:val="20"/>
                <w:szCs w:val="20"/>
                <w:highlight w:val="none"/>
                <w:u w:val="none"/>
                <w:lang w:val="en-US" w:eastAsia="zh-CN" w:bidi="ar"/>
              </w:rPr>
              <w:t>报告及相关中试报告个1份。</w:t>
            </w:r>
          </w:p>
        </w:tc>
        <w:tc>
          <w:tcPr>
            <w:tcW w:w="1125"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sz w:val="24"/>
                <w:szCs w:val="24"/>
                <w:highlight w:val="none"/>
                <w:vertAlign w:val="baseline"/>
              </w:rPr>
            </w:pPr>
          </w:p>
        </w:tc>
      </w:tr>
    </w:tbl>
    <w:p>
      <w:pPr>
        <w:rPr>
          <w:rFonts w:hint="eastAsia" w:ascii="宋体" w:hAnsi="宋体" w:cs="宋体"/>
          <w:sz w:val="24"/>
          <w:szCs w:val="24"/>
          <w:highlight w:val="none"/>
        </w:rPr>
      </w:pPr>
    </w:p>
    <w:p>
      <w:pPr>
        <w:tabs>
          <w:tab w:val="left" w:pos="851"/>
        </w:tabs>
        <w:ind w:firstLine="480"/>
        <w:rPr>
          <w:rFonts w:hint="eastAsia" w:ascii="宋体" w:hAnsi="宋体" w:eastAsia="宋体" w:cs="宋体"/>
          <w:lang w:val="en-US" w:eastAsia="zh-CN"/>
        </w:rPr>
      </w:pPr>
      <w:bookmarkStart w:id="68" w:name="_Toc23057"/>
      <w:r>
        <w:rPr>
          <w:rFonts w:hint="eastAsia" w:ascii="宋体" w:hAnsi="宋体" w:eastAsia="宋体" w:cs="宋体"/>
          <w:lang w:val="en-US" w:eastAsia="zh-CN"/>
        </w:rPr>
        <w:t>8.2投标方技术偏差表</w:t>
      </w:r>
      <w:bookmarkEnd w:id="68"/>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pPr>
        <w:keepNext/>
        <w:keepLines w:val="0"/>
        <w:pageBreakBefore w:val="0"/>
        <w:widowControl w:val="0"/>
        <w:kinsoku/>
        <w:wordWrap/>
        <w:overflowPunct/>
        <w:topLinePunct w:val="0"/>
        <w:autoSpaceDE/>
        <w:autoSpaceDN/>
        <w:bidi w:val="0"/>
        <w:adjustRightInd/>
        <w:snapToGrid/>
        <w:jc w:val="center"/>
        <w:textAlignment w:val="auto"/>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9"/>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pPr>
        <w:ind w:firstLine="480"/>
        <w:rPr>
          <w:rFonts w:hint="eastAsia" w:ascii="宋体" w:hAnsi="宋体"/>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Source Han Sans CN">
    <w:altName w:val="Segoe Print"/>
    <w:panose1 w:val="00000000000000000000"/>
    <w:charset w:val="00"/>
    <w:family w:val="auto"/>
    <w:pitch w:val="default"/>
    <w:sig w:usb0="00000000" w:usb1="00000000" w:usb2="00000000" w:usb3="00000000" w:csb0="00000000" w:csb1="00000000"/>
  </w:font>
  <w:font w:name="宋">
    <w:altName w:val="宋体"/>
    <w:panose1 w:val="00000000000000000000"/>
    <w:charset w:val="86"/>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jc w:val="center"/>
    </w:pPr>
    <w:r>
      <w:fldChar w:fldCharType="begin"/>
    </w:r>
    <w:r>
      <w:instrText xml:space="preserve"> PAGE   \* MERGEFORMAT </w:instrText>
    </w:r>
    <w:r>
      <w:fldChar w:fldCharType="separate"/>
    </w:r>
    <w:r>
      <w:t>7</w:t>
    </w:r>
    <w:r>
      <w:fldChar w:fldCharType="end"/>
    </w:r>
  </w:p>
  <w:p>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78BECD"/>
    <w:multiLevelType w:val="singleLevel"/>
    <w:tmpl w:val="C078BECD"/>
    <w:lvl w:ilvl="0" w:tentative="0">
      <w:start w:val="1"/>
      <w:numFmt w:val="decimal"/>
      <w:suff w:val="nothing"/>
      <w:lvlText w:val="（%1）"/>
      <w:lvlJc w:val="left"/>
    </w:lvl>
  </w:abstractNum>
  <w:abstractNum w:abstractNumId="1">
    <w:nsid w:val="00000010"/>
    <w:multiLevelType w:val="multilevel"/>
    <w:tmpl w:val="00000010"/>
    <w:lvl w:ilvl="0" w:tentative="0">
      <w:start w:val="1"/>
      <w:numFmt w:val="decimal"/>
      <w:pStyle w:val="4"/>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14A0A"/>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3870D5"/>
    <w:rsid w:val="026C4FD1"/>
    <w:rsid w:val="027A2971"/>
    <w:rsid w:val="028606DA"/>
    <w:rsid w:val="02B11EFA"/>
    <w:rsid w:val="02C9546D"/>
    <w:rsid w:val="03604AE8"/>
    <w:rsid w:val="03EE0393"/>
    <w:rsid w:val="04155920"/>
    <w:rsid w:val="041C2C5F"/>
    <w:rsid w:val="042A6EF2"/>
    <w:rsid w:val="04305357"/>
    <w:rsid w:val="044E2BE0"/>
    <w:rsid w:val="0452141E"/>
    <w:rsid w:val="04842AA6"/>
    <w:rsid w:val="048707FB"/>
    <w:rsid w:val="04980A96"/>
    <w:rsid w:val="049D5915"/>
    <w:rsid w:val="04DD0CB1"/>
    <w:rsid w:val="04ED66A4"/>
    <w:rsid w:val="04F0725C"/>
    <w:rsid w:val="05087233"/>
    <w:rsid w:val="05406EB7"/>
    <w:rsid w:val="059D2DF8"/>
    <w:rsid w:val="05BA78F4"/>
    <w:rsid w:val="05BF6CDE"/>
    <w:rsid w:val="05C55124"/>
    <w:rsid w:val="05CB7B8E"/>
    <w:rsid w:val="05CE4396"/>
    <w:rsid w:val="05F17CC7"/>
    <w:rsid w:val="062A122C"/>
    <w:rsid w:val="06450013"/>
    <w:rsid w:val="06E65352"/>
    <w:rsid w:val="074B6D85"/>
    <w:rsid w:val="07713C35"/>
    <w:rsid w:val="07B63B11"/>
    <w:rsid w:val="07D720B6"/>
    <w:rsid w:val="07DB403D"/>
    <w:rsid w:val="07ED0B0D"/>
    <w:rsid w:val="080D690E"/>
    <w:rsid w:val="081F390C"/>
    <w:rsid w:val="08B275D1"/>
    <w:rsid w:val="08E001B0"/>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A51CD"/>
    <w:rsid w:val="0ADC03EB"/>
    <w:rsid w:val="0B291CB1"/>
    <w:rsid w:val="0B441098"/>
    <w:rsid w:val="0B4D3BF1"/>
    <w:rsid w:val="0B95124F"/>
    <w:rsid w:val="0BBD1D37"/>
    <w:rsid w:val="0BC56F5F"/>
    <w:rsid w:val="0BDB3721"/>
    <w:rsid w:val="0C073E59"/>
    <w:rsid w:val="0C314090"/>
    <w:rsid w:val="0C51682D"/>
    <w:rsid w:val="0CB27CB2"/>
    <w:rsid w:val="0CB3217A"/>
    <w:rsid w:val="0CD10852"/>
    <w:rsid w:val="0D2336F8"/>
    <w:rsid w:val="0D8D2D08"/>
    <w:rsid w:val="0E0D0C45"/>
    <w:rsid w:val="0E236A3E"/>
    <w:rsid w:val="0E3E5A73"/>
    <w:rsid w:val="0E740F48"/>
    <w:rsid w:val="0E9B5403"/>
    <w:rsid w:val="0EA37FCC"/>
    <w:rsid w:val="0F3048C7"/>
    <w:rsid w:val="0F5D2ECD"/>
    <w:rsid w:val="0FD51371"/>
    <w:rsid w:val="0FDB4A43"/>
    <w:rsid w:val="0FDE3679"/>
    <w:rsid w:val="0FDF3286"/>
    <w:rsid w:val="10635C65"/>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D54096"/>
    <w:rsid w:val="14DD044C"/>
    <w:rsid w:val="14DD31E2"/>
    <w:rsid w:val="14F61C5D"/>
    <w:rsid w:val="15142B24"/>
    <w:rsid w:val="153C0833"/>
    <w:rsid w:val="15653784"/>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F167E"/>
    <w:rsid w:val="17814E1C"/>
    <w:rsid w:val="17932850"/>
    <w:rsid w:val="17C41659"/>
    <w:rsid w:val="17D849D6"/>
    <w:rsid w:val="180E527E"/>
    <w:rsid w:val="18184694"/>
    <w:rsid w:val="182B30B6"/>
    <w:rsid w:val="182C673E"/>
    <w:rsid w:val="18C313DF"/>
    <w:rsid w:val="18EE0BF6"/>
    <w:rsid w:val="19131D2F"/>
    <w:rsid w:val="192405E7"/>
    <w:rsid w:val="195C76F5"/>
    <w:rsid w:val="19600305"/>
    <w:rsid w:val="19714CB9"/>
    <w:rsid w:val="19753246"/>
    <w:rsid w:val="19923A79"/>
    <w:rsid w:val="19CC2CC4"/>
    <w:rsid w:val="1A142085"/>
    <w:rsid w:val="1A2C3DD7"/>
    <w:rsid w:val="1A606D71"/>
    <w:rsid w:val="1A6B245E"/>
    <w:rsid w:val="1A7E2606"/>
    <w:rsid w:val="1AAA4EE5"/>
    <w:rsid w:val="1AAE5A45"/>
    <w:rsid w:val="1AAF59FC"/>
    <w:rsid w:val="1AB10FB0"/>
    <w:rsid w:val="1AD5150D"/>
    <w:rsid w:val="1AEB1A05"/>
    <w:rsid w:val="1AEB5F51"/>
    <w:rsid w:val="1B205A92"/>
    <w:rsid w:val="1B31572D"/>
    <w:rsid w:val="1B494FD0"/>
    <w:rsid w:val="1B6C5B53"/>
    <w:rsid w:val="1C3310A9"/>
    <w:rsid w:val="1D2F77CB"/>
    <w:rsid w:val="1D40117C"/>
    <w:rsid w:val="1D785B20"/>
    <w:rsid w:val="1D8760B4"/>
    <w:rsid w:val="1DA805C1"/>
    <w:rsid w:val="1DB00010"/>
    <w:rsid w:val="1DB72D4D"/>
    <w:rsid w:val="1DD469C9"/>
    <w:rsid w:val="1DDF5840"/>
    <w:rsid w:val="1DFD14A7"/>
    <w:rsid w:val="1E033CFE"/>
    <w:rsid w:val="1E2F53D8"/>
    <w:rsid w:val="1E4E1D03"/>
    <w:rsid w:val="1E562965"/>
    <w:rsid w:val="1E566E09"/>
    <w:rsid w:val="1E960FB4"/>
    <w:rsid w:val="1E966DAA"/>
    <w:rsid w:val="1EB83620"/>
    <w:rsid w:val="1ECE4BF1"/>
    <w:rsid w:val="1ED84278"/>
    <w:rsid w:val="1ED97BFC"/>
    <w:rsid w:val="1EE73B09"/>
    <w:rsid w:val="1F0C23CC"/>
    <w:rsid w:val="1F1545CE"/>
    <w:rsid w:val="1F2C1918"/>
    <w:rsid w:val="1F316326"/>
    <w:rsid w:val="1F5D4A06"/>
    <w:rsid w:val="1F964F4E"/>
    <w:rsid w:val="1F9A2D26"/>
    <w:rsid w:val="1F9F6536"/>
    <w:rsid w:val="1FB92045"/>
    <w:rsid w:val="1FE87E47"/>
    <w:rsid w:val="1FF42436"/>
    <w:rsid w:val="1FF53618"/>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FB04CE"/>
    <w:rsid w:val="221F6235"/>
    <w:rsid w:val="223B5668"/>
    <w:rsid w:val="224A27E1"/>
    <w:rsid w:val="225D2D35"/>
    <w:rsid w:val="226B066F"/>
    <w:rsid w:val="227A2080"/>
    <w:rsid w:val="22834430"/>
    <w:rsid w:val="22E10344"/>
    <w:rsid w:val="22E942A6"/>
    <w:rsid w:val="22EC3DDE"/>
    <w:rsid w:val="22F45DE8"/>
    <w:rsid w:val="22FF76A7"/>
    <w:rsid w:val="236E082B"/>
    <w:rsid w:val="237C10C0"/>
    <w:rsid w:val="237F64DC"/>
    <w:rsid w:val="241A2A47"/>
    <w:rsid w:val="244C451B"/>
    <w:rsid w:val="24524D99"/>
    <w:rsid w:val="24A600AD"/>
    <w:rsid w:val="24AB7DB8"/>
    <w:rsid w:val="24C21763"/>
    <w:rsid w:val="24CD5D6E"/>
    <w:rsid w:val="25421E95"/>
    <w:rsid w:val="26091A0C"/>
    <w:rsid w:val="261F5032"/>
    <w:rsid w:val="2628108B"/>
    <w:rsid w:val="26431A21"/>
    <w:rsid w:val="26437C73"/>
    <w:rsid w:val="26C239CA"/>
    <w:rsid w:val="26C90E2D"/>
    <w:rsid w:val="26D747CC"/>
    <w:rsid w:val="270B25DA"/>
    <w:rsid w:val="270F17A0"/>
    <w:rsid w:val="273705EE"/>
    <w:rsid w:val="27723A43"/>
    <w:rsid w:val="278542B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F40263"/>
    <w:rsid w:val="2D48195B"/>
    <w:rsid w:val="2D7363DF"/>
    <w:rsid w:val="2D8C0151"/>
    <w:rsid w:val="2DDF2977"/>
    <w:rsid w:val="2E5642BC"/>
    <w:rsid w:val="2E7620ED"/>
    <w:rsid w:val="2ECD498D"/>
    <w:rsid w:val="2EE724DC"/>
    <w:rsid w:val="2EF51D26"/>
    <w:rsid w:val="2EF76C06"/>
    <w:rsid w:val="2F0D20DE"/>
    <w:rsid w:val="2F177EEF"/>
    <w:rsid w:val="2F5D30B3"/>
    <w:rsid w:val="2F7009B1"/>
    <w:rsid w:val="2F7964B4"/>
    <w:rsid w:val="2FA07728"/>
    <w:rsid w:val="2FB318C4"/>
    <w:rsid w:val="2FC002D5"/>
    <w:rsid w:val="30083A5D"/>
    <w:rsid w:val="30162726"/>
    <w:rsid w:val="302E6AE1"/>
    <w:rsid w:val="30677FB8"/>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DC4F67"/>
    <w:rsid w:val="32EE1A36"/>
    <w:rsid w:val="33723946"/>
    <w:rsid w:val="33BF4A72"/>
    <w:rsid w:val="33D7599C"/>
    <w:rsid w:val="342D1BFF"/>
    <w:rsid w:val="342F480F"/>
    <w:rsid w:val="343E26EE"/>
    <w:rsid w:val="344F3C87"/>
    <w:rsid w:val="3475581F"/>
    <w:rsid w:val="347E1DA2"/>
    <w:rsid w:val="349B682B"/>
    <w:rsid w:val="34B34830"/>
    <w:rsid w:val="34C649F1"/>
    <w:rsid w:val="34ED54E4"/>
    <w:rsid w:val="3503309E"/>
    <w:rsid w:val="35435064"/>
    <w:rsid w:val="35476E77"/>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7A1519"/>
    <w:rsid w:val="3BAE7806"/>
    <w:rsid w:val="3BB16FD5"/>
    <w:rsid w:val="3BCF3DE2"/>
    <w:rsid w:val="3BFF5F92"/>
    <w:rsid w:val="3C022A83"/>
    <w:rsid w:val="3C342B36"/>
    <w:rsid w:val="3C3876DA"/>
    <w:rsid w:val="3C6E7B33"/>
    <w:rsid w:val="3C8F2735"/>
    <w:rsid w:val="3CAE1A61"/>
    <w:rsid w:val="3D697A4C"/>
    <w:rsid w:val="3DA637B6"/>
    <w:rsid w:val="3DC70DA6"/>
    <w:rsid w:val="3E4203B8"/>
    <w:rsid w:val="3E433531"/>
    <w:rsid w:val="3E524F05"/>
    <w:rsid w:val="3E8310FD"/>
    <w:rsid w:val="3E8D51C5"/>
    <w:rsid w:val="3E911ED8"/>
    <w:rsid w:val="3E9776C5"/>
    <w:rsid w:val="3E9B4698"/>
    <w:rsid w:val="3EF4070F"/>
    <w:rsid w:val="3F345912"/>
    <w:rsid w:val="3F456AA7"/>
    <w:rsid w:val="3F4A39C9"/>
    <w:rsid w:val="3FC76DC7"/>
    <w:rsid w:val="3FCC0881"/>
    <w:rsid w:val="3FE86074"/>
    <w:rsid w:val="404350E0"/>
    <w:rsid w:val="407549A4"/>
    <w:rsid w:val="40A33F45"/>
    <w:rsid w:val="40BE38AE"/>
    <w:rsid w:val="40E32281"/>
    <w:rsid w:val="413E57AF"/>
    <w:rsid w:val="414F176A"/>
    <w:rsid w:val="41694E7F"/>
    <w:rsid w:val="41AD3D25"/>
    <w:rsid w:val="41EC6FB9"/>
    <w:rsid w:val="42675C80"/>
    <w:rsid w:val="42857E42"/>
    <w:rsid w:val="429C3481"/>
    <w:rsid w:val="42AE426E"/>
    <w:rsid w:val="42CD0B98"/>
    <w:rsid w:val="42F775E0"/>
    <w:rsid w:val="432934FC"/>
    <w:rsid w:val="433A3A5A"/>
    <w:rsid w:val="433B7B45"/>
    <w:rsid w:val="4346094B"/>
    <w:rsid w:val="43461DE8"/>
    <w:rsid w:val="43600284"/>
    <w:rsid w:val="43642BE7"/>
    <w:rsid w:val="43860D47"/>
    <w:rsid w:val="438F36C0"/>
    <w:rsid w:val="43943464"/>
    <w:rsid w:val="439D5CFD"/>
    <w:rsid w:val="43EC6928"/>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896345"/>
    <w:rsid w:val="468F024E"/>
    <w:rsid w:val="46985A97"/>
    <w:rsid w:val="469F0A9E"/>
    <w:rsid w:val="46C823CD"/>
    <w:rsid w:val="46E23A2A"/>
    <w:rsid w:val="46E37CD8"/>
    <w:rsid w:val="47195F8F"/>
    <w:rsid w:val="47347438"/>
    <w:rsid w:val="475450F8"/>
    <w:rsid w:val="476C7959"/>
    <w:rsid w:val="4795557D"/>
    <w:rsid w:val="47A63299"/>
    <w:rsid w:val="47C737CE"/>
    <w:rsid w:val="4828256E"/>
    <w:rsid w:val="482E4477"/>
    <w:rsid w:val="48362D3C"/>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C54194"/>
    <w:rsid w:val="4B0C433A"/>
    <w:rsid w:val="4B35476F"/>
    <w:rsid w:val="4B475260"/>
    <w:rsid w:val="4B5A07E8"/>
    <w:rsid w:val="4BA25344"/>
    <w:rsid w:val="4BDA4326"/>
    <w:rsid w:val="4BEB36BA"/>
    <w:rsid w:val="4BEF33B4"/>
    <w:rsid w:val="4C2F38A5"/>
    <w:rsid w:val="4C320988"/>
    <w:rsid w:val="4C331F8F"/>
    <w:rsid w:val="4C54044A"/>
    <w:rsid w:val="4C7306FC"/>
    <w:rsid w:val="4C7C5EF5"/>
    <w:rsid w:val="4CB57E51"/>
    <w:rsid w:val="4CEE0B24"/>
    <w:rsid w:val="4CF514BF"/>
    <w:rsid w:val="4D0F7FFF"/>
    <w:rsid w:val="4D1717E9"/>
    <w:rsid w:val="4D287306"/>
    <w:rsid w:val="4D3B2BA3"/>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4D3319"/>
    <w:rsid w:val="506505B6"/>
    <w:rsid w:val="5082298F"/>
    <w:rsid w:val="508A631B"/>
    <w:rsid w:val="50A867A1"/>
    <w:rsid w:val="50C231AF"/>
    <w:rsid w:val="50C64E79"/>
    <w:rsid w:val="51121E6C"/>
    <w:rsid w:val="5145397C"/>
    <w:rsid w:val="51C714B0"/>
    <w:rsid w:val="52085A22"/>
    <w:rsid w:val="52242D7E"/>
    <w:rsid w:val="52255532"/>
    <w:rsid w:val="52545EA1"/>
    <w:rsid w:val="527313D2"/>
    <w:rsid w:val="52A5133D"/>
    <w:rsid w:val="52AE4A26"/>
    <w:rsid w:val="52BA6550"/>
    <w:rsid w:val="52C36E5D"/>
    <w:rsid w:val="52D518F2"/>
    <w:rsid w:val="52F413F9"/>
    <w:rsid w:val="53162A7A"/>
    <w:rsid w:val="53466052"/>
    <w:rsid w:val="53581E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C8213D"/>
    <w:rsid w:val="55D97B52"/>
    <w:rsid w:val="5624334F"/>
    <w:rsid w:val="56890087"/>
    <w:rsid w:val="56941399"/>
    <w:rsid w:val="56FE35BF"/>
    <w:rsid w:val="5704401B"/>
    <w:rsid w:val="575F7ED8"/>
    <w:rsid w:val="580D12D8"/>
    <w:rsid w:val="580F0E14"/>
    <w:rsid w:val="58175C92"/>
    <w:rsid w:val="582E1C82"/>
    <w:rsid w:val="583A640D"/>
    <w:rsid w:val="5855257E"/>
    <w:rsid w:val="58650B29"/>
    <w:rsid w:val="58907EDA"/>
    <w:rsid w:val="59142B31"/>
    <w:rsid w:val="592A00D8"/>
    <w:rsid w:val="59594278"/>
    <w:rsid w:val="595B7AB0"/>
    <w:rsid w:val="596040BD"/>
    <w:rsid w:val="59965D30"/>
    <w:rsid w:val="59C832BE"/>
    <w:rsid w:val="5A3D2DC3"/>
    <w:rsid w:val="5A5F5106"/>
    <w:rsid w:val="5A6951E1"/>
    <w:rsid w:val="5A6F70EB"/>
    <w:rsid w:val="5A8C2C8F"/>
    <w:rsid w:val="5ACB5EC5"/>
    <w:rsid w:val="5ADD34EB"/>
    <w:rsid w:val="5AF54CD9"/>
    <w:rsid w:val="5B0A558E"/>
    <w:rsid w:val="5B327420"/>
    <w:rsid w:val="5B45438C"/>
    <w:rsid w:val="5B5B06A3"/>
    <w:rsid w:val="5BAB33C9"/>
    <w:rsid w:val="5BDB7642"/>
    <w:rsid w:val="5C000D60"/>
    <w:rsid w:val="5C0564B8"/>
    <w:rsid w:val="5C1C1980"/>
    <w:rsid w:val="5C4202EB"/>
    <w:rsid w:val="5C487FF6"/>
    <w:rsid w:val="5C751D60"/>
    <w:rsid w:val="5C7B2FBB"/>
    <w:rsid w:val="5C9003EA"/>
    <w:rsid w:val="5CAF45D9"/>
    <w:rsid w:val="5CB8263D"/>
    <w:rsid w:val="5D09221E"/>
    <w:rsid w:val="5D494E95"/>
    <w:rsid w:val="5D525F29"/>
    <w:rsid w:val="5D704AEA"/>
    <w:rsid w:val="5DB56F1E"/>
    <w:rsid w:val="5DC32AF4"/>
    <w:rsid w:val="5DEB6E57"/>
    <w:rsid w:val="5E565A8E"/>
    <w:rsid w:val="5E5A675C"/>
    <w:rsid w:val="5E5F0DE7"/>
    <w:rsid w:val="5E7A598C"/>
    <w:rsid w:val="5E9F7C10"/>
    <w:rsid w:val="5EA41431"/>
    <w:rsid w:val="5EAF73F9"/>
    <w:rsid w:val="5ED715A9"/>
    <w:rsid w:val="5F3673C4"/>
    <w:rsid w:val="5F3B0796"/>
    <w:rsid w:val="5F463DDB"/>
    <w:rsid w:val="5F4D6FE9"/>
    <w:rsid w:val="5F563F98"/>
    <w:rsid w:val="5FB33FD2"/>
    <w:rsid w:val="5FBE1B5B"/>
    <w:rsid w:val="600D4872"/>
    <w:rsid w:val="602F47E9"/>
    <w:rsid w:val="604B0B39"/>
    <w:rsid w:val="607C288E"/>
    <w:rsid w:val="60A26D69"/>
    <w:rsid w:val="60C95C15"/>
    <w:rsid w:val="60DC2E87"/>
    <w:rsid w:val="61334426"/>
    <w:rsid w:val="61351088"/>
    <w:rsid w:val="61BD2095"/>
    <w:rsid w:val="61E53D27"/>
    <w:rsid w:val="622C0E17"/>
    <w:rsid w:val="62605093"/>
    <w:rsid w:val="62695C01"/>
    <w:rsid w:val="62775FD3"/>
    <w:rsid w:val="627E3805"/>
    <w:rsid w:val="62805827"/>
    <w:rsid w:val="62EC6490"/>
    <w:rsid w:val="633D145D"/>
    <w:rsid w:val="63D01E3F"/>
    <w:rsid w:val="63E43B3C"/>
    <w:rsid w:val="640E4535"/>
    <w:rsid w:val="643A375C"/>
    <w:rsid w:val="64466AD2"/>
    <w:rsid w:val="644D74F4"/>
    <w:rsid w:val="646F78AA"/>
    <w:rsid w:val="6482678D"/>
    <w:rsid w:val="64AA5237"/>
    <w:rsid w:val="65253FDA"/>
    <w:rsid w:val="65300472"/>
    <w:rsid w:val="65347A1E"/>
    <w:rsid w:val="65452F82"/>
    <w:rsid w:val="65546A82"/>
    <w:rsid w:val="6560518B"/>
    <w:rsid w:val="65965373"/>
    <w:rsid w:val="65A11F4C"/>
    <w:rsid w:val="65B221E6"/>
    <w:rsid w:val="65DA79A0"/>
    <w:rsid w:val="65DB0E2C"/>
    <w:rsid w:val="6632293D"/>
    <w:rsid w:val="664A365E"/>
    <w:rsid w:val="669D4225"/>
    <w:rsid w:val="66D47E98"/>
    <w:rsid w:val="672158C0"/>
    <w:rsid w:val="677B0314"/>
    <w:rsid w:val="677F6F74"/>
    <w:rsid w:val="67CA2A68"/>
    <w:rsid w:val="67DB2AF0"/>
    <w:rsid w:val="68A11FFC"/>
    <w:rsid w:val="693105D7"/>
    <w:rsid w:val="69386092"/>
    <w:rsid w:val="695119B2"/>
    <w:rsid w:val="69584DB0"/>
    <w:rsid w:val="69840267"/>
    <w:rsid w:val="69A407A8"/>
    <w:rsid w:val="69BF6BDD"/>
    <w:rsid w:val="69D31EB9"/>
    <w:rsid w:val="69D83EDA"/>
    <w:rsid w:val="6A192046"/>
    <w:rsid w:val="6A306175"/>
    <w:rsid w:val="6A526EE5"/>
    <w:rsid w:val="6AA560DB"/>
    <w:rsid w:val="6B0B1A2E"/>
    <w:rsid w:val="6B9D2F4E"/>
    <w:rsid w:val="6BA02A3F"/>
    <w:rsid w:val="6BA03046"/>
    <w:rsid w:val="6BC7249D"/>
    <w:rsid w:val="6BD04C6F"/>
    <w:rsid w:val="6BDC20C6"/>
    <w:rsid w:val="6BEB329A"/>
    <w:rsid w:val="6BF86C35"/>
    <w:rsid w:val="6C166F5C"/>
    <w:rsid w:val="6C1D5E3D"/>
    <w:rsid w:val="6C1E448D"/>
    <w:rsid w:val="6C783074"/>
    <w:rsid w:val="6C9500C9"/>
    <w:rsid w:val="6C9F05FC"/>
    <w:rsid w:val="6CCD7110"/>
    <w:rsid w:val="6CFA617E"/>
    <w:rsid w:val="6D2D0302"/>
    <w:rsid w:val="6D760823"/>
    <w:rsid w:val="6D806BB4"/>
    <w:rsid w:val="6D894A65"/>
    <w:rsid w:val="6DD50E85"/>
    <w:rsid w:val="6DDD3F44"/>
    <w:rsid w:val="6DF10A88"/>
    <w:rsid w:val="6DF47A72"/>
    <w:rsid w:val="6DF76D93"/>
    <w:rsid w:val="6E2E1E7D"/>
    <w:rsid w:val="6E737672"/>
    <w:rsid w:val="6EA5282A"/>
    <w:rsid w:val="6EB04D47"/>
    <w:rsid w:val="6EC425A0"/>
    <w:rsid w:val="6EDD2A32"/>
    <w:rsid w:val="6F593630"/>
    <w:rsid w:val="6F620721"/>
    <w:rsid w:val="6F7076E4"/>
    <w:rsid w:val="6F9D176F"/>
    <w:rsid w:val="6FB04A89"/>
    <w:rsid w:val="6FCA78EF"/>
    <w:rsid w:val="6FE864B6"/>
    <w:rsid w:val="7040659E"/>
    <w:rsid w:val="704412F5"/>
    <w:rsid w:val="70CF2E0D"/>
    <w:rsid w:val="70F55BA8"/>
    <w:rsid w:val="70F57C3D"/>
    <w:rsid w:val="7148570A"/>
    <w:rsid w:val="714B6FA9"/>
    <w:rsid w:val="71551BD5"/>
    <w:rsid w:val="71785618"/>
    <w:rsid w:val="719173FA"/>
    <w:rsid w:val="71C63C72"/>
    <w:rsid w:val="71C965BE"/>
    <w:rsid w:val="727069B4"/>
    <w:rsid w:val="72AD133E"/>
    <w:rsid w:val="72F14A43"/>
    <w:rsid w:val="733E6754"/>
    <w:rsid w:val="734D525A"/>
    <w:rsid w:val="737D0B03"/>
    <w:rsid w:val="739652CB"/>
    <w:rsid w:val="73BB0416"/>
    <w:rsid w:val="73D31E97"/>
    <w:rsid w:val="73E133AB"/>
    <w:rsid w:val="73E612C3"/>
    <w:rsid w:val="74674908"/>
    <w:rsid w:val="747D4685"/>
    <w:rsid w:val="74AF4CFD"/>
    <w:rsid w:val="7550560B"/>
    <w:rsid w:val="756845CD"/>
    <w:rsid w:val="757906F5"/>
    <w:rsid w:val="758E216C"/>
    <w:rsid w:val="762F1A8F"/>
    <w:rsid w:val="763A78B0"/>
    <w:rsid w:val="763C2FCD"/>
    <w:rsid w:val="7646191B"/>
    <w:rsid w:val="769E45BB"/>
    <w:rsid w:val="76D25BC0"/>
    <w:rsid w:val="77130569"/>
    <w:rsid w:val="77281135"/>
    <w:rsid w:val="77407237"/>
    <w:rsid w:val="7743475F"/>
    <w:rsid w:val="77503688"/>
    <w:rsid w:val="77F160D3"/>
    <w:rsid w:val="77F6629C"/>
    <w:rsid w:val="78212811"/>
    <w:rsid w:val="784D2C1B"/>
    <w:rsid w:val="78CC6C6A"/>
    <w:rsid w:val="79134850"/>
    <w:rsid w:val="791372BB"/>
    <w:rsid w:val="79B0623B"/>
    <w:rsid w:val="7A123748"/>
    <w:rsid w:val="7A2533FD"/>
    <w:rsid w:val="7A345D59"/>
    <w:rsid w:val="7A7F5248"/>
    <w:rsid w:val="7A9E7923"/>
    <w:rsid w:val="7ADE32A3"/>
    <w:rsid w:val="7AEA32BE"/>
    <w:rsid w:val="7B2737E9"/>
    <w:rsid w:val="7B564EC8"/>
    <w:rsid w:val="7B5733E2"/>
    <w:rsid w:val="7B781151"/>
    <w:rsid w:val="7B9861E4"/>
    <w:rsid w:val="7BC57958"/>
    <w:rsid w:val="7BDF0A19"/>
    <w:rsid w:val="7C047802"/>
    <w:rsid w:val="7C0A3603"/>
    <w:rsid w:val="7C0B180E"/>
    <w:rsid w:val="7C3A18F2"/>
    <w:rsid w:val="7C3F770A"/>
    <w:rsid w:val="7C60423E"/>
    <w:rsid w:val="7C741AA9"/>
    <w:rsid w:val="7C7554D3"/>
    <w:rsid w:val="7CA659DB"/>
    <w:rsid w:val="7CB67C2D"/>
    <w:rsid w:val="7D7A0E23"/>
    <w:rsid w:val="7DDE371C"/>
    <w:rsid w:val="7E245210"/>
    <w:rsid w:val="7E345FE1"/>
    <w:rsid w:val="7E3B3A15"/>
    <w:rsid w:val="7E621509"/>
    <w:rsid w:val="7E7B38B3"/>
    <w:rsid w:val="7E9868C2"/>
    <w:rsid w:val="7F2A14D1"/>
    <w:rsid w:val="7F4852A7"/>
    <w:rsid w:val="7F614579"/>
    <w:rsid w:val="7F972282"/>
    <w:rsid w:val="7F9D1EA4"/>
    <w:rsid w:val="7FC505D0"/>
    <w:rsid w:val="7FE66D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basedOn w:val="1"/>
    <w:next w:val="1"/>
    <w:link w:val="27"/>
    <w:qFormat/>
    <w:uiPriority w:val="0"/>
    <w:pPr>
      <w:keepNext/>
      <w:numPr>
        <w:ilvl w:val="0"/>
        <w:numId w:val="1"/>
      </w:numPr>
      <w:spacing w:beforeLines="100" w:afterLines="50"/>
      <w:outlineLvl w:val="0"/>
    </w:pPr>
    <w:rPr>
      <w:rFonts w:ascii="宋体" w:hAnsi="宋体"/>
      <w:b/>
      <w:bCs/>
      <w:kern w:val="24"/>
      <w:sz w:val="30"/>
      <w:u w:color="000000"/>
    </w:rPr>
  </w:style>
  <w:style w:type="paragraph" w:styleId="5">
    <w:name w:val="heading 2"/>
    <w:basedOn w:val="1"/>
    <w:next w:val="6"/>
    <w:qFormat/>
    <w:uiPriority w:val="0"/>
    <w:pPr>
      <w:keepNext/>
      <w:keepLines/>
      <w:spacing w:before="260" w:beforeLines="0" w:after="260" w:afterLines="0" w:line="416" w:lineRule="auto"/>
      <w:outlineLvl w:val="1"/>
    </w:pPr>
    <w:rPr>
      <w:rFonts w:ascii="Cambria" w:hAnsi="Cambria"/>
      <w:b/>
      <w:bCs/>
      <w:sz w:val="30"/>
      <w:szCs w:val="32"/>
    </w:rPr>
  </w:style>
  <w:style w:type="paragraph" w:styleId="7">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8">
    <w:name w:val="heading 4"/>
    <w:basedOn w:val="1"/>
    <w:next w:val="1"/>
    <w:semiHidden/>
    <w:unhideWhenUsed/>
    <w:qFormat/>
    <w:uiPriority w:val="9"/>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6">
    <w:name w:val="Normal Indent"/>
    <w:basedOn w:val="1"/>
    <w:unhideWhenUsed/>
    <w:qFormat/>
    <w:uiPriority w:val="0"/>
    <w:pPr>
      <w:ind w:firstLine="420" w:firstLineChars="200"/>
    </w:pPr>
  </w:style>
  <w:style w:type="paragraph" w:styleId="9">
    <w:name w:val="caption"/>
    <w:basedOn w:val="1"/>
    <w:next w:val="1"/>
    <w:unhideWhenUsed/>
    <w:qFormat/>
    <w:uiPriority w:val="35"/>
    <w:rPr>
      <w:rFonts w:eastAsia="黑体" w:asciiTheme="majorHAnsi" w:hAnsiTheme="majorHAnsi" w:cstheme="majorBidi"/>
      <w:sz w:val="20"/>
      <w:szCs w:val="20"/>
    </w:rPr>
  </w:style>
  <w:style w:type="paragraph" w:styleId="10">
    <w:name w:val="Document Map"/>
    <w:basedOn w:val="1"/>
    <w:qFormat/>
    <w:uiPriority w:val="0"/>
    <w:pPr>
      <w:shd w:val="clear" w:color="auto" w:fill="000080"/>
    </w:pPr>
  </w:style>
  <w:style w:type="paragraph" w:styleId="11">
    <w:name w:val="annotation text"/>
    <w:basedOn w:val="1"/>
    <w:link w:val="29"/>
    <w:qFormat/>
    <w:uiPriority w:val="0"/>
  </w:style>
  <w:style w:type="paragraph" w:styleId="12">
    <w:name w:val="Plain Text"/>
    <w:basedOn w:val="1"/>
    <w:qFormat/>
    <w:uiPriority w:val="99"/>
    <w:rPr>
      <w:rFonts w:ascii="宋体" w:hAnsi="Courier New" w:cs="Courier New"/>
      <w:szCs w:val="21"/>
    </w:rPr>
  </w:style>
  <w:style w:type="paragraph" w:styleId="13">
    <w:name w:val="Balloon Text"/>
    <w:basedOn w:val="1"/>
    <w:link w:val="30"/>
    <w:qFormat/>
    <w:uiPriority w:val="0"/>
    <w:rPr>
      <w:sz w:val="18"/>
      <w:szCs w:val="18"/>
    </w:rPr>
  </w:style>
  <w:style w:type="paragraph" w:styleId="14">
    <w:name w:val="footer"/>
    <w:basedOn w:val="1"/>
    <w:link w:val="26"/>
    <w:qFormat/>
    <w:uiPriority w:val="0"/>
    <w:pPr>
      <w:tabs>
        <w:tab w:val="center" w:pos="4153"/>
        <w:tab w:val="right" w:pos="8306"/>
      </w:tabs>
      <w:snapToGrid w:val="0"/>
    </w:pPr>
    <w:rPr>
      <w:sz w:val="18"/>
    </w:rPr>
  </w:style>
  <w:style w:type="paragraph" w:styleId="15">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spacing w:line="240" w:lineRule="auto"/>
      <w:ind w:firstLine="0" w:firstLineChars="0"/>
    </w:pPr>
    <w:rPr>
      <w:sz w:val="21"/>
    </w:rPr>
  </w:style>
  <w:style w:type="paragraph" w:styleId="17">
    <w:name w:val="toc 2"/>
    <w:basedOn w:val="1"/>
    <w:next w:val="1"/>
    <w:unhideWhenUsed/>
    <w:qFormat/>
    <w:uiPriority w:val="39"/>
    <w:pPr>
      <w:widowControl/>
      <w:spacing w:after="100" w:line="259" w:lineRule="auto"/>
      <w:ind w:left="220"/>
    </w:pPr>
    <w:rPr>
      <w:kern w:val="0"/>
      <w:sz w:val="22"/>
    </w:rPr>
  </w:style>
  <w:style w:type="paragraph" w:styleId="18">
    <w:name w:val="annotation subject"/>
    <w:basedOn w:val="11"/>
    <w:next w:val="11"/>
    <w:link w:val="31"/>
    <w:qFormat/>
    <w:uiPriority w:val="0"/>
    <w:rPr>
      <w:b/>
      <w:bCs/>
    </w:rPr>
  </w:style>
  <w:style w:type="table" w:styleId="20">
    <w:name w:val="Table Grid"/>
    <w:basedOn w:val="1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rPr>
  </w:style>
  <w:style w:type="character" w:styleId="23">
    <w:name w:val="page number"/>
    <w:semiHidden/>
    <w:qFormat/>
    <w:uiPriority w:val="0"/>
  </w:style>
  <w:style w:type="character" w:styleId="24">
    <w:name w:val="Hyperlink"/>
    <w:qFormat/>
    <w:uiPriority w:val="99"/>
    <w:rPr>
      <w:color w:val="0000FF"/>
      <w:u w:val="single"/>
    </w:rPr>
  </w:style>
  <w:style w:type="character" w:styleId="25">
    <w:name w:val="annotation reference"/>
    <w:qFormat/>
    <w:uiPriority w:val="0"/>
    <w:rPr>
      <w:sz w:val="21"/>
      <w:szCs w:val="21"/>
    </w:rPr>
  </w:style>
  <w:style w:type="character" w:customStyle="1" w:styleId="26">
    <w:name w:val="页脚 字符"/>
    <w:link w:val="14"/>
    <w:qFormat/>
    <w:uiPriority w:val="0"/>
    <w:rPr>
      <w:rFonts w:ascii="Times New Roman" w:hAnsi="Times New Roman" w:eastAsia="宋体" w:cs="Times New Roman"/>
      <w:sz w:val="18"/>
      <w:szCs w:val="24"/>
    </w:rPr>
  </w:style>
  <w:style w:type="character" w:customStyle="1" w:styleId="27">
    <w:name w:val="标题 1 字符"/>
    <w:link w:val="4"/>
    <w:qFormat/>
    <w:uiPriority w:val="0"/>
    <w:rPr>
      <w:rFonts w:ascii="宋体" w:hAnsi="宋体"/>
      <w:b/>
      <w:bCs/>
      <w:kern w:val="24"/>
      <w:sz w:val="30"/>
      <w:szCs w:val="24"/>
      <w:u w:color="000000"/>
    </w:rPr>
  </w:style>
  <w:style w:type="character" w:customStyle="1" w:styleId="28">
    <w:name w:val="页眉 字符"/>
    <w:link w:val="15"/>
    <w:qFormat/>
    <w:uiPriority w:val="0"/>
    <w:rPr>
      <w:rFonts w:ascii="Times New Roman" w:hAnsi="Times New Roman" w:eastAsia="宋体" w:cs="Times New Roman"/>
      <w:sz w:val="18"/>
      <w:szCs w:val="18"/>
    </w:rPr>
  </w:style>
  <w:style w:type="character" w:customStyle="1" w:styleId="29">
    <w:name w:val="批注文字 字符"/>
    <w:link w:val="11"/>
    <w:qFormat/>
    <w:uiPriority w:val="0"/>
    <w:rPr>
      <w:rFonts w:ascii="Times New Roman" w:hAnsi="Times New Roman"/>
      <w:kern w:val="2"/>
      <w:sz w:val="21"/>
      <w:szCs w:val="24"/>
    </w:rPr>
  </w:style>
  <w:style w:type="character" w:customStyle="1" w:styleId="30">
    <w:name w:val="批注框文本 字符"/>
    <w:link w:val="13"/>
    <w:qFormat/>
    <w:uiPriority w:val="0"/>
    <w:rPr>
      <w:rFonts w:ascii="Times New Roman" w:hAnsi="Times New Roman"/>
      <w:kern w:val="2"/>
      <w:sz w:val="18"/>
      <w:szCs w:val="18"/>
    </w:rPr>
  </w:style>
  <w:style w:type="character" w:customStyle="1" w:styleId="31">
    <w:name w:val="批注主题 字符"/>
    <w:link w:val="18"/>
    <w:qFormat/>
    <w:uiPriority w:val="0"/>
    <w:rPr>
      <w:rFonts w:ascii="Times New Roman" w:hAnsi="Times New Roman"/>
      <w:b/>
      <w:bCs/>
      <w:kern w:val="2"/>
      <w:sz w:val="21"/>
      <w:szCs w:val="24"/>
    </w:rPr>
  </w:style>
  <w:style w:type="paragraph" w:customStyle="1" w:styleId="32">
    <w:name w:val="修订1"/>
    <w:qFormat/>
    <w:uiPriority w:val="0"/>
    <w:rPr>
      <w:rFonts w:ascii="Times New Roman" w:hAnsi="Times New Roman" w:eastAsia="宋体" w:cs="Times New Roman"/>
      <w:kern w:val="2"/>
      <w:sz w:val="21"/>
      <w:szCs w:val="24"/>
      <w:lang w:val="en-US" w:eastAsia="zh-CN" w:bidi="ar-SA"/>
    </w:rPr>
  </w:style>
  <w:style w:type="paragraph" w:customStyle="1" w:styleId="33">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9">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40">
    <w:name w:val="正文首先缩进"/>
    <w:basedOn w:val="1"/>
    <w:qFormat/>
    <w:uiPriority w:val="0"/>
    <w:pPr>
      <w:spacing w:line="360" w:lineRule="auto"/>
      <w:ind w:firstLine="420" w:firstLineChars="200"/>
    </w:pPr>
  </w:style>
  <w:style w:type="paragraph" w:customStyle="1" w:styleId="41">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B3E7A-6C58-421D-A3C7-862D2BF5EF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Pages>
  <Words>5014</Words>
  <Characters>5192</Characters>
  <Lines>128</Lines>
  <Paragraphs>114</Paragraphs>
  <TotalTime>0</TotalTime>
  <ScaleCrop>false</ScaleCrop>
  <LinksUpToDate>false</LinksUpToDate>
  <CharactersWithSpaces>5243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2025-03-19T16:10:00Z</dcterms:created>
  <dc:creator>Chen Xiangyu</dc:creator>
  <cp:lastModifiedBy>成谋</cp:lastModifiedBy>
  <cp:lastPrinted>2025-03-06T07:48:00Z</cp:lastPrinted>
  <dcterms:modified xsi:type="dcterms:W3CDTF">2026-06-25T07:13:19Z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572DB7DF31A44B428AC6BDA69CD08CBA</vt:lpwstr>
  </property>
  <property fmtid="{D5CDD505-2E9C-101B-9397-08002B2CF9AE}" pid="4" name="KSOTemplateDocerSaveRecord">
    <vt:lpwstr>eyJoZGlkIjoiZjRjNDc4ZGNjMzc0OTE1YjZhNDBhY2Q2MmExNmE5NTUiLCJ1c2VySWQiOiI0NDY2OTMxMTkifQ==</vt:lpwstr>
  </property>
</Properties>
</file>