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rPr>
      </w:pPr>
      <w:bookmarkStart w:id="0" w:name="_Toc309593257"/>
      <w:bookmarkStart w:id="1" w:name="_Toc309593186"/>
      <w:bookmarkStart w:id="2" w:name="_Toc309805581"/>
      <w:bookmarkStart w:id="3" w:name="_Toc307577976"/>
    </w:p>
    <w:p>
      <w:pPr>
        <w:tabs>
          <w:tab w:val="left" w:pos="0"/>
        </w:tabs>
        <w:ind w:firstLine="1044"/>
        <w:jc w:val="center"/>
        <w:rPr>
          <w:rFonts w:ascii="仿宋_GB2312"/>
          <w:sz w:val="44"/>
        </w:rPr>
      </w:pPr>
    </w:p>
    <w:p>
      <w:pPr>
        <w:tabs>
          <w:tab w:val="left" w:pos="0"/>
        </w:tabs>
        <w:ind w:firstLine="964"/>
        <w:jc w:val="center"/>
        <w:rPr>
          <w:rFonts w:hint="eastAsia" w:ascii="宋体" w:hAnsi="宋体"/>
          <w:b/>
          <w:sz w:val="48"/>
          <w:szCs w:val="48"/>
        </w:rPr>
      </w:pPr>
    </w:p>
    <w:p>
      <w:pPr>
        <w:tabs>
          <w:tab w:val="left" w:pos="0"/>
        </w:tabs>
        <w:ind w:firstLine="964"/>
        <w:jc w:val="center"/>
        <w:rPr>
          <w:rFonts w:hint="eastAsia" w:ascii="宋体" w:hAnsi="宋体"/>
          <w:b/>
          <w:sz w:val="48"/>
          <w:szCs w:val="48"/>
        </w:rPr>
      </w:pPr>
    </w:p>
    <w:p>
      <w:pPr>
        <w:tabs>
          <w:tab w:val="left" w:pos="0"/>
        </w:tabs>
        <w:spacing w:line="240" w:lineRule="auto"/>
        <w:ind w:firstLine="964"/>
        <w:jc w:val="center"/>
        <w:rPr>
          <w:rFonts w:hint="eastAsia" w:ascii="宋体" w:hAnsi="宋体"/>
          <w:b/>
          <w:sz w:val="48"/>
          <w:szCs w:val="48"/>
        </w:rPr>
      </w:pPr>
    </w:p>
    <w:p>
      <w:pPr>
        <w:adjustRightInd w:val="0"/>
        <w:snapToGrid w:val="0"/>
        <w:ind w:firstLine="0" w:firstLineChars="0"/>
        <w:jc w:val="center"/>
        <w:rPr>
          <w:rFonts w:ascii="Calibri" w:hAnsi="Calibri" w:eastAsia="黑体"/>
          <w:b/>
          <w:sz w:val="52"/>
        </w:rPr>
      </w:pPr>
      <w:r>
        <w:rPr>
          <w:rFonts w:hint="eastAsia" w:ascii="Calibri" w:hAnsi="Calibri" w:eastAsia="黑体"/>
          <w:b/>
          <w:sz w:val="52"/>
          <w:lang w:val="en-US" w:eastAsia="zh-CN"/>
        </w:rPr>
        <w:t>南网超高压公司百色局2026年职创项目（一种35kV干式电抗器快速灭火小车研制）技术规范书</w:t>
      </w:r>
    </w:p>
    <w:p>
      <w:pPr>
        <w:ind w:firstLine="600"/>
        <w:rPr>
          <w:sz w:val="30"/>
          <w:szCs w:val="30"/>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pPr>
        <w:pStyle w:val="6"/>
        <w:rPr>
          <w:sz w:val="28"/>
          <w:szCs w:val="36"/>
        </w:rPr>
      </w:pPr>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bookmarkStart w:id="4" w:name="_Toc30053"/>
      <w:bookmarkStart w:id="5" w:name="_Toc218675718"/>
      <w:bookmarkStart w:id="6" w:name="_Toc19998"/>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0" w:firstLineChars="0"/>
        <w:jc w:val="center"/>
        <w:rPr>
          <w:rFonts w:hint="eastAsia" w:hAnsi="宋体"/>
          <w:b/>
          <w:spacing w:val="100"/>
          <w:sz w:val="32"/>
          <w:szCs w:val="30"/>
        </w:rPr>
      </w:pPr>
    </w:p>
    <w:p>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TOC \o "1-1" \h \u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_Toc9520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1.总则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_Toc9520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_Toc5588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2.应遵循的主要标准</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_Toc5588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_Toc16474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3.使用条件</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_Toc16474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_Toc27043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4.制作原则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_Toc27043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_Toc22696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5.技术服务内容及方式</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_Toc22696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_Toc23208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6.对投标方的要求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_Toc23208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9</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_Toc30826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7.售后服务及其它服务要求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_Toc30826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_Toc16657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8.对投标技术文件的要求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_Toc16657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12</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pP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pPr>
        <w:pStyle w:val="4"/>
        <w:numPr>
          <w:ilvl w:val="255"/>
          <w:numId w:val="0"/>
        </w:numPr>
        <w:spacing w:before="312" w:after="156"/>
        <w:rPr>
          <w:rFonts w:hint="eastAsia" w:ascii="宋体" w:hAnsi="宋体" w:eastAsia="宋体" w:cs="Times New Roman"/>
        </w:rPr>
      </w:pPr>
      <w:bookmarkStart w:id="7" w:name="_Toc9520"/>
      <w:bookmarkStart w:id="8" w:name="_Toc28984"/>
      <w:bookmarkStart w:id="9" w:name="_Toc5872"/>
      <w:r>
        <w:rPr>
          <w:rFonts w:hint="eastAsia" w:ascii="宋体" w:hAnsi="宋体" w:eastAsia="宋体" w:cs="Times New Roman"/>
        </w:rPr>
        <w:t>1.</w:t>
      </w:r>
      <w:r>
        <w:rPr>
          <w:rFonts w:ascii="宋体" w:hAnsi="宋体" w:eastAsia="宋体" w:cs="Times New Roman"/>
        </w:rPr>
        <w:t>总则</w:t>
      </w:r>
      <w:bookmarkEnd w:id="7"/>
      <w:bookmarkEnd w:id="8"/>
      <w:bookmarkEnd w:id="9"/>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w:t>
      </w:r>
      <w:r>
        <w:rPr>
          <w:rFonts w:hint="eastAsia" w:ascii="宋体" w:hAnsi="宋体" w:cs="宋体"/>
          <w:lang w:val="en-US" w:eastAsia="zh-CN"/>
        </w:rPr>
        <w:t>（一种35kV干式电抗器快速灭火小车研制）</w:t>
      </w:r>
      <w:r>
        <w:rPr>
          <w:rFonts w:hint="eastAsia" w:ascii="宋体" w:hAnsi="宋体" w:eastAsia="宋体" w:cs="宋体"/>
          <w:lang w:val="en-US" w:eastAsia="zh-CN"/>
        </w:rPr>
        <w:t>》，提出了项目的技术内容、工期进度等要求，投标方应针对自身特点，根据本技术规范书所描述的具体要求，提供完整的解决方案。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pPr>
        <w:pStyle w:val="4"/>
        <w:numPr>
          <w:ilvl w:val="255"/>
          <w:numId w:val="0"/>
        </w:numPr>
        <w:spacing w:before="312" w:after="156"/>
        <w:rPr>
          <w:rFonts w:hint="eastAsia" w:ascii="宋体" w:hAnsi="宋体" w:eastAsia="宋体" w:cs="Times New Roman"/>
        </w:rPr>
      </w:pPr>
      <w:bookmarkStart w:id="11" w:name="_Toc2740"/>
      <w:bookmarkStart w:id="12" w:name="_Toc5588"/>
      <w:r>
        <w:rPr>
          <w:rFonts w:hint="eastAsia" w:ascii="宋体" w:hAnsi="宋体" w:eastAsia="宋体" w:cs="Times New Roman"/>
        </w:rPr>
        <w:t>2.应遵循的主要标准</w:t>
      </w:r>
      <w:bookmarkEnd w:id="10"/>
      <w:bookmarkEnd w:id="11"/>
      <w:bookmarkEnd w:id="12"/>
    </w:p>
    <w:bookmarkEnd w:id="0"/>
    <w:bookmarkEnd w:id="1"/>
    <w:bookmarkEnd w:id="2"/>
    <w:bookmarkEnd w:id="3"/>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本项目实施过程中所应用到的各种标准，由投标方推荐，经招标方确认后由投标方提供并在项目中使用。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推荐使用但不限于以下标准：</w:t>
      </w:r>
    </w:p>
    <w:tbl>
      <w:tblPr>
        <w:tblStyle w:val="1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34"/>
        <w:gridCol w:w="5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标准号</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rPr>
              <w:t>GB</w:t>
            </w:r>
            <w:r>
              <w:rPr>
                <w:rFonts w:hint="eastAsia" w:ascii="Times New Roman"/>
                <w:szCs w:val="21"/>
                <w:lang w:val="en-US" w:eastAsia="zh-CN"/>
              </w:rPr>
              <w:t xml:space="preserve"> </w:t>
            </w:r>
            <w:r>
              <w:rPr>
                <w:rFonts w:hint="eastAsia" w:ascii="Times New Roman"/>
                <w:szCs w:val="21"/>
              </w:rPr>
              <w:t>50974</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lang w:val="en-US" w:eastAsia="zh-CN"/>
              </w:rPr>
              <w:t>消防给水及消火栓系统技术规范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lang w:val="en-US" w:eastAsia="zh-CN"/>
              </w:rPr>
              <w:t>GB 5135</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lang w:val="en-US" w:eastAsia="zh-CN"/>
              </w:rPr>
              <w:t>自动喷水灭火系统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eastAsia" w:ascii="Times New Roman"/>
                <w:szCs w:val="21"/>
                <w:lang w:val="en-US" w:eastAsia="zh-CN"/>
              </w:rPr>
              <w:t>GB/T 17626</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eastAsia" w:ascii="Times New Roman"/>
                <w:szCs w:val="21"/>
                <w:lang w:val="en-US" w:eastAsia="zh-CN"/>
              </w:rPr>
              <w:t>电磁兼容试验和测量技术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color w:val="000000"/>
                <w:sz w:val="21"/>
                <w:szCs w:val="21"/>
                <w:lang w:val="en-US" w:eastAsia="zh-CN"/>
              </w:rPr>
              <w:t>DL/T 620</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color w:val="000000"/>
                <w:sz w:val="21"/>
                <w:szCs w:val="21"/>
                <w:lang w:val="en-US" w:eastAsia="zh-CN"/>
              </w:rPr>
              <w:t>交流电气装置的过电压保护和绝缘配合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rPr>
              <w:t>DL/T 5161</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电气装置安装工程质量检验及评定规程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rPr>
              <w:t>GB</w:t>
            </w:r>
            <w:r>
              <w:rPr>
                <w:rFonts w:hint="eastAsia" w:ascii="Times New Roman"/>
                <w:color w:val="000000"/>
                <w:sz w:val="21"/>
                <w:szCs w:val="21"/>
                <w:lang w:val="en-US" w:eastAsia="zh-CN"/>
              </w:rPr>
              <w:t xml:space="preserve">/T </w:t>
            </w:r>
            <w:r>
              <w:rPr>
                <w:rFonts w:hint="eastAsia" w:ascii="Times New Roman" w:hAnsi="Times New Roman" w:eastAsia="宋体"/>
                <w:color w:val="000000"/>
                <w:sz w:val="21"/>
                <w:szCs w:val="21"/>
              </w:rPr>
              <w:t>856</w:t>
            </w:r>
            <w:r>
              <w:rPr>
                <w:rFonts w:hint="eastAsia" w:ascii="Times New Roman"/>
                <w:color w:val="000000"/>
                <w:sz w:val="21"/>
                <w:szCs w:val="21"/>
                <w:lang w:val="en-US" w:eastAsia="zh-CN"/>
              </w:rPr>
              <w:t>7</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计算机软件产品</w:t>
            </w:r>
            <w:r>
              <w:rPr>
                <w:rFonts w:hint="eastAsia" w:ascii="Times New Roman"/>
                <w:color w:val="000000"/>
                <w:sz w:val="21"/>
                <w:szCs w:val="21"/>
                <w:lang w:eastAsia="zh-CN"/>
              </w:rPr>
              <w:t>制作</w:t>
            </w:r>
            <w:r>
              <w:rPr>
                <w:rFonts w:hint="eastAsia" w:ascii="Times New Roman" w:hAnsi="Times New Roman" w:eastAsia="宋体"/>
                <w:color w:val="000000"/>
                <w:sz w:val="21"/>
                <w:szCs w:val="21"/>
              </w:rPr>
              <w:t>文件编制指南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GB/T 12504-90 </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计算机软件质量保证计划规范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bookmarkStart w:id="13" w:name="_Toc25883"/>
            <w:bookmarkStart w:id="14" w:name="_Toc16474"/>
            <w:bookmarkStart w:id="15" w:name="_Toc7639"/>
            <w:r>
              <w:rPr>
                <w:rFonts w:hint="eastAsia" w:ascii="Times New Roman" w:hAnsi="Times New Roman" w:eastAsia="宋体" w:cs="Times New Roman"/>
                <w:i w:val="0"/>
                <w:iCs w:val="0"/>
                <w:color w:val="000000"/>
                <w:kern w:val="0"/>
                <w:sz w:val="21"/>
                <w:szCs w:val="21"/>
                <w:highlight w:val="none"/>
                <w:u w:val="none"/>
                <w:lang w:val="en-US" w:eastAsia="zh-CN" w:bidi="ar"/>
              </w:rPr>
              <w:t>Q/CSG 1205056.2-2022</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default" w:ascii="宋体" w:hAnsi="宋体" w:eastAsia="宋体" w:cs="宋体"/>
                <w:i w:val="0"/>
                <w:iCs w:val="0"/>
                <w:color w:val="000000"/>
                <w:kern w:val="0"/>
                <w:sz w:val="22"/>
                <w:szCs w:val="22"/>
                <w:highlight w:val="none"/>
                <w:u w:val="none"/>
                <w:lang w:val="en-US" w:eastAsia="zh-CN" w:bidi="ar"/>
              </w:rPr>
              <w:t>南方电网</w:t>
            </w:r>
            <w:r>
              <w:rPr>
                <w:rFonts w:hint="eastAsia" w:ascii="宋体" w:hAnsi="宋体" w:eastAsia="宋体" w:cs="宋体"/>
                <w:i w:val="0"/>
                <w:iCs w:val="0"/>
                <w:color w:val="000000"/>
                <w:kern w:val="0"/>
                <w:sz w:val="22"/>
                <w:szCs w:val="22"/>
                <w:highlight w:val="none"/>
                <w:u w:val="none"/>
                <w:lang w:val="en-US" w:eastAsia="zh-CN" w:bidi="ar"/>
              </w:rPr>
              <w:t>电力安全工作规程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color w:val="000000"/>
                <w:sz w:val="21"/>
                <w:szCs w:val="21"/>
                <w:lang w:val="en-US" w:eastAsia="zh-CN"/>
              </w:rPr>
            </w:pPr>
            <w:r>
              <w:rPr>
                <w:rFonts w:hint="eastAsia" w:ascii="Times New Roman" w:hAnsi="Times New Roman" w:eastAsia="宋体"/>
                <w:color w:val="000000"/>
                <w:sz w:val="21"/>
                <w:szCs w:val="21"/>
              </w:rPr>
              <w:t>Q/CSG</w:t>
            </w:r>
            <w:r>
              <w:rPr>
                <w:rFonts w:hint="eastAsia" w:ascii="Times New Roman" w:cs="Times New Roman"/>
                <w:i w:val="0"/>
                <w:iCs w:val="0"/>
                <w:color w:val="000000"/>
                <w:kern w:val="0"/>
                <w:sz w:val="21"/>
                <w:szCs w:val="21"/>
                <w:highlight w:val="none"/>
                <w:u w:val="none"/>
                <w:lang w:val="en-US" w:eastAsia="zh-CN" w:bidi="ar"/>
              </w:rPr>
              <w:t xml:space="preserve"> 1206007-2017</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color w:val="000000"/>
                <w:sz w:val="21"/>
                <w:szCs w:val="21"/>
                <w:lang w:val="en-US" w:eastAsia="zh-CN"/>
              </w:rPr>
            </w:pPr>
            <w:r>
              <w:rPr>
                <w:rFonts w:hint="eastAsia" w:hAnsi="宋体" w:cs="宋体"/>
                <w:i w:val="0"/>
                <w:iCs w:val="0"/>
                <w:color w:val="000000"/>
                <w:kern w:val="0"/>
                <w:sz w:val="22"/>
                <w:szCs w:val="22"/>
                <w:highlight w:val="none"/>
                <w:u w:val="none"/>
                <w:lang w:val="en-US" w:eastAsia="zh-CN" w:bidi="ar"/>
              </w:rPr>
              <w:t>电力设备检修试验规程</w:t>
            </w:r>
          </w:p>
        </w:tc>
      </w:tr>
    </w:tbl>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3.使用条件</w:t>
      </w:r>
      <w:bookmarkEnd w:id="13"/>
      <w:bookmarkEnd w:id="14"/>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3.1正常工作条件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（1）海拔高度：4000m及以下任何海拔高度均可正常使用（北京54坐标系）；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（2）最高环境温度：+55ºC；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（3）最低环境温度：-20ºC；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（4）年平均气温：20ºC；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（5）覆冰厚度：0～30mm；</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（6）最大设计风速：20m/s</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（7）环境相对湿度：80%；</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（8）灭火小车应该能在规定的荷载内正常运行。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3.2特殊工作条件</w:t>
      </w:r>
    </w:p>
    <w:p>
      <w:pPr>
        <w:tabs>
          <w:tab w:val="left" w:pos="851"/>
        </w:tabs>
        <w:ind w:firstLine="480"/>
        <w:rPr>
          <w:rFonts w:hint="default" w:ascii="宋体" w:hAnsi="宋体" w:eastAsia="宋体" w:cs="宋体"/>
          <w:lang w:val="en-US" w:eastAsia="zh-CN"/>
        </w:rPr>
      </w:pPr>
      <w:r>
        <w:rPr>
          <w:rFonts w:hint="eastAsia" w:ascii="宋体" w:hAnsi="宋体" w:eastAsia="宋体" w:cs="宋体"/>
          <w:lang w:val="en-US" w:eastAsia="zh-CN"/>
        </w:rPr>
        <w:t>针对具体应用工况，用户根据实际需求提出特殊工作条件。当超出正常与特殊工作条件时</w:t>
      </w:r>
      <w:r>
        <w:rPr>
          <w:rFonts w:hint="eastAsia" w:ascii="宋体" w:hAnsi="宋体" w:cs="宋体"/>
          <w:lang w:val="en-US" w:eastAsia="zh-CN"/>
        </w:rPr>
        <w:t>，由招、投标双方协商确定。</w:t>
      </w:r>
    </w:p>
    <w:p>
      <w:pPr>
        <w:pStyle w:val="4"/>
        <w:numPr>
          <w:ilvl w:val="255"/>
          <w:numId w:val="0"/>
        </w:numPr>
        <w:spacing w:before="312" w:after="156"/>
        <w:rPr>
          <w:rFonts w:hint="eastAsia" w:ascii="宋体" w:hAnsi="宋体" w:eastAsia="宋体" w:cs="Times New Roman"/>
        </w:rPr>
      </w:pPr>
      <w:bookmarkStart w:id="16" w:name="_Toc14218"/>
      <w:bookmarkStart w:id="17" w:name="_Toc27043"/>
      <w:r>
        <w:rPr>
          <w:rFonts w:hint="eastAsia" w:ascii="宋体" w:hAnsi="宋体" w:eastAsia="宋体" w:cs="Times New Roman"/>
          <w:lang w:val="en-US" w:eastAsia="zh-CN"/>
        </w:rPr>
        <w:t>4</w:t>
      </w:r>
      <w:r>
        <w:rPr>
          <w:rFonts w:hint="eastAsia" w:cs="Times New Roman"/>
          <w:lang w:val="en-US" w:eastAsia="zh-CN"/>
        </w:rPr>
        <w:t>.</w:t>
      </w:r>
      <w:r>
        <w:rPr>
          <w:rFonts w:hint="eastAsia" w:ascii="宋体" w:hAnsi="宋体" w:eastAsia="宋体" w:cs="Times New Roman"/>
          <w:lang w:val="en-US" w:eastAsia="zh-CN"/>
        </w:rPr>
        <w:t>制作原则</w:t>
      </w:r>
      <w:bookmarkEnd w:id="16"/>
      <w:bookmarkEnd w:id="1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（1）先进性原则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遵循南方电网公司的软件优化总体规划与要求，并结合南方电网公司现状，参考国际经验，充分利用各项先进技术，采用创新型设计技术。以现场实际实用为目标，采用安全、高效、便携的技术方案，全面实现能效提升、业务提升及管理提升，确保软件的先进性和实用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（2）安全性原则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 xml:space="preserve">  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并结合平台功能的业务特点加强信息安全防护，支持多种安全可靠性技术手段，制定严格的安全可靠性管理措施。通过权限管理、安全隔离、信息加密等措施，构建通信层、网络层、系统层、应用层等多层面的立体安全防护体系，确保平台安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（3）可靠性原则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系统需要7*24小时不间断、可靠运行，因此必须配备完善的可靠性措施设计，保证系统运行的高度可靠。要充分考虑关键应用的可靠性要求，在数据库、主机、应用部署、网络等关键环节配备多种高可用性方案。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（4）规范化原则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设计应遵循相关国际标准、国家标准、行业标准及公司标准，统一设计、统一开发和应用，遵循南方电网公司数字电网模型设计，保持平台设计、开发、实施过程中全程规范化管理，对项目质量和进度严格管控。</w:t>
      </w:r>
    </w:p>
    <w:p>
      <w:pPr>
        <w:pStyle w:val="4"/>
        <w:numPr>
          <w:ilvl w:val="255"/>
          <w:numId w:val="0"/>
        </w:numPr>
        <w:spacing w:before="312" w:after="156"/>
        <w:rPr>
          <w:rFonts w:hint="eastAsia" w:ascii="宋体" w:hAnsi="宋体" w:eastAsia="宋体" w:cs="Times New Roman"/>
        </w:rPr>
      </w:pPr>
      <w:bookmarkStart w:id="18" w:name="_Toc22696"/>
      <w:bookmarkStart w:id="19" w:name="_Toc32566"/>
      <w:r>
        <w:rPr>
          <w:rFonts w:hint="eastAsia" w:ascii="宋体" w:hAnsi="宋体" w:eastAsia="宋体" w:cs="Times New Roman"/>
          <w:lang w:val="en-US" w:eastAsia="zh-CN"/>
        </w:rPr>
        <w:t>5</w:t>
      </w:r>
      <w:r>
        <w:rPr>
          <w:rFonts w:hint="eastAsia" w:cs="Times New Roman"/>
          <w:lang w:val="en-US" w:eastAsia="zh-CN"/>
        </w:rPr>
        <w:t>.</w:t>
      </w:r>
      <w:r>
        <w:rPr>
          <w:rFonts w:hint="eastAsia" w:ascii="宋体" w:hAnsi="宋体" w:eastAsia="宋体" w:cs="Times New Roman"/>
        </w:rPr>
        <w:t>技术服务内容及方式</w:t>
      </w:r>
      <w:bookmarkEnd w:id="15"/>
      <w:bookmarkEnd w:id="18"/>
      <w:bookmarkEnd w:id="19"/>
    </w:p>
    <w:p>
      <w:pPr>
        <w:tabs>
          <w:tab w:val="left" w:pos="851"/>
        </w:tabs>
        <w:ind w:firstLine="480"/>
        <w:rPr>
          <w:rFonts w:hint="eastAsia" w:ascii="宋体" w:hAnsi="宋体" w:eastAsia="宋体" w:cs="宋体"/>
          <w:lang w:val="en-US" w:eastAsia="zh-CN"/>
        </w:rPr>
      </w:pPr>
      <w:bookmarkStart w:id="20" w:name="_Toc369561308"/>
      <w:bookmarkStart w:id="21" w:name="_Toc369559705"/>
      <w:r>
        <w:rPr>
          <w:rFonts w:hint="eastAsia" w:ascii="宋体" w:hAnsi="宋体" w:eastAsia="宋体" w:cs="宋体"/>
          <w:lang w:val="en-US" w:eastAsia="zh-CN"/>
        </w:rPr>
        <w:t>服务期限为合同生效之日起至2026年1</w:t>
      </w:r>
      <w:r>
        <w:rPr>
          <w:rFonts w:hint="eastAsia" w:ascii="宋体" w:hAnsi="宋体" w:cs="宋体"/>
          <w:lang w:val="en-US" w:eastAsia="zh-CN"/>
        </w:rPr>
        <w:t>2</w:t>
      </w:r>
      <w:r>
        <w:rPr>
          <w:rFonts w:hint="eastAsia" w:ascii="宋体" w:hAnsi="宋体" w:eastAsia="宋体" w:cs="宋体"/>
          <w:lang w:val="en-US" w:eastAsia="zh-CN"/>
        </w:rPr>
        <w:t>月</w:t>
      </w:r>
      <w:r>
        <w:rPr>
          <w:rFonts w:hint="eastAsia" w:ascii="宋体" w:hAnsi="宋体" w:cs="宋体"/>
          <w:lang w:val="en-US" w:eastAsia="zh-CN"/>
        </w:rPr>
        <w:t>20</w:t>
      </w:r>
      <w:r>
        <w:rPr>
          <w:rFonts w:hint="eastAsia" w:ascii="宋体" w:hAnsi="宋体" w:eastAsia="宋体" w:cs="宋体"/>
          <w:lang w:val="en-US" w:eastAsia="zh-CN"/>
        </w:rPr>
        <w:t>日。</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本创新项目需根据加工、制作、调试的实际情况前往现场开展勘查、安装及调试工作，具体项目地点需联系相关项目负责人。</w:t>
      </w:r>
    </w:p>
    <w:bookmarkEnd w:id="20"/>
    <w:bookmarkEnd w:id="21"/>
    <w:p>
      <w:pPr>
        <w:snapToGrid w:val="0"/>
        <w:spacing w:line="360" w:lineRule="auto"/>
        <w:ind w:firstLine="0" w:firstLineChars="0"/>
        <w:jc w:val="center"/>
        <w:rPr>
          <w:rFonts w:hint="eastAsia"/>
          <w:color w:val="auto"/>
          <w:szCs w:val="21"/>
          <w:highlight w:val="none"/>
          <w:lang w:val="en-US" w:eastAsia="zh-CN"/>
        </w:rPr>
      </w:pPr>
      <w:bookmarkStart w:id="22" w:name="_Toc27075"/>
      <w:bookmarkStart w:id="23" w:name="_Toc12318"/>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19"/>
        <w:tblW w:w="9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1338"/>
        <w:gridCol w:w="4348"/>
        <w:gridCol w:w="204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序号</w:t>
            </w:r>
          </w:p>
        </w:tc>
        <w:tc>
          <w:tcPr>
            <w:tcW w:w="1338" w:type="dxa"/>
            <w:noWrap w:val="0"/>
            <w:vAlign w:val="center"/>
          </w:tcPr>
          <w:p>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标的名称</w:t>
            </w:r>
          </w:p>
        </w:tc>
        <w:tc>
          <w:tcPr>
            <w:tcW w:w="4348" w:type="dxa"/>
            <w:noWrap w:val="0"/>
            <w:vAlign w:val="center"/>
          </w:tcPr>
          <w:p>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服务内容</w:t>
            </w:r>
          </w:p>
        </w:tc>
        <w:tc>
          <w:tcPr>
            <w:tcW w:w="2048"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交付物</w:t>
            </w:r>
          </w:p>
        </w:tc>
        <w:tc>
          <w:tcPr>
            <w:tcW w:w="1309"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bookmarkStart w:id="24" w:name="_Toc12691"/>
            <w:bookmarkStart w:id="25" w:name="_Toc14394"/>
            <w:bookmarkStart w:id="26" w:name="_Toc369559710"/>
            <w:bookmarkStart w:id="27" w:name="_Toc7886"/>
            <w:bookmarkStart w:id="28" w:name="_Toc369561313"/>
            <w:bookmarkStart w:id="29" w:name="_Toc2581"/>
            <w:r>
              <w:rPr>
                <w:rFonts w:hint="eastAsia" w:ascii="宋体" w:hAnsi="宋体" w:cs="宋体"/>
                <w:i w:val="0"/>
                <w:iCs w:val="0"/>
                <w:color w:val="000000"/>
                <w:kern w:val="0"/>
                <w:sz w:val="20"/>
                <w:szCs w:val="20"/>
                <w:highlight w:val="none"/>
                <w:u w:val="none"/>
                <w:lang w:val="en-US" w:eastAsia="zh-CN" w:bidi="ar"/>
              </w:rPr>
              <w:t>1</w:t>
            </w:r>
          </w:p>
        </w:tc>
        <w:tc>
          <w:tcPr>
            <w:tcW w:w="133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一种35kV干式电抗器快速灭火小车研制</w:t>
            </w:r>
          </w:p>
        </w:tc>
        <w:tc>
          <w:tcPr>
            <w:tcW w:w="434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根据招标方设计方案，协助完成：</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1.可升降装置研制。研制可托举改装喷头进行上升和下降的可升降装置，根据需要调节喷头高度，达到干式电抗器快速灭火需求。</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2.水压调节小车研制。采用三轮设计，入水端采用Y型过滤管，研制水压调节装置，精确控制水压输出，改变喷水覆盖范围。</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3.改造喷头模块研制。研制能够实现纵向喷水和横向喷水的改造喷头模块，精确控制喷水量，实现大范围喷水覆盖。</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4.控制模块研制。研制控制模块，实现喷洒范围、水流量、水压的实时调节，适应不同灭火需求。</w:t>
            </w:r>
          </w:p>
          <w:p>
            <w:pPr>
              <w:keepNext w:val="0"/>
              <w:keepLines w:val="0"/>
              <w:widowControl/>
              <w:suppressLineNumbers w:val="0"/>
              <w:spacing w:line="240" w:lineRule="auto"/>
              <w:ind w:firstLine="0" w:firstLineChars="0"/>
              <w:jc w:val="both"/>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5.负责完成成果的第三方检测（检测机构应具备CMA或CNAS认证资质），并配合完成专利文本优化。</w:t>
            </w:r>
          </w:p>
        </w:tc>
        <w:tc>
          <w:tcPr>
            <w:tcW w:w="204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1.基于快速灭火小车的研制及测试；</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2.配合编制相关研究论文；</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3.配合开展发明专利文本撰写；</w:t>
            </w:r>
          </w:p>
          <w:p>
            <w:pPr>
              <w:keepNext w:val="0"/>
              <w:keepLines w:val="0"/>
              <w:widowControl/>
              <w:suppressLineNumbers w:val="0"/>
              <w:spacing w:line="240" w:lineRule="auto"/>
              <w:ind w:firstLine="0" w:firstLineChars="0"/>
              <w:jc w:val="both"/>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4.</w:t>
            </w:r>
            <w:r>
              <w:rPr>
                <w:rFonts w:hint="default" w:ascii="宋体" w:hAnsi="宋体" w:cs="宋体"/>
                <w:i w:val="0"/>
                <w:iCs w:val="0"/>
                <w:color w:val="000000"/>
                <w:kern w:val="0"/>
                <w:sz w:val="20"/>
                <w:szCs w:val="20"/>
                <w:highlight w:val="none"/>
                <w:u w:val="none"/>
                <w:lang w:val="en-US" w:eastAsia="zh-CN" w:bidi="ar"/>
              </w:rPr>
              <w:t>配合完成项目成果演示、验收汇报材料及相关支撑文件</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5.完成第三方检测（检测机构应具备CMA或CNAS认证资质）；</w:t>
            </w:r>
          </w:p>
          <w:p>
            <w:pPr>
              <w:keepNext w:val="0"/>
              <w:keepLines w:val="0"/>
              <w:widowControl/>
              <w:suppressLineNumbers w:val="0"/>
              <w:spacing w:line="240" w:lineRule="auto"/>
              <w:ind w:firstLine="0" w:firstLineChars="0"/>
              <w:jc w:val="both"/>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6</w:t>
            </w:r>
            <w:bookmarkStart w:id="69" w:name="_GoBack"/>
            <w:bookmarkEnd w:id="69"/>
            <w:r>
              <w:rPr>
                <w:rFonts w:hint="eastAsia" w:ascii="宋体" w:hAnsi="宋体" w:cs="宋体"/>
                <w:i w:val="0"/>
                <w:iCs w:val="0"/>
                <w:color w:val="000000"/>
                <w:kern w:val="0"/>
                <w:sz w:val="20"/>
                <w:szCs w:val="20"/>
                <w:highlight w:val="none"/>
                <w:u w:val="none"/>
                <w:lang w:val="en-US" w:eastAsia="zh-CN" w:bidi="ar"/>
              </w:rPr>
              <w:t>.在超特高压新型电气装备科技成果转化中试基地完成中试。</w:t>
            </w:r>
          </w:p>
        </w:tc>
        <w:tc>
          <w:tcPr>
            <w:tcW w:w="1309" w:type="dxa"/>
            <w:noWrap w:val="0"/>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广西百色市右江区百色东高速收费站往四塘方向100米500kV百色变电站。</w:t>
            </w:r>
          </w:p>
        </w:tc>
      </w:tr>
      <w:bookmarkEnd w:id="22"/>
      <w:bookmarkEnd w:id="23"/>
    </w:tbl>
    <w:p>
      <w:pPr>
        <w:pStyle w:val="4"/>
        <w:numPr>
          <w:ilvl w:val="255"/>
          <w:numId w:val="0"/>
        </w:numPr>
        <w:spacing w:before="312" w:after="156"/>
        <w:rPr>
          <w:rFonts w:hint="eastAsia" w:ascii="宋体" w:hAnsi="宋体" w:eastAsia="宋体" w:cs="Times New Roman"/>
        </w:rPr>
      </w:pPr>
      <w:bookmarkStart w:id="30" w:name="_Toc23208"/>
      <w:r>
        <w:rPr>
          <w:rFonts w:hint="eastAsia" w:ascii="宋体" w:hAnsi="宋体" w:eastAsia="宋体" w:cs="Times New Roman"/>
          <w:lang w:val="en-US" w:eastAsia="zh-CN"/>
        </w:rPr>
        <w:t>6.</w:t>
      </w:r>
      <w:r>
        <w:rPr>
          <w:rFonts w:hint="eastAsia" w:ascii="宋体" w:hAnsi="宋体" w:eastAsia="宋体" w:cs="Times New Roman"/>
        </w:rPr>
        <w:t>对投标方的要求</w:t>
      </w:r>
      <w:bookmarkEnd w:id="24"/>
      <w:bookmarkEnd w:id="25"/>
      <w:bookmarkEnd w:id="26"/>
      <w:bookmarkEnd w:id="27"/>
      <w:bookmarkEnd w:id="28"/>
      <w:bookmarkEnd w:id="29"/>
      <w:bookmarkEnd w:id="30"/>
    </w:p>
    <w:p>
      <w:pPr>
        <w:tabs>
          <w:tab w:val="left" w:pos="851"/>
        </w:tabs>
        <w:ind w:firstLine="480"/>
        <w:rPr>
          <w:rFonts w:hint="eastAsia" w:ascii="宋体" w:hAnsi="宋体" w:eastAsia="宋体" w:cs="宋体"/>
          <w:lang w:val="en-US" w:eastAsia="zh-CN"/>
        </w:rPr>
      </w:pPr>
      <w:bookmarkStart w:id="31" w:name="_Toc369559711"/>
      <w:bookmarkStart w:id="32" w:name="_Toc28495"/>
      <w:bookmarkStart w:id="33" w:name="_Toc31887"/>
      <w:bookmarkStart w:id="34" w:name="_Toc369561314"/>
      <w:bookmarkStart w:id="35" w:name="_Toc16150"/>
      <w:r>
        <w:rPr>
          <w:rFonts w:hint="eastAsia" w:ascii="宋体" w:hAnsi="宋体" w:eastAsia="宋体" w:cs="宋体"/>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（2）为保证投标方有效进行项目制作工作，招标方提供与项目有关的技术资料，并协助投标方协调项目实施过程中所需解决的事项。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（3）在项目实施期间，招标方可派出技术人员并参加项目的管理及实施，投标方有责任对其进行技术指导和答疑，同时投标方也应协助提供招标方编写论文或申请专利所需的项目数据。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（5）投标方必须向招标方保证工程人员组织的稳定性，保证工程按招标方的要求如期进行；在本工程结束前，参加本工程的人员变动必须取得招标方同意；</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（6）投标方负责对招标方专业人员的技术培训 （包括硬件、软件的维护及运行培训），并提供必要的工作场地；</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（7）投标方协助招标方产品开发、负责产品制作、加工、测试、实施及现场调试，参加现场验收和整体考核验收；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（8）投标方负责提供制作范围内所有设备的文件资料和运行维护手册；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（9）保证期以后应招标方要求，投标方应协助招标方对所供系统进行扩容升级、增加功能等工作，并优惠提供最新开发的应用软件。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p>
    <w:p>
      <w:pPr>
        <w:pStyle w:val="4"/>
        <w:numPr>
          <w:ilvl w:val="255"/>
          <w:numId w:val="0"/>
        </w:numPr>
        <w:spacing w:before="312" w:after="156"/>
        <w:rPr>
          <w:rFonts w:hint="eastAsia" w:ascii="宋体" w:hAnsi="宋体" w:eastAsia="宋体" w:cs="Times New Roman"/>
        </w:rPr>
      </w:pPr>
      <w:bookmarkStart w:id="36" w:name="_Toc2553"/>
      <w:bookmarkStart w:id="37" w:name="_Toc30826"/>
      <w:r>
        <w:rPr>
          <w:rFonts w:hint="eastAsia" w:ascii="宋体" w:hAnsi="宋体" w:eastAsia="宋体" w:cs="Times New Roman"/>
          <w:lang w:val="en-US" w:eastAsia="zh-CN"/>
        </w:rPr>
        <w:t>7</w:t>
      </w:r>
      <w:bookmarkEnd w:id="31"/>
      <w:bookmarkEnd w:id="32"/>
      <w:bookmarkEnd w:id="33"/>
      <w:bookmarkEnd w:id="34"/>
      <w:bookmarkEnd w:id="35"/>
      <w:r>
        <w:rPr>
          <w:rFonts w:hint="eastAsia" w:ascii="宋体" w:hAnsi="宋体" w:eastAsia="宋体" w:cs="Times New Roman"/>
          <w:lang w:val="en-US" w:eastAsia="zh-CN"/>
        </w:rPr>
        <w:t>.</w:t>
      </w:r>
      <w:r>
        <w:rPr>
          <w:rFonts w:hint="eastAsia" w:ascii="宋体" w:hAnsi="宋体" w:eastAsia="宋体" w:cs="Times New Roman"/>
        </w:rPr>
        <w:t>售后服务及其它服务要求</w:t>
      </w:r>
      <w:bookmarkEnd w:id="36"/>
      <w:bookmarkEnd w:id="37"/>
    </w:p>
    <w:p>
      <w:pPr>
        <w:tabs>
          <w:tab w:val="left" w:pos="851"/>
        </w:tabs>
        <w:ind w:firstLine="480"/>
        <w:rPr>
          <w:rFonts w:hint="eastAsia" w:ascii="宋体" w:hAnsi="宋体" w:eastAsia="宋体" w:cs="宋体"/>
          <w:lang w:val="en-US" w:eastAsia="zh-CN"/>
        </w:rPr>
      </w:pPr>
      <w:bookmarkStart w:id="38" w:name="_Toc10389"/>
      <w:bookmarkStart w:id="39" w:name="_Toc10829"/>
      <w:bookmarkStart w:id="40" w:name="_Toc29252"/>
      <w:bookmarkStart w:id="41" w:name="_Toc11564"/>
      <w:bookmarkStart w:id="42" w:name="_Toc10420"/>
      <w:bookmarkStart w:id="43" w:name="_Toc20198"/>
      <w:bookmarkStart w:id="44" w:name="_Toc30582"/>
      <w:bookmarkStart w:id="45" w:name="_Toc20620"/>
      <w:bookmarkStart w:id="46" w:name="_Toc13136"/>
      <w:bookmarkStart w:id="47" w:name="_Toc28511"/>
      <w:bookmarkStart w:id="48" w:name="_Toc26310"/>
      <w:bookmarkStart w:id="49" w:name="_Toc20141"/>
      <w:bookmarkStart w:id="50" w:name="_Toc28372"/>
      <w:bookmarkStart w:id="51" w:name="_Toc26277"/>
      <w:r>
        <w:rPr>
          <w:rFonts w:hint="eastAsia" w:ascii="宋体" w:hAnsi="宋体" w:eastAsia="宋体" w:cs="宋体"/>
          <w:lang w:val="en-US" w:eastAsia="zh-CN"/>
        </w:rPr>
        <w:t>7.1 售后服务</w:t>
      </w:r>
      <w:bookmarkEnd w:id="38"/>
      <w:bookmarkEnd w:id="39"/>
      <w:bookmarkEnd w:id="40"/>
      <w:bookmarkEnd w:id="41"/>
      <w:bookmarkEnd w:id="42"/>
      <w:bookmarkEnd w:id="43"/>
      <w:bookmarkEnd w:id="44"/>
      <w:bookmarkEnd w:id="45"/>
      <w:bookmarkEnd w:id="46"/>
      <w:bookmarkEnd w:id="4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（2）提供7×24小时的技术支持服务，制定固定的技术负责人及联络电话等，技术负责人变更前应书面通知招标方。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（3）在用户发现软件故障时，投标方必须在用户提出维护要求的4小时内作出响应，24小时内提交故障分析报告和解决方案，48小时内解决故障；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（4）对于用户提出的软件性能提高、功能增加等改进要求，如属“技术规范书”的范畴，投标方应在2周内予以解决；如属“技术规范书”以外的功能制作，也应提供优惠服务。</w:t>
      </w:r>
    </w:p>
    <w:p>
      <w:pPr>
        <w:tabs>
          <w:tab w:val="left" w:pos="851"/>
        </w:tabs>
        <w:ind w:firstLine="480"/>
        <w:rPr>
          <w:rFonts w:hint="eastAsia" w:ascii="宋体" w:hAnsi="宋体" w:eastAsia="宋体" w:cs="宋体"/>
          <w:lang w:val="en-US" w:eastAsia="zh-CN"/>
        </w:rPr>
      </w:pPr>
      <w:bookmarkStart w:id="52" w:name="_Toc12748"/>
      <w:bookmarkStart w:id="53" w:name="_Toc3047"/>
      <w:bookmarkStart w:id="54" w:name="_Toc9332"/>
      <w:bookmarkStart w:id="55" w:name="_Toc6703"/>
      <w:bookmarkStart w:id="56" w:name="_Toc12828"/>
      <w:bookmarkStart w:id="57" w:name="_Toc17466"/>
      <w:bookmarkStart w:id="58" w:name="_Toc24565"/>
      <w:bookmarkStart w:id="59" w:name="_Toc22421"/>
      <w:bookmarkStart w:id="60" w:name="_Toc29014"/>
      <w:bookmarkStart w:id="61" w:name="_Toc10191"/>
      <w:bookmarkStart w:id="62" w:name="_Toc12127"/>
      <w:bookmarkStart w:id="63" w:name="_Toc11532"/>
      <w:r>
        <w:rPr>
          <w:rFonts w:hint="eastAsia" w:ascii="宋体" w:hAnsi="宋体" w:eastAsia="宋体" w:cs="宋体"/>
          <w:lang w:val="en-US" w:eastAsia="zh-CN"/>
        </w:rPr>
        <w:t>7.2 其它服务要求</w:t>
      </w:r>
      <w:bookmarkEnd w:id="52"/>
      <w:bookmarkEnd w:id="53"/>
      <w:bookmarkEnd w:id="54"/>
      <w:bookmarkEnd w:id="55"/>
      <w:bookmarkEnd w:id="56"/>
      <w:bookmarkEnd w:id="57"/>
      <w:bookmarkEnd w:id="58"/>
      <w:bookmarkEnd w:id="59"/>
      <w:bookmarkEnd w:id="60"/>
      <w:bookmarkEnd w:id="61"/>
      <w:bookmarkEnd w:id="62"/>
      <w:bookmarkEnd w:id="63"/>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（1）应对技术支持人员进行网络安全身份认证及背景审查，并进行安全教育、培训；</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（3）投标方应做好有关信息的保密工作，严禁将带有南方电网公司标志及相关信息的制作、测试环境接入互联网等外部环境，严禁将系统运行的业务数据拷贝或发送到外部使用。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投标人提供的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8"/>
      <w:bookmarkEnd w:id="49"/>
      <w:bookmarkEnd w:id="50"/>
      <w:bookmarkEnd w:id="51"/>
      <w:bookmarkStart w:id="64" w:name="_Toc1182"/>
      <w:bookmarkStart w:id="65" w:name="_Toc16657"/>
    </w:p>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8.</w:t>
      </w:r>
      <w:r>
        <w:rPr>
          <w:rFonts w:hint="eastAsia" w:ascii="宋体" w:hAnsi="宋体" w:eastAsia="宋体" w:cs="Times New Roman"/>
        </w:rPr>
        <w:t>对投标技术文件的要求</w:t>
      </w:r>
      <w:bookmarkEnd w:id="64"/>
      <w:bookmarkEnd w:id="65"/>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投标技术文件必须包括但不限于以下内容：投标技术文件响应，技术差异表。</w:t>
      </w:r>
    </w:p>
    <w:p>
      <w:pPr>
        <w:tabs>
          <w:tab w:val="left" w:pos="851"/>
        </w:tabs>
        <w:ind w:firstLine="480"/>
        <w:rPr>
          <w:rFonts w:hint="eastAsia" w:ascii="宋体" w:hAnsi="宋体" w:eastAsia="宋体" w:cs="宋体"/>
          <w:lang w:val="en-US" w:eastAsia="zh-CN"/>
        </w:rPr>
      </w:pPr>
      <w:bookmarkStart w:id="66" w:name="_Toc11575"/>
      <w:r>
        <w:rPr>
          <w:rFonts w:hint="eastAsia" w:ascii="宋体" w:hAnsi="宋体" w:eastAsia="宋体" w:cs="宋体"/>
          <w:lang w:val="en-US" w:eastAsia="zh-CN"/>
        </w:rPr>
        <w:t>8.1投标文件的响应</w:t>
      </w:r>
      <w:bookmarkEnd w:id="66"/>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napToGrid w:val="0"/>
        <w:spacing w:line="360" w:lineRule="auto"/>
        <w:ind w:firstLine="0" w:firstLineChars="0"/>
        <w:jc w:val="center"/>
        <w:rPr>
          <w:color w:val="auto"/>
          <w:szCs w:val="21"/>
          <w:highlight w:val="none"/>
        </w:rPr>
      </w:pPr>
      <w:bookmarkStart w:id="67"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7"/>
      <w:r>
        <w:rPr>
          <w:rFonts w:hint="eastAsia"/>
          <w:color w:val="auto"/>
          <w:szCs w:val="21"/>
          <w:highlight w:val="none"/>
        </w:rPr>
        <w:t>技术参数和性能要求响应表</w:t>
      </w:r>
    </w:p>
    <w:tbl>
      <w:tblPr>
        <w:tblStyle w:val="1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141"/>
        <w:gridCol w:w="3649"/>
        <w:gridCol w:w="1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1258"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标的名称</w:t>
            </w:r>
          </w:p>
        </w:tc>
        <w:tc>
          <w:tcPr>
            <w:tcW w:w="2144"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项目要求值</w:t>
            </w:r>
          </w:p>
        </w:tc>
        <w:tc>
          <w:tcPr>
            <w:tcW w:w="1125"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w:t>
            </w:r>
          </w:p>
        </w:tc>
        <w:tc>
          <w:tcPr>
            <w:tcW w:w="1258"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一种35kV干式电抗器快速灭火小车研制</w:t>
            </w:r>
          </w:p>
        </w:tc>
        <w:tc>
          <w:tcPr>
            <w:tcW w:w="2144"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Segoe UI" w:hAnsi="Segoe UI" w:eastAsia="宋体" w:cs="Segoe UI"/>
                <w:i w:val="0"/>
                <w:iCs w:val="0"/>
                <w:caps w:val="0"/>
                <w:spacing w:val="0"/>
                <w:sz w:val="19"/>
                <w:szCs w:val="19"/>
                <w:shd w:val="clear" w:fill="FFFFFF"/>
                <w:lang w:val="en-US" w:eastAsia="zh-CN"/>
              </w:rPr>
              <w:t>1</w:t>
            </w:r>
            <w:r>
              <w:rPr>
                <w:rFonts w:hint="eastAsia" w:ascii="宋体" w:hAnsi="宋体" w:eastAsia="宋体" w:cs="宋体"/>
                <w:i w:val="0"/>
                <w:iCs w:val="0"/>
                <w:color w:val="000000"/>
                <w:kern w:val="0"/>
                <w:sz w:val="20"/>
                <w:szCs w:val="20"/>
                <w:highlight w:val="none"/>
                <w:u w:val="none"/>
                <w:lang w:val="en-US" w:eastAsia="zh-CN" w:bidi="ar"/>
              </w:rPr>
              <w:t>.形成35kV干式电抗器快速灭火小车1台，具备可升降、水压调节、纵横双向喷水功能。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r>
              <w:rPr>
                <w:rFonts w:hint="eastAsia" w:ascii="宋体" w:hAnsi="宋体" w:cs="宋体"/>
                <w:i w:val="0"/>
                <w:iCs w:val="0"/>
                <w:color w:val="000000"/>
                <w:kern w:val="0"/>
                <w:sz w:val="20"/>
                <w:szCs w:val="20"/>
                <w:highlight w:val="none"/>
                <w:u w:val="none"/>
                <w:lang w:val="en-US" w:eastAsia="zh-CN" w:bidi="ar"/>
              </w:rPr>
              <w:t>完成</w:t>
            </w:r>
            <w:r>
              <w:rPr>
                <w:rFonts w:hint="eastAsia" w:ascii="宋体" w:hAnsi="宋体" w:eastAsia="宋体" w:cs="宋体"/>
                <w:i w:val="0"/>
                <w:iCs w:val="0"/>
                <w:color w:val="000000"/>
                <w:kern w:val="0"/>
                <w:sz w:val="20"/>
                <w:szCs w:val="20"/>
                <w:highlight w:val="none"/>
                <w:u w:val="none"/>
                <w:lang w:val="en-US" w:eastAsia="zh-CN" w:bidi="ar"/>
              </w:rPr>
              <w:t>第三方检测</w:t>
            </w:r>
            <w:r>
              <w:rPr>
                <w:rFonts w:hint="eastAsia" w:ascii="宋体" w:hAnsi="宋体" w:cs="宋体"/>
                <w:i w:val="0"/>
                <w:iCs w:val="0"/>
                <w:color w:val="000000"/>
                <w:kern w:val="0"/>
                <w:sz w:val="20"/>
                <w:szCs w:val="20"/>
                <w:highlight w:val="none"/>
                <w:u w:val="none"/>
                <w:lang w:val="en-US" w:eastAsia="zh-CN" w:bidi="ar"/>
              </w:rPr>
              <w:t>报告及相关中试报告个1份。</w:t>
            </w:r>
          </w:p>
        </w:tc>
        <w:tc>
          <w:tcPr>
            <w:tcW w:w="1125"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sz w:val="24"/>
                <w:szCs w:val="24"/>
                <w:highlight w:val="none"/>
                <w:vertAlign w:val="baseline"/>
              </w:rPr>
            </w:pPr>
          </w:p>
        </w:tc>
      </w:tr>
    </w:tbl>
    <w:p>
      <w:pPr>
        <w:rPr>
          <w:rFonts w:hint="eastAsia" w:ascii="宋体" w:hAnsi="宋体" w:cs="宋体"/>
          <w:sz w:val="24"/>
          <w:szCs w:val="24"/>
          <w:highlight w:val="none"/>
        </w:rPr>
      </w:pPr>
    </w:p>
    <w:p>
      <w:pPr>
        <w:tabs>
          <w:tab w:val="left" w:pos="851"/>
        </w:tabs>
        <w:ind w:firstLine="480"/>
        <w:rPr>
          <w:rFonts w:hint="eastAsia" w:ascii="宋体" w:hAnsi="宋体" w:eastAsia="宋体" w:cs="宋体"/>
          <w:lang w:val="en-US" w:eastAsia="zh-CN"/>
        </w:rPr>
      </w:pPr>
      <w:bookmarkStart w:id="68" w:name="_Toc23057"/>
      <w:r>
        <w:rPr>
          <w:rFonts w:hint="eastAsia" w:ascii="宋体" w:hAnsi="宋体" w:eastAsia="宋体" w:cs="宋体"/>
          <w:lang w:val="en-US" w:eastAsia="zh-CN"/>
        </w:rPr>
        <w:t>8.2投标方技术偏差表</w:t>
      </w:r>
      <w:bookmarkEnd w:id="68"/>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pPr>
        <w:keepNext/>
        <w:keepLines w:val="0"/>
        <w:pageBreakBefore w:val="0"/>
        <w:widowControl w:val="0"/>
        <w:kinsoku/>
        <w:wordWrap/>
        <w:overflowPunct/>
        <w:topLinePunct w:val="0"/>
        <w:autoSpaceDE/>
        <w:autoSpaceDN/>
        <w:bidi w:val="0"/>
        <w:adjustRightInd/>
        <w:snapToGrid/>
        <w:jc w:val="center"/>
        <w:textAlignment w:val="auto"/>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8"/>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pPr>
        <w:ind w:firstLine="480"/>
        <w:rPr>
          <w:rFonts w:hint="eastAsia" w:ascii="宋体" w:hAnsi="宋体"/>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宋">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jc w:val="center"/>
    </w:pPr>
    <w:r>
      <w:fldChar w:fldCharType="begin"/>
    </w:r>
    <w:r>
      <w:instrText xml:space="preserve"> PAGE   \* MERGEFORMAT </w:instrText>
    </w:r>
    <w:r>
      <w:fldChar w:fldCharType="separate"/>
    </w:r>
    <w:r>
      <w:t>7</w:t>
    </w:r>
    <w:r>
      <w:fldChar w:fldCharType="end"/>
    </w:r>
  </w:p>
  <w:p>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6C4FD1"/>
    <w:rsid w:val="027A2971"/>
    <w:rsid w:val="028606DA"/>
    <w:rsid w:val="02B11EFA"/>
    <w:rsid w:val="02C9546D"/>
    <w:rsid w:val="03250913"/>
    <w:rsid w:val="03604AE8"/>
    <w:rsid w:val="03EE0393"/>
    <w:rsid w:val="04155920"/>
    <w:rsid w:val="04305357"/>
    <w:rsid w:val="044E2BE0"/>
    <w:rsid w:val="0452141E"/>
    <w:rsid w:val="04842AA6"/>
    <w:rsid w:val="048707FB"/>
    <w:rsid w:val="04980A96"/>
    <w:rsid w:val="049D5915"/>
    <w:rsid w:val="04DD0CB1"/>
    <w:rsid w:val="04ED66A4"/>
    <w:rsid w:val="05087233"/>
    <w:rsid w:val="05406EB7"/>
    <w:rsid w:val="059D2DF8"/>
    <w:rsid w:val="05BA78F4"/>
    <w:rsid w:val="05C55124"/>
    <w:rsid w:val="05CB7B8E"/>
    <w:rsid w:val="05CE4396"/>
    <w:rsid w:val="05F17CC7"/>
    <w:rsid w:val="062A122C"/>
    <w:rsid w:val="06E65352"/>
    <w:rsid w:val="074B6D85"/>
    <w:rsid w:val="07713C35"/>
    <w:rsid w:val="07B63B11"/>
    <w:rsid w:val="07D720B6"/>
    <w:rsid w:val="07DB403D"/>
    <w:rsid w:val="07ED0B0D"/>
    <w:rsid w:val="08022318"/>
    <w:rsid w:val="080D690E"/>
    <w:rsid w:val="081F390C"/>
    <w:rsid w:val="08B275D1"/>
    <w:rsid w:val="08E001B0"/>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C03EB"/>
    <w:rsid w:val="0B441098"/>
    <w:rsid w:val="0B4D3BF1"/>
    <w:rsid w:val="0B95124F"/>
    <w:rsid w:val="0BBD1D37"/>
    <w:rsid w:val="0BC56F5F"/>
    <w:rsid w:val="0BDB3721"/>
    <w:rsid w:val="0C073E59"/>
    <w:rsid w:val="0C314090"/>
    <w:rsid w:val="0C51682D"/>
    <w:rsid w:val="0CB27CB2"/>
    <w:rsid w:val="0CB3217A"/>
    <w:rsid w:val="0CD10852"/>
    <w:rsid w:val="0D2336F8"/>
    <w:rsid w:val="0D8D2D08"/>
    <w:rsid w:val="0E0D0C45"/>
    <w:rsid w:val="0E236A3E"/>
    <w:rsid w:val="0E3E5A73"/>
    <w:rsid w:val="0E740F48"/>
    <w:rsid w:val="0E9B5403"/>
    <w:rsid w:val="0EA37FCC"/>
    <w:rsid w:val="0F3048C7"/>
    <w:rsid w:val="0FD51371"/>
    <w:rsid w:val="0FDB4A43"/>
    <w:rsid w:val="0FDE3679"/>
    <w:rsid w:val="0FDF3286"/>
    <w:rsid w:val="10635C65"/>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8B0359"/>
    <w:rsid w:val="14D54096"/>
    <w:rsid w:val="14DD044C"/>
    <w:rsid w:val="14DD31E2"/>
    <w:rsid w:val="15142B24"/>
    <w:rsid w:val="153C0833"/>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F167E"/>
    <w:rsid w:val="17814E1C"/>
    <w:rsid w:val="17932850"/>
    <w:rsid w:val="17C41659"/>
    <w:rsid w:val="17D849D6"/>
    <w:rsid w:val="180E527E"/>
    <w:rsid w:val="18184694"/>
    <w:rsid w:val="182B30B6"/>
    <w:rsid w:val="182C673E"/>
    <w:rsid w:val="18C313DF"/>
    <w:rsid w:val="18EE0BF6"/>
    <w:rsid w:val="19131D2F"/>
    <w:rsid w:val="192405E7"/>
    <w:rsid w:val="195C76F5"/>
    <w:rsid w:val="19600305"/>
    <w:rsid w:val="19714CB9"/>
    <w:rsid w:val="19753246"/>
    <w:rsid w:val="19923A79"/>
    <w:rsid w:val="19CC2CC4"/>
    <w:rsid w:val="1A142085"/>
    <w:rsid w:val="1A2C3DD7"/>
    <w:rsid w:val="1A606D71"/>
    <w:rsid w:val="1A6B245E"/>
    <w:rsid w:val="1A7E2606"/>
    <w:rsid w:val="1AA9262D"/>
    <w:rsid w:val="1AAA4EE5"/>
    <w:rsid w:val="1AAE5A45"/>
    <w:rsid w:val="1AAF59FC"/>
    <w:rsid w:val="1AB10FB0"/>
    <w:rsid w:val="1AD5150D"/>
    <w:rsid w:val="1AEB1A05"/>
    <w:rsid w:val="1AEB5F51"/>
    <w:rsid w:val="1B205A92"/>
    <w:rsid w:val="1B31572D"/>
    <w:rsid w:val="1B494FD0"/>
    <w:rsid w:val="1B6C5B53"/>
    <w:rsid w:val="1C3310A9"/>
    <w:rsid w:val="1D2F77CB"/>
    <w:rsid w:val="1D40117C"/>
    <w:rsid w:val="1D785B20"/>
    <w:rsid w:val="1D8760B4"/>
    <w:rsid w:val="1DA805C1"/>
    <w:rsid w:val="1DB00010"/>
    <w:rsid w:val="1DB72D4D"/>
    <w:rsid w:val="1DD469C9"/>
    <w:rsid w:val="1DDF5840"/>
    <w:rsid w:val="1DFD14A7"/>
    <w:rsid w:val="1E033CFE"/>
    <w:rsid w:val="1E2F53D8"/>
    <w:rsid w:val="1E4E1D03"/>
    <w:rsid w:val="1E562965"/>
    <w:rsid w:val="1E566E09"/>
    <w:rsid w:val="1E960FB4"/>
    <w:rsid w:val="1E966DAA"/>
    <w:rsid w:val="1EB83620"/>
    <w:rsid w:val="1ECE4BF1"/>
    <w:rsid w:val="1ED84278"/>
    <w:rsid w:val="1ED97BFC"/>
    <w:rsid w:val="1EE73B09"/>
    <w:rsid w:val="1F0C23CC"/>
    <w:rsid w:val="1F1545CE"/>
    <w:rsid w:val="1F2C1918"/>
    <w:rsid w:val="1F316326"/>
    <w:rsid w:val="1F5D4A06"/>
    <w:rsid w:val="1F964F4E"/>
    <w:rsid w:val="1F9A2D26"/>
    <w:rsid w:val="1F9F6536"/>
    <w:rsid w:val="1FB92045"/>
    <w:rsid w:val="1FE87E47"/>
    <w:rsid w:val="1FF42436"/>
    <w:rsid w:val="1FF53618"/>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FB04CE"/>
    <w:rsid w:val="221F6235"/>
    <w:rsid w:val="224A27E1"/>
    <w:rsid w:val="225D2D35"/>
    <w:rsid w:val="226B066F"/>
    <w:rsid w:val="227A2080"/>
    <w:rsid w:val="22834430"/>
    <w:rsid w:val="22E10344"/>
    <w:rsid w:val="22E942A6"/>
    <w:rsid w:val="22EC3DDE"/>
    <w:rsid w:val="22F45DE8"/>
    <w:rsid w:val="22FF76A7"/>
    <w:rsid w:val="236E082B"/>
    <w:rsid w:val="237C10C0"/>
    <w:rsid w:val="237F64DC"/>
    <w:rsid w:val="241A2A47"/>
    <w:rsid w:val="244C451B"/>
    <w:rsid w:val="24524D99"/>
    <w:rsid w:val="24A600AD"/>
    <w:rsid w:val="24AB7DB8"/>
    <w:rsid w:val="24C21763"/>
    <w:rsid w:val="24CD5D6E"/>
    <w:rsid w:val="24E53C1F"/>
    <w:rsid w:val="25421E95"/>
    <w:rsid w:val="26091A0C"/>
    <w:rsid w:val="261F5032"/>
    <w:rsid w:val="2628108B"/>
    <w:rsid w:val="26431A21"/>
    <w:rsid w:val="26C239CA"/>
    <w:rsid w:val="26C90E2D"/>
    <w:rsid w:val="26D747CC"/>
    <w:rsid w:val="270B25DA"/>
    <w:rsid w:val="270F17A0"/>
    <w:rsid w:val="273705EE"/>
    <w:rsid w:val="27723A43"/>
    <w:rsid w:val="278542B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F40263"/>
    <w:rsid w:val="2D48195B"/>
    <w:rsid w:val="2D7363DF"/>
    <w:rsid w:val="2D8C0151"/>
    <w:rsid w:val="2DDF2977"/>
    <w:rsid w:val="2E5642BC"/>
    <w:rsid w:val="2E7620ED"/>
    <w:rsid w:val="2ECD498D"/>
    <w:rsid w:val="2EE724DC"/>
    <w:rsid w:val="2EF51D26"/>
    <w:rsid w:val="2EF76C06"/>
    <w:rsid w:val="2F0D20DE"/>
    <w:rsid w:val="2F177EEF"/>
    <w:rsid w:val="2F5D30B3"/>
    <w:rsid w:val="2F7009B1"/>
    <w:rsid w:val="2F7964B4"/>
    <w:rsid w:val="2FA07728"/>
    <w:rsid w:val="2FB318C4"/>
    <w:rsid w:val="2FC002D5"/>
    <w:rsid w:val="30083A5D"/>
    <w:rsid w:val="30162726"/>
    <w:rsid w:val="302E6AE1"/>
    <w:rsid w:val="30677FB8"/>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C33EBD"/>
    <w:rsid w:val="32DC4F67"/>
    <w:rsid w:val="32EE1A36"/>
    <w:rsid w:val="33723946"/>
    <w:rsid w:val="33BF4A72"/>
    <w:rsid w:val="33D7599C"/>
    <w:rsid w:val="342D1BFF"/>
    <w:rsid w:val="342F480F"/>
    <w:rsid w:val="343E26EE"/>
    <w:rsid w:val="344F3C87"/>
    <w:rsid w:val="3475581F"/>
    <w:rsid w:val="347E1DA2"/>
    <w:rsid w:val="349B682B"/>
    <w:rsid w:val="34B34830"/>
    <w:rsid w:val="34C649F1"/>
    <w:rsid w:val="34ED54E4"/>
    <w:rsid w:val="3503309E"/>
    <w:rsid w:val="35435064"/>
    <w:rsid w:val="35476E77"/>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AE7806"/>
    <w:rsid w:val="3BB16FD5"/>
    <w:rsid w:val="3BCF3DE2"/>
    <w:rsid w:val="3BFF5F92"/>
    <w:rsid w:val="3C022A83"/>
    <w:rsid w:val="3C0D39CF"/>
    <w:rsid w:val="3C342B36"/>
    <w:rsid w:val="3C3876DA"/>
    <w:rsid w:val="3C6E7B33"/>
    <w:rsid w:val="3C8F2735"/>
    <w:rsid w:val="3CF454D3"/>
    <w:rsid w:val="3D697A4C"/>
    <w:rsid w:val="3DA637B6"/>
    <w:rsid w:val="3DC70DA6"/>
    <w:rsid w:val="3E4203B8"/>
    <w:rsid w:val="3E433531"/>
    <w:rsid w:val="3E524F05"/>
    <w:rsid w:val="3E8310FD"/>
    <w:rsid w:val="3E8D51C5"/>
    <w:rsid w:val="3E911ED8"/>
    <w:rsid w:val="3E9776C5"/>
    <w:rsid w:val="3E9B4698"/>
    <w:rsid w:val="3EF4070F"/>
    <w:rsid w:val="3F345912"/>
    <w:rsid w:val="3F456AA7"/>
    <w:rsid w:val="3F4A39C9"/>
    <w:rsid w:val="3FC76DC7"/>
    <w:rsid w:val="3FCC0881"/>
    <w:rsid w:val="3FE86074"/>
    <w:rsid w:val="404350E0"/>
    <w:rsid w:val="407549A4"/>
    <w:rsid w:val="40A33F45"/>
    <w:rsid w:val="40BE38AE"/>
    <w:rsid w:val="40E32281"/>
    <w:rsid w:val="413E57AF"/>
    <w:rsid w:val="414F176A"/>
    <w:rsid w:val="41694E7F"/>
    <w:rsid w:val="41AD3D25"/>
    <w:rsid w:val="41EC6FB9"/>
    <w:rsid w:val="42675C80"/>
    <w:rsid w:val="42857E42"/>
    <w:rsid w:val="429C3481"/>
    <w:rsid w:val="42AE426E"/>
    <w:rsid w:val="42F775E0"/>
    <w:rsid w:val="432934FC"/>
    <w:rsid w:val="433A3A5A"/>
    <w:rsid w:val="433B7B45"/>
    <w:rsid w:val="4346094B"/>
    <w:rsid w:val="43461DE8"/>
    <w:rsid w:val="43600284"/>
    <w:rsid w:val="43642BE7"/>
    <w:rsid w:val="43860D47"/>
    <w:rsid w:val="438F36C0"/>
    <w:rsid w:val="43943464"/>
    <w:rsid w:val="439D5CFD"/>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896345"/>
    <w:rsid w:val="468F024E"/>
    <w:rsid w:val="46985A97"/>
    <w:rsid w:val="469F0A9E"/>
    <w:rsid w:val="46E23A2A"/>
    <w:rsid w:val="46E37CD8"/>
    <w:rsid w:val="47195F8F"/>
    <w:rsid w:val="47347438"/>
    <w:rsid w:val="475450F8"/>
    <w:rsid w:val="476C7959"/>
    <w:rsid w:val="4795557D"/>
    <w:rsid w:val="47A63299"/>
    <w:rsid w:val="47C737CE"/>
    <w:rsid w:val="4828256E"/>
    <w:rsid w:val="482E4477"/>
    <w:rsid w:val="48362D3C"/>
    <w:rsid w:val="484F69EF"/>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B34E18"/>
    <w:rsid w:val="4AC54194"/>
    <w:rsid w:val="4B0C433A"/>
    <w:rsid w:val="4B35476F"/>
    <w:rsid w:val="4B475260"/>
    <w:rsid w:val="4B5A07E8"/>
    <w:rsid w:val="4BA25344"/>
    <w:rsid w:val="4BDA4326"/>
    <w:rsid w:val="4BEB36BA"/>
    <w:rsid w:val="4BEF33B4"/>
    <w:rsid w:val="4C2F38A5"/>
    <w:rsid w:val="4C320988"/>
    <w:rsid w:val="4C331F8F"/>
    <w:rsid w:val="4C54044A"/>
    <w:rsid w:val="4C7306FC"/>
    <w:rsid w:val="4C7C5EF5"/>
    <w:rsid w:val="4CB57E51"/>
    <w:rsid w:val="4CEE0B24"/>
    <w:rsid w:val="4CF514BF"/>
    <w:rsid w:val="4D0F7FFF"/>
    <w:rsid w:val="4D1717E9"/>
    <w:rsid w:val="4D287306"/>
    <w:rsid w:val="4D3B2BA3"/>
    <w:rsid w:val="4D4F1DA1"/>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6505B6"/>
    <w:rsid w:val="5082298F"/>
    <w:rsid w:val="508A631B"/>
    <w:rsid w:val="50A867A1"/>
    <w:rsid w:val="50C231AF"/>
    <w:rsid w:val="50C64E79"/>
    <w:rsid w:val="51121E6C"/>
    <w:rsid w:val="5145397C"/>
    <w:rsid w:val="51C714B0"/>
    <w:rsid w:val="52085A22"/>
    <w:rsid w:val="52242D7E"/>
    <w:rsid w:val="52255532"/>
    <w:rsid w:val="52545EA1"/>
    <w:rsid w:val="527313D2"/>
    <w:rsid w:val="52A5133D"/>
    <w:rsid w:val="52AE4A26"/>
    <w:rsid w:val="52BA6550"/>
    <w:rsid w:val="52C36E5D"/>
    <w:rsid w:val="52D518F2"/>
    <w:rsid w:val="52F413F9"/>
    <w:rsid w:val="53162A7A"/>
    <w:rsid w:val="534660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C8213D"/>
    <w:rsid w:val="55D97B52"/>
    <w:rsid w:val="5624334F"/>
    <w:rsid w:val="56890087"/>
    <w:rsid w:val="56941399"/>
    <w:rsid w:val="56FE35BF"/>
    <w:rsid w:val="5704401B"/>
    <w:rsid w:val="575F7ED8"/>
    <w:rsid w:val="580D12D8"/>
    <w:rsid w:val="580F0E14"/>
    <w:rsid w:val="58175C92"/>
    <w:rsid w:val="582E1C82"/>
    <w:rsid w:val="583A640D"/>
    <w:rsid w:val="5855257E"/>
    <w:rsid w:val="58650B29"/>
    <w:rsid w:val="58907EDA"/>
    <w:rsid w:val="59142B31"/>
    <w:rsid w:val="592A00D8"/>
    <w:rsid w:val="59594278"/>
    <w:rsid w:val="595B7AB0"/>
    <w:rsid w:val="596040BD"/>
    <w:rsid w:val="59965D30"/>
    <w:rsid w:val="59C832BE"/>
    <w:rsid w:val="5A3D2DC3"/>
    <w:rsid w:val="5A5F5106"/>
    <w:rsid w:val="5A6951E1"/>
    <w:rsid w:val="5A6F70EB"/>
    <w:rsid w:val="5A8C2C8F"/>
    <w:rsid w:val="5ACB5EC5"/>
    <w:rsid w:val="5ADD34EB"/>
    <w:rsid w:val="5AF54CD9"/>
    <w:rsid w:val="5B0A558E"/>
    <w:rsid w:val="5B327420"/>
    <w:rsid w:val="5B45438C"/>
    <w:rsid w:val="5B5B06A3"/>
    <w:rsid w:val="5BAB33C9"/>
    <w:rsid w:val="5BDB7642"/>
    <w:rsid w:val="5C000D60"/>
    <w:rsid w:val="5C0564B8"/>
    <w:rsid w:val="5C1C1980"/>
    <w:rsid w:val="5C4202EB"/>
    <w:rsid w:val="5C487FF6"/>
    <w:rsid w:val="5C751D60"/>
    <w:rsid w:val="5C7B2FBB"/>
    <w:rsid w:val="5C9003EA"/>
    <w:rsid w:val="5CAF45D9"/>
    <w:rsid w:val="5CB8263D"/>
    <w:rsid w:val="5D09221E"/>
    <w:rsid w:val="5D494E95"/>
    <w:rsid w:val="5D525F29"/>
    <w:rsid w:val="5D704AEA"/>
    <w:rsid w:val="5DB56F1E"/>
    <w:rsid w:val="5DC32AF4"/>
    <w:rsid w:val="5DEB6E57"/>
    <w:rsid w:val="5E565A8E"/>
    <w:rsid w:val="5E5A675C"/>
    <w:rsid w:val="5E5F0DE7"/>
    <w:rsid w:val="5E7A598C"/>
    <w:rsid w:val="5E9F7C10"/>
    <w:rsid w:val="5EA41431"/>
    <w:rsid w:val="5EAF73F9"/>
    <w:rsid w:val="5ED715A9"/>
    <w:rsid w:val="5F3673C4"/>
    <w:rsid w:val="5F3B0796"/>
    <w:rsid w:val="5F463DDB"/>
    <w:rsid w:val="5F4D6FE9"/>
    <w:rsid w:val="5F563F98"/>
    <w:rsid w:val="5FB33FD2"/>
    <w:rsid w:val="5FBE1B5B"/>
    <w:rsid w:val="600D4872"/>
    <w:rsid w:val="602F47E9"/>
    <w:rsid w:val="604B0B39"/>
    <w:rsid w:val="607C288E"/>
    <w:rsid w:val="60A26D69"/>
    <w:rsid w:val="60C95C15"/>
    <w:rsid w:val="60DC2E87"/>
    <w:rsid w:val="61334426"/>
    <w:rsid w:val="61351088"/>
    <w:rsid w:val="61E53D27"/>
    <w:rsid w:val="622C0E17"/>
    <w:rsid w:val="62605093"/>
    <w:rsid w:val="62695C01"/>
    <w:rsid w:val="62775FD3"/>
    <w:rsid w:val="627E3805"/>
    <w:rsid w:val="62805827"/>
    <w:rsid w:val="62EC6490"/>
    <w:rsid w:val="63D01E3F"/>
    <w:rsid w:val="63E43B3C"/>
    <w:rsid w:val="640E4535"/>
    <w:rsid w:val="643A375C"/>
    <w:rsid w:val="64466AD2"/>
    <w:rsid w:val="644D74F4"/>
    <w:rsid w:val="646F78AA"/>
    <w:rsid w:val="6482678D"/>
    <w:rsid w:val="64AA5237"/>
    <w:rsid w:val="65253FDA"/>
    <w:rsid w:val="65300472"/>
    <w:rsid w:val="65347A1E"/>
    <w:rsid w:val="65452F82"/>
    <w:rsid w:val="65546A82"/>
    <w:rsid w:val="6560518B"/>
    <w:rsid w:val="65A11F4C"/>
    <w:rsid w:val="65B221E6"/>
    <w:rsid w:val="65DA79A0"/>
    <w:rsid w:val="65DB0E2C"/>
    <w:rsid w:val="6632293D"/>
    <w:rsid w:val="664A365E"/>
    <w:rsid w:val="669D4225"/>
    <w:rsid w:val="66D47E98"/>
    <w:rsid w:val="672158C0"/>
    <w:rsid w:val="677B0314"/>
    <w:rsid w:val="677F6F74"/>
    <w:rsid w:val="67A23B7D"/>
    <w:rsid w:val="67CA2A68"/>
    <w:rsid w:val="67DB2AF0"/>
    <w:rsid w:val="68A11FFC"/>
    <w:rsid w:val="693105D7"/>
    <w:rsid w:val="69386092"/>
    <w:rsid w:val="695119B2"/>
    <w:rsid w:val="69584DB0"/>
    <w:rsid w:val="69840267"/>
    <w:rsid w:val="69A407A8"/>
    <w:rsid w:val="69BF6BDD"/>
    <w:rsid w:val="69D31EB9"/>
    <w:rsid w:val="69D83EDA"/>
    <w:rsid w:val="6A192046"/>
    <w:rsid w:val="6A306175"/>
    <w:rsid w:val="6A526EE5"/>
    <w:rsid w:val="6A5B5CB8"/>
    <w:rsid w:val="6AA560DB"/>
    <w:rsid w:val="6B0B1A2E"/>
    <w:rsid w:val="6B9D2F4E"/>
    <w:rsid w:val="6BA02A3F"/>
    <w:rsid w:val="6BA03046"/>
    <w:rsid w:val="6BC7249D"/>
    <w:rsid w:val="6BD04C6F"/>
    <w:rsid w:val="6BDC20C6"/>
    <w:rsid w:val="6BEB329A"/>
    <w:rsid w:val="6BF86C35"/>
    <w:rsid w:val="6C166F5C"/>
    <w:rsid w:val="6C1D5E3D"/>
    <w:rsid w:val="6C1E448D"/>
    <w:rsid w:val="6C783074"/>
    <w:rsid w:val="6C9500C9"/>
    <w:rsid w:val="6C9F05FC"/>
    <w:rsid w:val="6CCD7110"/>
    <w:rsid w:val="6CD304EC"/>
    <w:rsid w:val="6CFA617E"/>
    <w:rsid w:val="6D2D0302"/>
    <w:rsid w:val="6D760823"/>
    <w:rsid w:val="6D806BB4"/>
    <w:rsid w:val="6D894A65"/>
    <w:rsid w:val="6DD50E85"/>
    <w:rsid w:val="6DDD3F44"/>
    <w:rsid w:val="6DF10A88"/>
    <w:rsid w:val="6DF47A72"/>
    <w:rsid w:val="6DF76D93"/>
    <w:rsid w:val="6E2E1E7D"/>
    <w:rsid w:val="6E737672"/>
    <w:rsid w:val="6EA5282A"/>
    <w:rsid w:val="6EB04D47"/>
    <w:rsid w:val="6EC425A0"/>
    <w:rsid w:val="6EDD2A32"/>
    <w:rsid w:val="6F593630"/>
    <w:rsid w:val="6F620721"/>
    <w:rsid w:val="6F7076E4"/>
    <w:rsid w:val="6F9D176F"/>
    <w:rsid w:val="6FB04A89"/>
    <w:rsid w:val="6FCA78EF"/>
    <w:rsid w:val="6FE864B6"/>
    <w:rsid w:val="7040659E"/>
    <w:rsid w:val="704412F5"/>
    <w:rsid w:val="70CF2E0D"/>
    <w:rsid w:val="70F55BA8"/>
    <w:rsid w:val="70F57C3D"/>
    <w:rsid w:val="7148570A"/>
    <w:rsid w:val="714B6FA9"/>
    <w:rsid w:val="71551BD5"/>
    <w:rsid w:val="71707F90"/>
    <w:rsid w:val="71785618"/>
    <w:rsid w:val="719173FA"/>
    <w:rsid w:val="71C63C72"/>
    <w:rsid w:val="71C965BE"/>
    <w:rsid w:val="727069B4"/>
    <w:rsid w:val="72AD133E"/>
    <w:rsid w:val="72F14A43"/>
    <w:rsid w:val="733E6754"/>
    <w:rsid w:val="734D525A"/>
    <w:rsid w:val="737D0B03"/>
    <w:rsid w:val="73BB0416"/>
    <w:rsid w:val="73D31E97"/>
    <w:rsid w:val="73D6781F"/>
    <w:rsid w:val="73E133AB"/>
    <w:rsid w:val="73E612C3"/>
    <w:rsid w:val="74674908"/>
    <w:rsid w:val="747D4685"/>
    <w:rsid w:val="74AF4CFD"/>
    <w:rsid w:val="7550560B"/>
    <w:rsid w:val="756845CD"/>
    <w:rsid w:val="757906F5"/>
    <w:rsid w:val="758E216C"/>
    <w:rsid w:val="762F1A8F"/>
    <w:rsid w:val="763A78B0"/>
    <w:rsid w:val="763C2FCD"/>
    <w:rsid w:val="7646191B"/>
    <w:rsid w:val="769E45BB"/>
    <w:rsid w:val="76D25BC0"/>
    <w:rsid w:val="77130569"/>
    <w:rsid w:val="77281135"/>
    <w:rsid w:val="77407237"/>
    <w:rsid w:val="7743475F"/>
    <w:rsid w:val="77503688"/>
    <w:rsid w:val="77F160D3"/>
    <w:rsid w:val="77F6629C"/>
    <w:rsid w:val="78212811"/>
    <w:rsid w:val="784D2C1B"/>
    <w:rsid w:val="78CC6C6A"/>
    <w:rsid w:val="79134850"/>
    <w:rsid w:val="791372BB"/>
    <w:rsid w:val="79B0623B"/>
    <w:rsid w:val="7A123748"/>
    <w:rsid w:val="7A2533FD"/>
    <w:rsid w:val="7A345D59"/>
    <w:rsid w:val="7A9E7923"/>
    <w:rsid w:val="7ADE32A3"/>
    <w:rsid w:val="7AEA32BE"/>
    <w:rsid w:val="7B2737E9"/>
    <w:rsid w:val="7B564EC8"/>
    <w:rsid w:val="7B5733E2"/>
    <w:rsid w:val="7B781151"/>
    <w:rsid w:val="7B9861E4"/>
    <w:rsid w:val="7BC57958"/>
    <w:rsid w:val="7BDF0A19"/>
    <w:rsid w:val="7C047802"/>
    <w:rsid w:val="7C0A3603"/>
    <w:rsid w:val="7C0B180E"/>
    <w:rsid w:val="7C3A18F2"/>
    <w:rsid w:val="7C3F770A"/>
    <w:rsid w:val="7C60423E"/>
    <w:rsid w:val="7C741AA9"/>
    <w:rsid w:val="7C7554D3"/>
    <w:rsid w:val="7CA659DB"/>
    <w:rsid w:val="7CB67C2D"/>
    <w:rsid w:val="7D7A0E23"/>
    <w:rsid w:val="7DDE371C"/>
    <w:rsid w:val="7E245210"/>
    <w:rsid w:val="7E345FE1"/>
    <w:rsid w:val="7E3B3A15"/>
    <w:rsid w:val="7E621509"/>
    <w:rsid w:val="7E7B38B3"/>
    <w:rsid w:val="7E9868C2"/>
    <w:rsid w:val="7F2A14D1"/>
    <w:rsid w:val="7F4852A7"/>
    <w:rsid w:val="7F614579"/>
    <w:rsid w:val="7F972282"/>
    <w:rsid w:val="7F9D1EA4"/>
    <w:rsid w:val="7FC505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basedOn w:val="1"/>
    <w:next w:val="1"/>
    <w:link w:val="26"/>
    <w:qFormat/>
    <w:uiPriority w:val="0"/>
    <w:pPr>
      <w:keepNext/>
      <w:numPr>
        <w:ilvl w:val="0"/>
        <w:numId w:val="1"/>
      </w:numPr>
      <w:spacing w:beforeLines="100" w:afterLines="50"/>
      <w:outlineLvl w:val="0"/>
    </w:pPr>
    <w:rPr>
      <w:rFonts w:ascii="宋体" w:hAnsi="宋体"/>
      <w:b/>
      <w:bCs/>
      <w:kern w:val="24"/>
      <w:sz w:val="30"/>
      <w:u w:color="000000"/>
    </w:rPr>
  </w:style>
  <w:style w:type="paragraph" w:styleId="5">
    <w:name w:val="heading 2"/>
    <w:basedOn w:val="1"/>
    <w:next w:val="6"/>
    <w:qFormat/>
    <w:uiPriority w:val="0"/>
    <w:pPr>
      <w:keepNext/>
      <w:keepLines/>
      <w:spacing w:before="260" w:beforeLines="0" w:after="260" w:afterLines="0" w:line="416" w:lineRule="auto"/>
      <w:outlineLvl w:val="1"/>
    </w:pPr>
    <w:rPr>
      <w:rFonts w:ascii="Cambria" w:hAnsi="Cambria"/>
      <w:b/>
      <w:bCs/>
      <w:sz w:val="30"/>
      <w:szCs w:val="32"/>
    </w:rPr>
  </w:style>
  <w:style w:type="paragraph" w:styleId="7">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6">
    <w:name w:val="Normal Indent"/>
    <w:basedOn w:val="1"/>
    <w:unhideWhenUsed/>
    <w:qFormat/>
    <w:uiPriority w:val="0"/>
    <w:pPr>
      <w:ind w:firstLine="420" w:firstLineChars="200"/>
    </w:p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qFormat/>
    <w:uiPriority w:val="0"/>
    <w:pPr>
      <w:shd w:val="clear" w:color="auto" w:fill="000080"/>
    </w:pPr>
  </w:style>
  <w:style w:type="paragraph" w:styleId="10">
    <w:name w:val="annotation text"/>
    <w:basedOn w:val="1"/>
    <w:link w:val="28"/>
    <w:qFormat/>
    <w:uiPriority w:val="0"/>
  </w:style>
  <w:style w:type="paragraph" w:styleId="11">
    <w:name w:val="Plain Text"/>
    <w:basedOn w:val="1"/>
    <w:qFormat/>
    <w:uiPriority w:val="99"/>
    <w:rPr>
      <w:rFonts w:ascii="宋体" w:hAnsi="Courier New" w:cs="Courier New"/>
      <w:szCs w:val="21"/>
    </w:rPr>
  </w:style>
  <w:style w:type="paragraph" w:styleId="12">
    <w:name w:val="Balloon Text"/>
    <w:basedOn w:val="1"/>
    <w:link w:val="29"/>
    <w:qFormat/>
    <w:uiPriority w:val="0"/>
    <w:rPr>
      <w:sz w:val="18"/>
      <w:szCs w:val="18"/>
    </w:rPr>
  </w:style>
  <w:style w:type="paragraph" w:styleId="13">
    <w:name w:val="footer"/>
    <w:basedOn w:val="1"/>
    <w:link w:val="25"/>
    <w:qFormat/>
    <w:uiPriority w:val="0"/>
    <w:pPr>
      <w:tabs>
        <w:tab w:val="center" w:pos="4153"/>
        <w:tab w:val="right" w:pos="8306"/>
      </w:tabs>
      <w:snapToGrid w:val="0"/>
    </w:pPr>
    <w:rPr>
      <w:sz w:val="18"/>
    </w:rPr>
  </w:style>
  <w:style w:type="paragraph" w:styleId="14">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line="240" w:lineRule="auto"/>
      <w:ind w:firstLine="0" w:firstLineChars="0"/>
    </w:pPr>
    <w:rPr>
      <w:sz w:val="21"/>
    </w:rPr>
  </w:style>
  <w:style w:type="paragraph" w:styleId="16">
    <w:name w:val="toc 2"/>
    <w:basedOn w:val="1"/>
    <w:next w:val="1"/>
    <w:unhideWhenUsed/>
    <w:qFormat/>
    <w:uiPriority w:val="39"/>
    <w:pPr>
      <w:widowControl/>
      <w:spacing w:after="100" w:line="259" w:lineRule="auto"/>
      <w:ind w:left="220"/>
    </w:pPr>
    <w:rPr>
      <w:kern w:val="0"/>
      <w:sz w:val="22"/>
    </w:rPr>
  </w:style>
  <w:style w:type="paragraph" w:styleId="17">
    <w:name w:val="annotation subject"/>
    <w:basedOn w:val="10"/>
    <w:next w:val="10"/>
    <w:link w:val="30"/>
    <w:qFormat/>
    <w:uiPriority w:val="0"/>
    <w:rPr>
      <w:b/>
      <w:bCs/>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page number"/>
    <w:semiHidden/>
    <w:qFormat/>
    <w:uiPriority w:val="0"/>
  </w:style>
  <w:style w:type="character" w:styleId="23">
    <w:name w:val="Hyperlink"/>
    <w:qFormat/>
    <w:uiPriority w:val="99"/>
    <w:rPr>
      <w:color w:val="0000FF"/>
      <w:u w:val="single"/>
    </w:rPr>
  </w:style>
  <w:style w:type="character" w:styleId="24">
    <w:name w:val="annotation reference"/>
    <w:qFormat/>
    <w:uiPriority w:val="0"/>
    <w:rPr>
      <w:sz w:val="21"/>
      <w:szCs w:val="21"/>
    </w:rPr>
  </w:style>
  <w:style w:type="character" w:customStyle="1" w:styleId="25">
    <w:name w:val="页脚 字符"/>
    <w:link w:val="13"/>
    <w:qFormat/>
    <w:uiPriority w:val="0"/>
    <w:rPr>
      <w:rFonts w:ascii="Times New Roman" w:hAnsi="Times New Roman" w:eastAsia="宋体" w:cs="Times New Roman"/>
      <w:sz w:val="18"/>
      <w:szCs w:val="24"/>
    </w:rPr>
  </w:style>
  <w:style w:type="character" w:customStyle="1" w:styleId="26">
    <w:name w:val="标题 1 字符"/>
    <w:link w:val="4"/>
    <w:qFormat/>
    <w:uiPriority w:val="0"/>
    <w:rPr>
      <w:rFonts w:ascii="宋体" w:hAnsi="宋体"/>
      <w:b/>
      <w:bCs/>
      <w:kern w:val="24"/>
      <w:sz w:val="30"/>
      <w:szCs w:val="24"/>
      <w:u w:color="000000"/>
    </w:rPr>
  </w:style>
  <w:style w:type="character" w:customStyle="1" w:styleId="27">
    <w:name w:val="页眉 字符"/>
    <w:link w:val="14"/>
    <w:qFormat/>
    <w:uiPriority w:val="0"/>
    <w:rPr>
      <w:rFonts w:ascii="Times New Roman" w:hAnsi="Times New Roman" w:eastAsia="宋体" w:cs="Times New Roman"/>
      <w:sz w:val="18"/>
      <w:szCs w:val="18"/>
    </w:rPr>
  </w:style>
  <w:style w:type="character" w:customStyle="1" w:styleId="28">
    <w:name w:val="批注文字 字符"/>
    <w:link w:val="10"/>
    <w:qFormat/>
    <w:uiPriority w:val="0"/>
    <w:rPr>
      <w:rFonts w:ascii="Times New Roman" w:hAnsi="Times New Roman"/>
      <w:kern w:val="2"/>
      <w:sz w:val="21"/>
      <w:szCs w:val="24"/>
    </w:rPr>
  </w:style>
  <w:style w:type="character" w:customStyle="1" w:styleId="29">
    <w:name w:val="批注框文本 字符"/>
    <w:link w:val="12"/>
    <w:qFormat/>
    <w:uiPriority w:val="0"/>
    <w:rPr>
      <w:rFonts w:ascii="Times New Roman" w:hAnsi="Times New Roman"/>
      <w:kern w:val="2"/>
      <w:sz w:val="18"/>
      <w:szCs w:val="18"/>
    </w:rPr>
  </w:style>
  <w:style w:type="character" w:customStyle="1" w:styleId="30">
    <w:name w:val="批注主题 字符"/>
    <w:link w:val="17"/>
    <w:qFormat/>
    <w:uiPriority w:val="0"/>
    <w:rPr>
      <w:rFonts w:ascii="Times New Roman" w:hAnsi="Times New Roman"/>
      <w:b/>
      <w:bCs/>
      <w:kern w:val="2"/>
      <w:sz w:val="21"/>
      <w:szCs w:val="24"/>
    </w:rPr>
  </w:style>
  <w:style w:type="paragraph" w:customStyle="1" w:styleId="31">
    <w:name w:val="修订1"/>
    <w:qFormat/>
    <w:uiPriority w:val="0"/>
    <w:rPr>
      <w:rFonts w:ascii="Times New Roman" w:hAnsi="Times New Roman" w:eastAsia="宋体" w:cs="Times New Roman"/>
      <w:kern w:val="2"/>
      <w:sz w:val="21"/>
      <w:szCs w:val="24"/>
      <w:lang w:val="en-US" w:eastAsia="zh-CN" w:bidi="ar-SA"/>
    </w:rPr>
  </w:style>
  <w:style w:type="paragraph" w:customStyle="1" w:styleId="32">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7">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8">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39">
    <w:name w:val="正文首先缩进"/>
    <w:basedOn w:val="1"/>
    <w:qFormat/>
    <w:uiPriority w:val="0"/>
    <w:pPr>
      <w:spacing w:line="360" w:lineRule="auto"/>
      <w:ind w:firstLine="420" w:firstLineChars="200"/>
    </w:pPr>
  </w:style>
  <w:style w:type="paragraph" w:customStyle="1" w:styleId="40">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B3E7A-6C58-421D-A3C7-862D2BF5EF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Pages>
  <Words>9835</Words>
  <Characters>10821</Characters>
  <Lines>128</Lines>
  <Paragraphs>114</Paragraphs>
  <TotalTime>1</TotalTime>
  <ScaleCrop>false</ScaleCrop>
  <LinksUpToDate>false</LinksUpToDate>
  <CharactersWithSpaces>10963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2025-03-19T16:10:00Z</dcterms:created>
  <dc:creator>Chen Xiangyu</dc:creator>
  <cp:lastModifiedBy>裴贝宁</cp:lastModifiedBy>
  <cp:lastPrinted>2025-03-06T07:48:00Z</cp:lastPrinted>
  <dcterms:modified xsi:type="dcterms:W3CDTF">2026-06-30T09:43:52Z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E22542D1DF3F4D59BFCFEDD6C8F46B96</vt:lpwstr>
  </property>
  <property fmtid="{D5CDD505-2E9C-101B-9397-08002B2CF9AE}" pid="4" name="KSOTemplateDocerSaveRecord">
    <vt:lpwstr>eyJoZGlkIjoiZjVhNGJiMWVmZTg4ZjFhYWZhYWFiMzBkODkwYWRkZmUiLCJ1c2VySWQiOiIyNjMwNzY1ODMifQ==</vt:lpwstr>
  </property>
</Properties>
</file>