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593186"/>
      <w:bookmarkStart w:id="1" w:name="_Toc309593257"/>
      <w:bookmarkStart w:id="2" w:name="_Toc307577976"/>
      <w:bookmarkStart w:id="3" w:name="_Toc309805581"/>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hint="eastAsia" w:ascii="Calibri" w:hAnsi="Calibri" w:eastAsia="黑体"/>
          <w:b/>
          <w:sz w:val="52"/>
          <w:lang w:val="en-US" w:eastAsia="zh-CN"/>
        </w:rPr>
      </w:pPr>
      <w:r>
        <w:rPr>
          <w:rFonts w:hint="eastAsia" w:ascii="Calibri" w:hAnsi="Calibri" w:eastAsia="黑体"/>
          <w:b/>
          <w:sz w:val="52"/>
          <w:lang w:val="en-US" w:eastAsia="zh-CN"/>
        </w:rPr>
        <w:t>南网超高压公司百色局2026年</w:t>
      </w: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职创项目（双光视觉电力杆塔与导地线一体化智能巡检装置研发及应用）技术规范书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9"/>
        <w:rPr>
          <w:rFonts w:hint="eastAsia" w:ascii="宋体" w:hAnsi="宋体"/>
          <w:b/>
          <w:color w:val="000000" w:themeColor="text1"/>
          <w:sz w:val="36"/>
          <w:highlight w:val="none"/>
          <w:lang w:val="en-US" w:eastAsia="zh-CN"/>
          <w14:textFill>
            <w14:solidFill>
              <w14:schemeClr w14:val="tx1"/>
            </w14:solidFill>
          </w14:textFill>
        </w:rPr>
      </w:pPr>
      <w:bookmarkStart w:id="4" w:name="_Toc30053"/>
      <w:bookmarkStart w:id="5" w:name="_Toc218675718"/>
      <w:bookmarkStart w:id="6" w:name="_Toc19998"/>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_Toc16474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_Toc27043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_Toc22696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_Toc23208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9</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_Toc30826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_Toc16657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12</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pPr>
        <w:pStyle w:val="14"/>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3"/>
        <w:numPr>
          <w:ilvl w:val="255"/>
          <w:numId w:val="0"/>
        </w:numPr>
        <w:spacing w:before="312" w:after="156"/>
        <w:rPr>
          <w:rFonts w:hint="eastAsia" w:ascii="宋体" w:hAnsi="宋体" w:eastAsia="宋体" w:cs="Times New Roman"/>
        </w:rPr>
      </w:pPr>
      <w:bookmarkStart w:id="7" w:name="_Toc5872"/>
      <w:bookmarkStart w:id="8" w:name="_Toc9520"/>
      <w:bookmarkStart w:id="9" w:name="_Toc28984"/>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双光视觉电力杆塔与导地线一体化智能巡检装置研发及应用）》，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3"/>
        <w:numPr>
          <w:ilvl w:val="255"/>
          <w:numId w:val="0"/>
        </w:numPr>
        <w:spacing w:before="312" w:after="156"/>
        <w:rPr>
          <w:rFonts w:hint="eastAsia" w:ascii="宋体" w:hAnsi="宋体" w:eastAsia="宋体" w:cs="Times New Roman"/>
        </w:rPr>
      </w:pPr>
      <w:bookmarkStart w:id="11" w:name="_Toc5588"/>
      <w:bookmarkStart w:id="12" w:name="_Toc2740"/>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6"/>
        <w:gridCol w:w="57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GB/T 19870-2005</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工业检测红外热像仪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DL/T 860</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变电站通信网络和系统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DL/T664-2016</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带电设备红外诊断应用规范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GB4793-1984</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电子测量仪器安全要求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CH/T9016-2012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三维地理信息模型生产规范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CH/T9015-2012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三维地理信息模型数据产品规范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CH/T9017-2012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三维地理信息模型数据库规范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CJJ/T157-2010</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城市三维建模技术规范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GB/T18316-2008</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数字测绘成果质量检查与验收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GB2887-89 </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计算机场地技术条件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val="en-US" w:eastAsia="zh-CN"/>
              </w:rPr>
            </w:pPr>
            <w:r>
              <w:rPr>
                <w:rFonts w:hint="eastAsia" w:ascii="Times New Roman"/>
                <w:color w:val="000000"/>
                <w:sz w:val="21"/>
                <w:szCs w:val="21"/>
                <w:lang w:val="en-US" w:eastAsia="zh-CN"/>
              </w:rPr>
              <w:t>/</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default" w:ascii="Times New Roman" w:hAnsi="Times New Roman" w:cs="Times New Roman"/>
                <w:lang w:bidi="ar"/>
              </w:rPr>
              <w:t>南方电网电力全域物联网平台接入技术规范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color w:val="000000"/>
                <w:sz w:val="21"/>
                <w:szCs w:val="21"/>
                <w:lang w:val="en-US" w:eastAsia="zh-CN"/>
              </w:rPr>
              <w:t>/</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default" w:ascii="Times New Roman" w:hAnsi="Times New Roman" w:cs="Times New Roman"/>
                <w:lang w:bidi="ar"/>
              </w:rPr>
              <w:t>南方电网公司人工智能平台能力开放工作指引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color w:val="000000"/>
                <w:sz w:val="21"/>
                <w:szCs w:val="21"/>
                <w:lang w:val="en-US" w:eastAsia="zh-CN"/>
              </w:rPr>
              <w:t>/</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cs="Times New Roman"/>
                <w:lang w:bidi="ar"/>
              </w:rPr>
            </w:pPr>
            <w:r>
              <w:rPr>
                <w:rFonts w:hint="default" w:ascii="Times New Roman" w:hAnsi="Times New Roman" w:cs="Times New Roman"/>
                <w:lang w:bidi="ar"/>
              </w:rPr>
              <w:t>南方电网电力全域物联网平台接入技术规范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highlight w:val="none"/>
                <w:lang w:val="en-US" w:eastAsia="zh-CN"/>
              </w:rPr>
            </w:pPr>
            <w:r>
              <w:rPr>
                <w:rFonts w:hint="eastAsia" w:ascii="Times New Roman" w:hAnsi="Times New Roman" w:eastAsia="宋体" w:cs="Times New Roman"/>
                <w:i w:val="0"/>
                <w:iCs w:val="0"/>
                <w:color w:val="000000"/>
                <w:kern w:val="0"/>
                <w:sz w:val="21"/>
                <w:szCs w:val="21"/>
                <w:highlight w:val="none"/>
                <w:u w:val="none"/>
                <w:lang w:val="en-US" w:eastAsia="zh-CN" w:bidi="ar"/>
              </w:rPr>
              <w:t>Q/CSG 1205056.2-2022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cs="Times New Roman"/>
                <w:highlight w:val="none"/>
                <w:lang w:bidi="ar"/>
              </w:rPr>
            </w:pPr>
            <w:r>
              <w:rPr>
                <w:rFonts w:hint="default" w:ascii="宋体" w:hAnsi="宋体" w:eastAsia="宋体" w:cs="宋体"/>
                <w:i w:val="0"/>
                <w:iCs w:val="0"/>
                <w:color w:val="000000"/>
                <w:kern w:val="0"/>
                <w:sz w:val="22"/>
                <w:szCs w:val="22"/>
                <w:highlight w:val="none"/>
                <w:u w:val="none"/>
                <w:lang w:val="en-US" w:eastAsia="zh-CN" w:bidi="ar"/>
              </w:rPr>
              <w:t>南方电网</w:t>
            </w:r>
            <w:r>
              <w:rPr>
                <w:rFonts w:hint="eastAsia" w:ascii="宋体" w:hAnsi="宋体" w:eastAsia="宋体" w:cs="宋体"/>
                <w:i w:val="0"/>
                <w:iCs w:val="0"/>
                <w:color w:val="000000"/>
                <w:kern w:val="0"/>
                <w:sz w:val="22"/>
                <w:szCs w:val="22"/>
                <w:highlight w:val="none"/>
                <w:u w:val="none"/>
                <w:lang w:val="en-US" w:eastAsia="zh-CN" w:bidi="ar"/>
              </w:rPr>
              <w:t>电力安全工作规程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Q/CSG</w:t>
            </w:r>
            <w:r>
              <w:rPr>
                <w:rFonts w:hint="eastAsia" w:ascii="Times New Roman" w:cs="Times New Roman"/>
                <w:i w:val="0"/>
                <w:iCs w:val="0"/>
                <w:color w:val="000000"/>
                <w:kern w:val="0"/>
                <w:sz w:val="21"/>
                <w:szCs w:val="21"/>
                <w:highlight w:val="none"/>
                <w:u w:val="none"/>
                <w:lang w:val="en-US" w:eastAsia="zh-CN" w:bidi="ar"/>
              </w:rPr>
              <w:t xml:space="preserve"> 1206007-2017</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电力设备检修试验规程</w:t>
            </w:r>
          </w:p>
        </w:tc>
      </w:tr>
    </w:tbl>
    <w:p>
      <w:pPr>
        <w:pStyle w:val="3"/>
        <w:numPr>
          <w:ilvl w:val="255"/>
          <w:numId w:val="0"/>
        </w:numPr>
        <w:spacing w:before="312" w:after="156"/>
        <w:rPr>
          <w:rFonts w:hint="eastAsia" w:ascii="宋体" w:hAnsi="宋体" w:eastAsia="宋体" w:cs="Times New Roman"/>
        </w:rPr>
      </w:pPr>
      <w:bookmarkStart w:id="13" w:name="_Toc25883"/>
      <w:bookmarkStart w:id="14" w:name="_Toc16474"/>
      <w:bookmarkStart w:id="15" w:name="_Toc7639"/>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（1）海拔高度：4000m及以下任何海拔高度均可正常使用（北京54坐标系）；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（2）最高环境温度：+55ºC；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（3）最低环境温度：-20ºC；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（4）年平均气温：20ºC；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（5）覆冰厚度：0～30mm；</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（6）最大设计风速：20m/s</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（7）环境相对湿度：80%；</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（8）工器具应该能在规定的荷载内正常运行。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针对具体应用工况，用户根据实际需求提出特殊工作条件。当超出正常与特殊工作条件时，由用户与供应商协商确定。</w:t>
      </w:r>
    </w:p>
    <w:p>
      <w:pPr>
        <w:pStyle w:val="3"/>
        <w:numPr>
          <w:ilvl w:val="255"/>
          <w:numId w:val="0"/>
        </w:numPr>
        <w:spacing w:before="312" w:after="156"/>
        <w:rPr>
          <w:rFonts w:hint="eastAsia" w:ascii="宋体" w:hAnsi="宋体" w:eastAsia="宋体" w:cs="Times New Roman"/>
        </w:rPr>
      </w:pPr>
      <w:bookmarkStart w:id="16" w:name="_Toc14218"/>
      <w:bookmarkStart w:id="17" w:name="_Toc27043"/>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3"/>
        <w:numPr>
          <w:ilvl w:val="255"/>
          <w:numId w:val="0"/>
        </w:numPr>
        <w:spacing w:before="312" w:after="156"/>
        <w:rPr>
          <w:rFonts w:hint="eastAsia" w:ascii="宋体" w:hAnsi="宋体" w:eastAsia="宋体" w:cs="Times New Roman"/>
        </w:rPr>
      </w:pPr>
      <w:bookmarkStart w:id="18" w:name="_Toc22696"/>
      <w:bookmarkStart w:id="19" w:name="_Toc3256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61308"/>
      <w:bookmarkStart w:id="21"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w:t>
      </w:r>
      <w:r>
        <w:rPr>
          <w:rFonts w:hint="eastAsia" w:ascii="宋体" w:hAnsi="宋体" w:cs="宋体"/>
          <w:color w:val="000000" w:themeColor="text1"/>
          <w:lang w:val="en-US" w:eastAsia="zh-CN"/>
          <w14:textFill>
            <w14:solidFill>
              <w14:schemeClr w14:val="tx1"/>
            </w14:solidFill>
          </w14:textFill>
        </w:rPr>
        <w:t>研制的输电线路合成绝缘子憎水性数智化检测装置需匹配招标方使用的大疆御3（双光无人机）上及以上无人机上使用。</w:t>
      </w:r>
      <w:bookmarkStart w:id="69" w:name="_GoBack"/>
      <w:bookmarkEnd w:id="69"/>
    </w:p>
    <w:bookmarkEnd w:id="20"/>
    <w:bookmarkEnd w:id="21"/>
    <w:p>
      <w:pPr>
        <w:snapToGrid w:val="0"/>
        <w:spacing w:line="360" w:lineRule="auto"/>
        <w:ind w:firstLine="0" w:firstLineChars="0"/>
        <w:jc w:val="center"/>
        <w:rPr>
          <w:rFonts w:hint="eastAsia"/>
          <w:color w:val="auto"/>
          <w:szCs w:val="21"/>
          <w:highlight w:val="none"/>
        </w:rPr>
      </w:pPr>
      <w:bookmarkStart w:id="22" w:name="_Toc12318"/>
      <w:bookmarkStart w:id="23" w:name="_Toc27075"/>
    </w:p>
    <w:p>
      <w:pPr>
        <w:snapToGrid w:val="0"/>
        <w:spacing w:line="360" w:lineRule="auto"/>
        <w:ind w:firstLine="0" w:firstLineChars="0"/>
        <w:jc w:val="center"/>
        <w:rPr>
          <w:rFonts w:hint="eastAsia"/>
          <w:color w:val="auto"/>
          <w:szCs w:val="21"/>
          <w:highlight w:val="none"/>
        </w:rPr>
      </w:pPr>
    </w:p>
    <w:p>
      <w:pPr>
        <w:snapToGrid w:val="0"/>
        <w:spacing w:line="360" w:lineRule="auto"/>
        <w:ind w:firstLine="0" w:firstLineChars="0"/>
        <w:jc w:val="center"/>
        <w:rPr>
          <w:rFonts w:hint="eastAsia"/>
          <w:color w:val="auto"/>
          <w:szCs w:val="21"/>
          <w:highlight w:val="none"/>
          <w:lang w:val="en-US" w:eastAsia="zh-CN"/>
        </w:rPr>
      </w:pPr>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57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33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3" w:type="dxa"/>
            <w:noWrap w:val="0"/>
            <w:vAlign w:val="center"/>
          </w:tcPr>
          <w:p>
            <w:pPr>
              <w:widowControl w:val="0"/>
              <w:spacing w:line="420" w:lineRule="exact"/>
              <w:ind w:left="0" w:leftChars="0" w:firstLine="0" w:firstLineChars="0"/>
              <w:jc w:val="both"/>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cs="Times New Roman"/>
                <w:kern w:val="2"/>
                <w:sz w:val="21"/>
                <w:szCs w:val="20"/>
                <w:highlight w:val="none"/>
                <w:vertAlign w:val="baseline"/>
                <w:lang w:val="en-US" w:eastAsia="zh-CN" w:bidi="ar-SA"/>
              </w:rPr>
              <w:t>序号</w:t>
            </w:r>
          </w:p>
        </w:tc>
        <w:tc>
          <w:tcPr>
            <w:tcW w:w="1338"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533" w:type="dxa"/>
            <w:noWrap w:val="0"/>
            <w:vAlign w:val="center"/>
          </w:tcPr>
          <w:p>
            <w:pPr>
              <w:snapToGrid w:val="0"/>
              <w:spacing w:line="360" w:lineRule="auto"/>
              <w:ind w:firstLine="0" w:firstLineChars="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w:t>
            </w:r>
          </w:p>
        </w:tc>
        <w:tc>
          <w:tcPr>
            <w:tcW w:w="1338" w:type="dxa"/>
            <w:noWrap w:val="0"/>
            <w:vAlign w:val="center"/>
          </w:tcPr>
          <w:p>
            <w:pPr>
              <w:snapToGrid w:val="0"/>
              <w:spacing w:line="360" w:lineRule="auto"/>
              <w:ind w:firstLine="0" w:firstLineChars="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双光视觉电力杆塔与导地线一体化智能巡检装置研发及应用</w:t>
            </w:r>
          </w:p>
        </w:tc>
        <w:tc>
          <w:tcPr>
            <w:tcW w:w="4348" w:type="dxa"/>
            <w:noWrap w:val="0"/>
            <w:vAlign w:val="center"/>
          </w:tcPr>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根据招标方设计方案，协助完成：</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1.智能巡检硬件集成。集成四类核心传感器，基于地理围栏技术构建自主巡检逻辑，实现航线自动规划与杆塔优先级专项巡检。</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2.雷达仿线飞行控制算法。改进ICP算法提取导地线轨迹，融合卡尔曼滤波、改进A*算法，解决GPS信号丢失、隐蔽部位覆盖不足、障碍物规避等问题，实现“杆塔本体-导地线”连贯巡检。</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3.轻量化缺陷识别系统。优化YOLOv8模型实现边缘端实时精准识别，构建缺陷数据库支撑模型训练。</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4.智能报告生成系统。集成智能引擎生成多格式巡检报告，实现数据处理全自动化，遥控器端自动生成报告。</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5.负责完成成果的第三方检测（检测机构应具备CMA或CNAS认证资质），并配合完成专利文本优化。</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6.需在超特高压新型电气装备科技成果转化中试基地完成中试。</w:t>
            </w:r>
          </w:p>
        </w:tc>
        <w:tc>
          <w:tcPr>
            <w:tcW w:w="2048" w:type="dxa"/>
            <w:noWrap w:val="0"/>
            <w:vAlign w:val="center"/>
          </w:tcPr>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1.配合研发输电线路数智化巡检装置1套；</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2.配合编制发明专利申请文本1份；</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3形成.输电线路数智化巡检装置创新成果报告1份；</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4.配合撰写论文1篇；</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5.形成轻量化缺陷识别模型1份；</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6.形成现场自动报告生成系统1份；</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7.形成缺陷数据库1份；</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8.形成操作手册1份。</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9.完成第三方检测（检测机构应具备CMA或CNAS认证资质）；</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10.在超特高压新型电气装备科技成果转化中试基地完成中试。</w:t>
            </w:r>
          </w:p>
        </w:tc>
        <w:tc>
          <w:tcPr>
            <w:tcW w:w="1309" w:type="dxa"/>
            <w:noWrap w:val="0"/>
            <w:vAlign w:val="center"/>
          </w:tcPr>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本职工创新项目需根据制作实际情况前往各站点及线路现场开展勘查、安装及调试工作。</w:t>
            </w:r>
          </w:p>
          <w:p>
            <w:pPr>
              <w:snapToGrid w:val="0"/>
              <w:spacing w:line="360" w:lineRule="auto"/>
              <w:ind w:firstLine="0" w:firstLineChars="0"/>
              <w:jc w:val="left"/>
              <w:rPr>
                <w:rFonts w:hint="eastAsia" w:ascii="Times New Roman" w:hAnsi="Times New Roman" w:eastAsia="宋体" w:cs="Times New Roman"/>
                <w:color w:val="auto"/>
                <w:szCs w:val="21"/>
                <w:highlight w:val="none"/>
                <w:lang w:val="en-US" w:eastAsia="zh-CN"/>
              </w:rPr>
            </w:pPr>
          </w:p>
        </w:tc>
      </w:tr>
      <w:bookmarkEnd w:id="22"/>
      <w:bookmarkEnd w:id="23"/>
    </w:tbl>
    <w:p>
      <w:pPr>
        <w:pStyle w:val="3"/>
        <w:numPr>
          <w:ilvl w:val="255"/>
          <w:numId w:val="0"/>
        </w:numPr>
        <w:spacing w:before="312" w:after="156"/>
        <w:rPr>
          <w:rFonts w:hint="eastAsia" w:ascii="宋体" w:hAnsi="宋体" w:eastAsia="宋体" w:cs="Times New Roman"/>
        </w:rPr>
      </w:pPr>
      <w:bookmarkStart w:id="24" w:name="_Toc12691"/>
      <w:bookmarkStart w:id="25" w:name="_Toc369559710"/>
      <w:bookmarkStart w:id="26" w:name="_Toc369561313"/>
      <w:bookmarkStart w:id="27" w:name="_Toc14394"/>
      <w:bookmarkStart w:id="28" w:name="_Toc2581"/>
      <w:bookmarkStart w:id="29" w:name="_Toc7886"/>
      <w:bookmarkStart w:id="30"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28495"/>
      <w:bookmarkStart w:id="32" w:name="_Toc31887"/>
      <w:bookmarkStart w:id="33" w:name="_Toc369561314"/>
      <w:bookmarkStart w:id="34" w:name="_Toc16150"/>
      <w:bookmarkStart w:id="35" w:name="_Toc369559711"/>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（12）</w:t>
      </w:r>
      <w:r>
        <w:rPr>
          <w:rFonts w:hint="default" w:ascii="宋体" w:hAnsi="宋体" w:eastAsia="宋体" w:cs="宋体"/>
          <w:lang w:val="en-US" w:eastAsia="zh-CN"/>
        </w:rPr>
        <w:t>投标方承担项目验收评审会议</w:t>
      </w:r>
      <w:r>
        <w:rPr>
          <w:rFonts w:hint="eastAsia" w:ascii="宋体" w:hAnsi="宋体" w:eastAsia="宋体" w:cs="宋体"/>
          <w:lang w:val="en-US" w:eastAsia="zh-CN"/>
        </w:rPr>
        <w:t>及至少1次专家讨论会</w:t>
      </w:r>
      <w:r>
        <w:rPr>
          <w:rFonts w:hint="default" w:ascii="宋体" w:hAnsi="宋体" w:eastAsia="宋体" w:cs="宋体"/>
          <w:lang w:val="en-US" w:eastAsia="zh-CN"/>
        </w:rPr>
        <w:t>的专家咨询费，并根据招标方要求承担相关会务工作。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（13）投标方应在合同签订后3个月内完成合同登记并提供登记证明及财务加计扣除的相关材料。</w:t>
      </w:r>
    </w:p>
    <w:p>
      <w:pPr>
        <w:pStyle w:val="3"/>
        <w:numPr>
          <w:ilvl w:val="255"/>
          <w:numId w:val="0"/>
        </w:numPr>
        <w:spacing w:before="312" w:after="156"/>
        <w:rPr>
          <w:rFonts w:hint="eastAsia" w:ascii="宋体" w:hAnsi="宋体" w:eastAsia="宋体" w:cs="Times New Roman"/>
        </w:rPr>
      </w:pPr>
      <w:bookmarkStart w:id="36" w:name="_Toc2553"/>
      <w:bookmarkStart w:id="37" w:name="_Toc30826"/>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10389"/>
      <w:bookmarkStart w:id="39" w:name="_Toc10829"/>
      <w:bookmarkStart w:id="40" w:name="_Toc10420"/>
      <w:bookmarkStart w:id="41" w:name="_Toc28511"/>
      <w:bookmarkStart w:id="42" w:name="_Toc30582"/>
      <w:bookmarkStart w:id="43" w:name="_Toc11564"/>
      <w:bookmarkStart w:id="44" w:name="_Toc13136"/>
      <w:bookmarkStart w:id="45" w:name="_Toc20620"/>
      <w:bookmarkStart w:id="46" w:name="_Toc29252"/>
      <w:bookmarkStart w:id="47" w:name="_Toc20198"/>
      <w:bookmarkStart w:id="48" w:name="_Toc28372"/>
      <w:bookmarkStart w:id="49" w:name="_Toc20141"/>
      <w:bookmarkStart w:id="50" w:name="_Toc26310"/>
      <w:bookmarkStart w:id="51" w:name="_Toc26277"/>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3047"/>
      <w:bookmarkStart w:id="53" w:name="_Toc12828"/>
      <w:bookmarkStart w:id="54" w:name="_Toc10191"/>
      <w:bookmarkStart w:id="55" w:name="_Toc24565"/>
      <w:bookmarkStart w:id="56" w:name="_Toc12748"/>
      <w:bookmarkStart w:id="57" w:name="_Toc11532"/>
      <w:bookmarkStart w:id="58" w:name="_Toc29014"/>
      <w:bookmarkStart w:id="59" w:name="_Toc6703"/>
      <w:bookmarkStart w:id="60" w:name="_Toc17466"/>
      <w:bookmarkStart w:id="61" w:name="_Toc22421"/>
      <w:bookmarkStart w:id="62" w:name="_Toc9332"/>
      <w:bookmarkStart w:id="63" w:name="_Toc12127"/>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6657"/>
      <w:bookmarkStart w:id="65" w:name="_Toc1182"/>
    </w:p>
    <w:p>
      <w:pPr>
        <w:pStyle w:val="3"/>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136"/>
        <w:gridCol w:w="3644"/>
        <w:gridCol w:w="1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tabs>
                <w:tab w:val="left" w:pos="851"/>
              </w:tabs>
              <w:ind w:firstLine="480"/>
              <w:jc w:val="both"/>
              <w:rPr>
                <w:rFonts w:hint="eastAsia" w:ascii="宋体" w:hAnsi="宋体" w:eastAsia="宋体" w:cs="宋体"/>
                <w:lang w:val="en-US" w:eastAsia="zh-CN"/>
              </w:rPr>
            </w:pPr>
            <w:r>
              <w:rPr>
                <w:rFonts w:hint="eastAsia" w:ascii="宋体" w:hAnsi="宋体" w:eastAsia="宋体" w:cs="宋体"/>
                <w:lang w:val="en-US" w:eastAsia="zh-CN"/>
              </w:rPr>
              <w:t xml:space="preserve">3 </w:t>
            </w:r>
          </w:p>
        </w:tc>
        <w:tc>
          <w:tcPr>
            <w:tcW w:w="1258" w:type="pct"/>
            <w:noWrap w:val="0"/>
            <w:vAlign w:val="center"/>
          </w:tcPr>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双光视觉电力杆塔与导地线一体化智能巡检装置研发及应用</w:t>
            </w:r>
          </w:p>
        </w:tc>
        <w:tc>
          <w:tcPr>
            <w:tcW w:w="2144" w:type="pct"/>
            <w:noWrap w:val="0"/>
            <w:vAlign w:val="center"/>
          </w:tcPr>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1.配合研发输电线路数智化巡检装置1套；</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2.配合编制发明专利申请文本1份；</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3形成.输电线路数智化巡检装置创新成果报告1份；</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4.配合撰写论文1篇；</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5.形成轻量化缺陷识别模型1份；</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6.形成现场自动报告生成系统1份；</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7.形成缺陷数据库1份；</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8.形成操作手册1份。</w:t>
            </w:r>
          </w:p>
          <w:p>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9.完成第三方检测（检测机构应具备CMA或CNAS认证资质）；</w:t>
            </w:r>
          </w:p>
          <w:p>
            <w:pPr>
              <w:tabs>
                <w:tab w:val="left" w:pos="851"/>
              </w:tabs>
              <w:ind w:left="0" w:leftChars="0" w:firstLine="0" w:firstLineChars="0"/>
              <w:jc w:val="left"/>
              <w:rPr>
                <w:rFonts w:hint="default"/>
                <w:lang w:val="en-US" w:eastAsia="zh-CN"/>
              </w:rPr>
            </w:pPr>
            <w:r>
              <w:rPr>
                <w:rFonts w:hint="eastAsia" w:ascii="宋体" w:hAnsi="宋体" w:eastAsia="宋体" w:cs="宋体"/>
                <w:lang w:val="en-US" w:eastAsia="zh-CN"/>
              </w:rPr>
              <w:t>10.在超特高压新型电气装备科技成果转化中试基地完成中试。</w:t>
            </w:r>
          </w:p>
        </w:tc>
        <w:tc>
          <w:tcPr>
            <w:tcW w:w="1125" w:type="pct"/>
            <w:noWrap w:val="0"/>
            <w:vAlign w:val="top"/>
          </w:tcPr>
          <w:p>
            <w:pPr>
              <w:tabs>
                <w:tab w:val="left" w:pos="851"/>
              </w:tabs>
              <w:ind w:firstLine="480"/>
              <w:jc w:val="left"/>
              <w:rPr>
                <w:rFonts w:hint="eastAsia" w:ascii="宋体" w:hAnsi="宋体" w:eastAsia="宋体" w:cs="宋体"/>
                <w:lang w:val="en-US" w:eastAsia="zh-CN"/>
              </w:rPr>
            </w:pPr>
          </w:p>
        </w:tc>
      </w:tr>
    </w:tbl>
    <w:p>
      <w:pPr>
        <w:ind w:left="0" w:leftChars="0" w:firstLine="0" w:firstLineChars="0"/>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jc w:val="center"/>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left="0" w:leftChars="0" w:firstLine="0" w:firstLineChars="0"/>
        <w:rPr>
          <w:rFonts w:hint="eastAsia" w:ascii="宋体" w:hAnsi="宋体"/>
        </w:rPr>
      </w:pPr>
    </w:p>
    <w:p>
      <w:pPr>
        <w:pStyle w:val="16"/>
        <w:rPr>
          <w:rFonts w:hint="eastAsia"/>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jc w:val="center"/>
    </w:pPr>
    <w:r>
      <w:fldChar w:fldCharType="begin"/>
    </w:r>
    <w:r>
      <w:instrText xml:space="preserve"> PAGE   \* MERGEFORMAT </w:instrText>
    </w:r>
    <w:r>
      <w:fldChar w:fldCharType="separate"/>
    </w:r>
    <w:r>
      <w:t>7</w:t>
    </w:r>
    <w:r>
      <w:fldChar w:fldCharType="end"/>
    </w:r>
  </w:p>
  <w:p>
    <w:pPr>
      <w:pStyle w:val="1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3"/>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AD0A7A"/>
    <w:rsid w:val="06E65352"/>
    <w:rsid w:val="074B6D85"/>
    <w:rsid w:val="07713C35"/>
    <w:rsid w:val="07B63B11"/>
    <w:rsid w:val="07D720B6"/>
    <w:rsid w:val="07DB403D"/>
    <w:rsid w:val="07ED0B0D"/>
    <w:rsid w:val="080D690E"/>
    <w:rsid w:val="081F390C"/>
    <w:rsid w:val="08B275D1"/>
    <w:rsid w:val="08E001B0"/>
    <w:rsid w:val="090515DA"/>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619BF"/>
    <w:rsid w:val="1E4E1D03"/>
    <w:rsid w:val="1E562965"/>
    <w:rsid w:val="1E566E09"/>
    <w:rsid w:val="1E960FB4"/>
    <w:rsid w:val="1E966DAA"/>
    <w:rsid w:val="1EB83620"/>
    <w:rsid w:val="1ECE4BF1"/>
    <w:rsid w:val="1ED84278"/>
    <w:rsid w:val="1ED97BFC"/>
    <w:rsid w:val="1EE73B09"/>
    <w:rsid w:val="1F0C23CC"/>
    <w:rsid w:val="1F1545CE"/>
    <w:rsid w:val="1F1924DB"/>
    <w:rsid w:val="1F2C1918"/>
    <w:rsid w:val="1F316326"/>
    <w:rsid w:val="1F5D4A06"/>
    <w:rsid w:val="1F964F4E"/>
    <w:rsid w:val="1F9A2D26"/>
    <w:rsid w:val="1F9F6536"/>
    <w:rsid w:val="1FB92045"/>
    <w:rsid w:val="1FE87E47"/>
    <w:rsid w:val="1FF42436"/>
    <w:rsid w:val="1FF53618"/>
    <w:rsid w:val="1FF607EC"/>
    <w:rsid w:val="1FFC2A16"/>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656475"/>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1942D3"/>
    <w:rsid w:val="2D3A090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D697A4C"/>
    <w:rsid w:val="3DA637B6"/>
    <w:rsid w:val="3DC70DA6"/>
    <w:rsid w:val="3E4203B8"/>
    <w:rsid w:val="3E433531"/>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782627"/>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23F7B"/>
    <w:rsid w:val="5E7A598C"/>
    <w:rsid w:val="5E9F7C10"/>
    <w:rsid w:val="5EA41431"/>
    <w:rsid w:val="5EAF73F9"/>
    <w:rsid w:val="5ED715A9"/>
    <w:rsid w:val="5F3673C4"/>
    <w:rsid w:val="5F3B0796"/>
    <w:rsid w:val="5F463DDB"/>
    <w:rsid w:val="5F4D6FE9"/>
    <w:rsid w:val="5F563F98"/>
    <w:rsid w:val="5FB33FD2"/>
    <w:rsid w:val="5FBE1B5B"/>
    <w:rsid w:val="600150D8"/>
    <w:rsid w:val="600D4872"/>
    <w:rsid w:val="602F47E9"/>
    <w:rsid w:val="604B0B39"/>
    <w:rsid w:val="607C288E"/>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6F78AA"/>
    <w:rsid w:val="6482678D"/>
    <w:rsid w:val="64AA5237"/>
    <w:rsid w:val="65253FDA"/>
    <w:rsid w:val="65292C07"/>
    <w:rsid w:val="65300472"/>
    <w:rsid w:val="65347A1E"/>
    <w:rsid w:val="65452F82"/>
    <w:rsid w:val="654E65D2"/>
    <w:rsid w:val="65546A82"/>
    <w:rsid w:val="6560518B"/>
    <w:rsid w:val="65A11F4C"/>
    <w:rsid w:val="65B221E6"/>
    <w:rsid w:val="65DA79A0"/>
    <w:rsid w:val="65DB0E2C"/>
    <w:rsid w:val="6632293D"/>
    <w:rsid w:val="664A365E"/>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BD360C"/>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7D0B03"/>
    <w:rsid w:val="73BB0416"/>
    <w:rsid w:val="73D31E97"/>
    <w:rsid w:val="73E133AB"/>
    <w:rsid w:val="73E612C3"/>
    <w:rsid w:val="74674908"/>
    <w:rsid w:val="74687549"/>
    <w:rsid w:val="747D4685"/>
    <w:rsid w:val="74AF4CFD"/>
    <w:rsid w:val="7550560B"/>
    <w:rsid w:val="756845CD"/>
    <w:rsid w:val="757906F5"/>
    <w:rsid w:val="758E216C"/>
    <w:rsid w:val="762F1A8F"/>
    <w:rsid w:val="763A78B0"/>
    <w:rsid w:val="763C2FCD"/>
    <w:rsid w:val="7646191B"/>
    <w:rsid w:val="769E45BB"/>
    <w:rsid w:val="76D25BC0"/>
    <w:rsid w:val="77130569"/>
    <w:rsid w:val="77281135"/>
    <w:rsid w:val="77407237"/>
    <w:rsid w:val="7743475F"/>
    <w:rsid w:val="77503688"/>
    <w:rsid w:val="77F160D3"/>
    <w:rsid w:val="77F6629C"/>
    <w:rsid w:val="78212811"/>
    <w:rsid w:val="784D2C1B"/>
    <w:rsid w:val="78CC6C6A"/>
    <w:rsid w:val="78EC06CF"/>
    <w:rsid w:val="79134850"/>
    <w:rsid w:val="791372BB"/>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3">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4">
    <w:name w:val="heading 2"/>
    <w:basedOn w:val="1"/>
    <w:next w:val="5"/>
    <w:qFormat/>
    <w:uiPriority w:val="0"/>
    <w:pPr>
      <w:keepNext/>
      <w:keepLines/>
      <w:spacing w:before="260" w:beforeLines="0" w:after="260" w:afterLines="0" w:line="416" w:lineRule="auto"/>
      <w:outlineLvl w:val="1"/>
    </w:pPr>
    <w:rPr>
      <w:rFonts w:ascii="Cambria" w:hAnsi="Cambria"/>
      <w:b/>
      <w:bCs/>
      <w:sz w:val="30"/>
      <w:szCs w:val="32"/>
    </w:rPr>
  </w:style>
  <w:style w:type="paragraph" w:styleId="6">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rPr>
  </w:style>
  <w:style w:type="paragraph" w:styleId="5">
    <w:name w:val="Normal Indent"/>
    <w:basedOn w:val="1"/>
    <w:unhideWhenUsed/>
    <w:qFormat/>
    <w:uiPriority w:val="0"/>
    <w:pPr>
      <w:ind w:firstLine="420" w:firstLineChars="200"/>
    </w:p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Document Map"/>
    <w:basedOn w:val="1"/>
    <w:qFormat/>
    <w:uiPriority w:val="0"/>
    <w:pPr>
      <w:shd w:val="clear" w:color="auto" w:fill="000080"/>
    </w:pPr>
  </w:style>
  <w:style w:type="paragraph" w:styleId="9">
    <w:name w:val="annotation text"/>
    <w:basedOn w:val="1"/>
    <w:link w:val="28"/>
    <w:qFormat/>
    <w:uiPriority w:val="0"/>
  </w:style>
  <w:style w:type="paragraph" w:styleId="10">
    <w:name w:val="Plain Text"/>
    <w:basedOn w:val="1"/>
    <w:qFormat/>
    <w:uiPriority w:val="99"/>
    <w:rPr>
      <w:rFonts w:ascii="宋体" w:hAnsi="Courier New" w:cs="Courier New"/>
      <w:szCs w:val="21"/>
    </w:rPr>
  </w:style>
  <w:style w:type="paragraph" w:styleId="11">
    <w:name w:val="Balloon Text"/>
    <w:basedOn w:val="1"/>
    <w:link w:val="29"/>
    <w:qFormat/>
    <w:uiPriority w:val="0"/>
    <w:rPr>
      <w:sz w:val="18"/>
      <w:szCs w:val="18"/>
    </w:rPr>
  </w:style>
  <w:style w:type="paragraph" w:styleId="12">
    <w:name w:val="footer"/>
    <w:basedOn w:val="1"/>
    <w:link w:val="25"/>
    <w:qFormat/>
    <w:uiPriority w:val="0"/>
    <w:pPr>
      <w:tabs>
        <w:tab w:val="center" w:pos="4153"/>
        <w:tab w:val="right" w:pos="8306"/>
      </w:tabs>
      <w:snapToGrid w:val="0"/>
    </w:pPr>
    <w:rPr>
      <w:sz w:val="18"/>
    </w:rPr>
  </w:style>
  <w:style w:type="paragraph" w:styleId="13">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line="240" w:lineRule="auto"/>
      <w:ind w:firstLine="0" w:firstLineChars="0"/>
    </w:pPr>
    <w:rPr>
      <w:sz w:val="21"/>
    </w:rPr>
  </w:style>
  <w:style w:type="paragraph" w:styleId="15">
    <w:name w:val="toc 2"/>
    <w:basedOn w:val="1"/>
    <w:next w:val="1"/>
    <w:unhideWhenUsed/>
    <w:qFormat/>
    <w:uiPriority w:val="39"/>
    <w:pPr>
      <w:widowControl/>
      <w:spacing w:after="100" w:line="259" w:lineRule="auto"/>
      <w:ind w:left="220"/>
    </w:pPr>
    <w:rPr>
      <w:kern w:val="0"/>
      <w:sz w:val="22"/>
    </w:rPr>
  </w:style>
  <w:style w:type="paragraph" w:styleId="16">
    <w:name w:val="Title"/>
    <w:basedOn w:val="1"/>
    <w:next w:val="1"/>
    <w:qFormat/>
    <w:uiPriority w:val="0"/>
    <w:pPr>
      <w:spacing w:before="240" w:after="60"/>
      <w:jc w:val="center"/>
      <w:outlineLvl w:val="0"/>
    </w:pPr>
    <w:rPr>
      <w:rFonts w:ascii="Cambria" w:hAnsi="Cambria"/>
      <w:b/>
      <w:bCs/>
      <w:sz w:val="32"/>
      <w:szCs w:val="32"/>
    </w:rPr>
  </w:style>
  <w:style w:type="paragraph" w:styleId="17">
    <w:name w:val="annotation subject"/>
    <w:basedOn w:val="9"/>
    <w:next w:val="9"/>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2"/>
    <w:qFormat/>
    <w:uiPriority w:val="0"/>
    <w:rPr>
      <w:rFonts w:ascii="Times New Roman" w:hAnsi="Times New Roman" w:eastAsia="宋体" w:cs="Times New Roman"/>
      <w:sz w:val="18"/>
      <w:szCs w:val="24"/>
    </w:rPr>
  </w:style>
  <w:style w:type="character" w:customStyle="1" w:styleId="26">
    <w:name w:val="标题 1 字符"/>
    <w:link w:val="3"/>
    <w:qFormat/>
    <w:uiPriority w:val="0"/>
    <w:rPr>
      <w:rFonts w:ascii="宋体" w:hAnsi="宋体"/>
      <w:b/>
      <w:bCs/>
      <w:kern w:val="24"/>
      <w:sz w:val="30"/>
      <w:szCs w:val="24"/>
      <w:u w:color="000000"/>
    </w:rPr>
  </w:style>
  <w:style w:type="character" w:customStyle="1" w:styleId="27">
    <w:name w:val="页眉 字符"/>
    <w:link w:val="13"/>
    <w:qFormat/>
    <w:uiPriority w:val="0"/>
    <w:rPr>
      <w:rFonts w:ascii="Times New Roman" w:hAnsi="Times New Roman" w:eastAsia="宋体" w:cs="Times New Roman"/>
      <w:sz w:val="18"/>
      <w:szCs w:val="18"/>
    </w:rPr>
  </w:style>
  <w:style w:type="character" w:customStyle="1" w:styleId="28">
    <w:name w:val="批注文字 字符"/>
    <w:link w:val="9"/>
    <w:qFormat/>
    <w:uiPriority w:val="0"/>
    <w:rPr>
      <w:rFonts w:ascii="Times New Roman" w:hAnsi="Times New Roman"/>
      <w:kern w:val="2"/>
      <w:sz w:val="21"/>
      <w:szCs w:val="24"/>
    </w:rPr>
  </w:style>
  <w:style w:type="character" w:customStyle="1" w:styleId="29">
    <w:name w:val="批注框文本 字符"/>
    <w:link w:val="11"/>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16</Pages>
  <Words>9835</Words>
  <Characters>10821</Characters>
  <Lines>128</Lines>
  <Paragraphs>114</Paragraphs>
  <TotalTime>0</TotalTime>
  <ScaleCrop>false</ScaleCrop>
  <LinksUpToDate>false</LinksUpToDate>
  <CharactersWithSpaces>10963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bsj_weichenzhao</cp:lastModifiedBy>
  <cp:lastPrinted>2025-03-06T07:48:00Z</cp:lastPrinted>
  <dcterms:modified xsi:type="dcterms:W3CDTF">2026-06-25T08:46:04Z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00E6CABBB689427287090CAF0D0EBB46_13</vt:lpwstr>
  </property>
  <property fmtid="{D5CDD505-2E9C-101B-9397-08002B2CF9AE}" pid="4" name="KSOTemplateDocerSaveRecord">
    <vt:lpwstr>eyJoZGlkIjoiZjVhNGJiMWVmZTg4ZjFhYWZhYWFiMzBkODkwYWRkZmUiLCJ1c2VySWQiOiIyNjMwNzY1ODMifQ==</vt:lpwstr>
  </property>
</Properties>
</file>