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center"/>
        <w:rPr>
          <w:rFonts w:hint="eastAsia" w:ascii="黑体" w:hAnsi="黑体" w:eastAsia="黑体" w:cs="黑体"/>
          <w:sz w:val="44"/>
          <w:szCs w:val="44"/>
        </w:rPr>
      </w:pPr>
      <w:r>
        <w:rPr>
          <w:rFonts w:hint="eastAsia" w:ascii="黑体" w:hAnsi="黑体" w:eastAsia="黑体" w:cs="黑体"/>
          <w:sz w:val="44"/>
          <w:szCs w:val="44"/>
        </w:rPr>
        <w:t>第三方经费审查服务委托单</w:t>
      </w:r>
    </w:p>
    <w:tbl>
      <w:tblPr>
        <w:tblStyle w:val="11"/>
        <w:tblW w:w="88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 w:type="dxa"/>
          <w:bottom w:w="0" w:type="dxa"/>
          <w:right w:w="10" w:type="dxa"/>
        </w:tblCellMar>
      </w:tblPr>
      <w:tblGrid>
        <w:gridCol w:w="2000"/>
        <w:gridCol w:w="2281"/>
        <w:gridCol w:w="2281"/>
        <w:gridCol w:w="22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8844" w:type="dxa"/>
            <w:gridSpan w:val="4"/>
            <w:tcBorders>
              <w:top w:val="single" w:color="000000" w:sz="0" w:space="0"/>
              <w:left w:val="single" w:color="000000" w:sz="0" w:space="0"/>
              <w:bottom w:val="single" w:color="000000" w:sz="0" w:space="0"/>
              <w:right w:val="single" w:color="000000" w:sz="0" w:space="0"/>
            </w:tcBorders>
            <w:shd w:val="clear" w:color="auto" w:fill="auto"/>
            <w:tcMar>
              <w:top w:w="80" w:type="dxa"/>
              <w:left w:w="120" w:type="dxa"/>
              <w:bottom w:w="80" w:type="dxa"/>
              <w:right w:w="120" w:type="dxa"/>
            </w:tcMar>
            <w:vAlign w:val="center"/>
          </w:tcPr>
          <w:p>
            <w:pPr>
              <w:jc w:val="center"/>
            </w:pPr>
            <w:r>
              <w:rPr>
                <w:rFonts w:ascii="仿宋_GB2312" w:hAnsi="仿宋_GB2312" w:eastAsia="仿宋_GB2312" w:cs="仿宋_GB2312"/>
                <w:b/>
                <w:bCs/>
                <w:sz w:val="28"/>
                <w:szCs w:val="28"/>
              </w:rPr>
              <w:t>委托信息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2000" w:type="dxa"/>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jc w:val="center"/>
            </w:pPr>
            <w:r>
              <w:rPr>
                <w:rFonts w:ascii="仿宋_GB2312" w:hAnsi="仿宋_GB2312" w:eastAsia="仿宋_GB2312" w:cs="仿宋_GB2312"/>
                <w:b/>
                <w:bCs/>
                <w:sz w:val="24"/>
                <w:szCs w:val="24"/>
              </w:rPr>
              <w:t>委托方</w:t>
            </w:r>
          </w:p>
        </w:tc>
        <w:tc>
          <w:tcPr>
            <w:tcW w:w="2281" w:type="dxa"/>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spacing w:after="40" w:line="360" w:lineRule="auto"/>
              <w:jc w:val="center"/>
            </w:pPr>
            <w:r>
              <w:rPr>
                <w:rFonts w:ascii="仿宋_GB2312" w:hAnsi="仿宋_GB2312" w:eastAsia="仿宋_GB2312" w:cs="仿宋_GB2312"/>
                <w:sz w:val="24"/>
                <w:szCs w:val="24"/>
              </w:rPr>
              <w:t>南方电网人工智能科技有限公司</w:t>
            </w:r>
          </w:p>
        </w:tc>
        <w:tc>
          <w:tcPr>
            <w:tcW w:w="2281" w:type="dxa"/>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spacing w:after="40" w:line="360" w:lineRule="auto"/>
              <w:jc w:val="center"/>
              <w:rPr>
                <w:rFonts w:ascii="仿宋_GB2312" w:hAnsi="仿宋_GB2312" w:eastAsia="仿宋_GB2312" w:cs="仿宋_GB2312"/>
                <w:sz w:val="24"/>
                <w:szCs w:val="24"/>
              </w:rPr>
            </w:pPr>
            <w:r>
              <w:rPr>
                <w:rFonts w:ascii="仿宋_GB2312" w:hAnsi="仿宋_GB2312" w:eastAsia="仿宋_GB2312" w:cs="仿宋_GB2312"/>
                <w:b/>
                <w:bCs/>
                <w:sz w:val="24"/>
                <w:szCs w:val="24"/>
              </w:rPr>
              <w:t>委托日期</w:t>
            </w:r>
          </w:p>
        </w:tc>
        <w:tc>
          <w:tcPr>
            <w:tcW w:w="2282" w:type="dxa"/>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spacing w:after="40" w:line="360" w:lineRule="auto"/>
              <w:jc w:val="center"/>
              <w:rPr>
                <w:rFonts w:ascii="仿宋_GB2312" w:hAnsi="仿宋_GB2312" w:eastAsia="仿宋_GB2312" w:cs="仿宋_GB2312"/>
                <w:sz w:val="24"/>
                <w:szCs w:val="24"/>
              </w:rPr>
            </w:pPr>
            <w:r>
              <w:rPr>
                <w:rFonts w:hint="eastAsia" w:cs="仿宋_GB2312"/>
                <w:sz w:val="24"/>
                <w:szCs w:val="24"/>
                <w:lang w:val="en-US" w:eastAsia="zh-CN"/>
              </w:rPr>
              <w:t>2026</w:t>
            </w:r>
            <w:r>
              <w:rPr>
                <w:rFonts w:ascii="仿宋_GB2312" w:hAnsi="仿宋_GB2312" w:eastAsia="仿宋_GB2312" w:cs="仿宋_GB2312"/>
                <w:sz w:val="24"/>
                <w:szCs w:val="24"/>
              </w:rPr>
              <w:t>年</w:t>
            </w:r>
            <w:r>
              <w:rPr>
                <w:rFonts w:hint="eastAsia" w:cs="仿宋_GB2312"/>
                <w:sz w:val="24"/>
                <w:szCs w:val="24"/>
                <w:lang w:val="en-US" w:eastAsia="zh-CN"/>
              </w:rPr>
              <w:t>7</w:t>
            </w:r>
            <w:r>
              <w:rPr>
                <w:rFonts w:ascii="仿宋_GB2312" w:hAnsi="仿宋_GB2312" w:eastAsia="仿宋_GB2312" w:cs="仿宋_GB2312"/>
                <w:sz w:val="24"/>
                <w:szCs w:val="24"/>
              </w:rPr>
              <w:t>月</w:t>
            </w:r>
            <w:r>
              <w:rPr>
                <w:rFonts w:hint="eastAsia" w:cs="仿宋_GB2312"/>
                <w:sz w:val="24"/>
                <w:szCs w:val="24"/>
                <w:lang w:val="en-US" w:eastAsia="zh-CN"/>
              </w:rPr>
              <w:t>2</w:t>
            </w:r>
            <w:bookmarkStart w:id="0" w:name="_GoBack"/>
            <w:bookmarkEnd w:id="0"/>
            <w:r>
              <w:rPr>
                <w:rFonts w:ascii="仿宋_GB2312" w:hAnsi="仿宋_GB2312" w:eastAsia="仿宋_GB2312" w:cs="仿宋_GB2312"/>
                <w:sz w:val="24"/>
                <w:szCs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2000" w:type="dxa"/>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jc w:val="center"/>
            </w:pPr>
            <w:r>
              <w:rPr>
                <w:rFonts w:ascii="仿宋_GB2312" w:hAnsi="仿宋_GB2312" w:eastAsia="仿宋_GB2312" w:cs="仿宋_GB2312"/>
                <w:b/>
                <w:bCs/>
                <w:sz w:val="24"/>
                <w:szCs w:val="24"/>
              </w:rPr>
              <w:t>审查项目名称</w:t>
            </w:r>
          </w:p>
        </w:tc>
        <w:tc>
          <w:tcPr>
            <w:tcW w:w="6844" w:type="dxa"/>
            <w:gridSpan w:val="3"/>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spacing w:after="40" w:line="360" w:lineRule="auto"/>
              <w:jc w:val="center"/>
            </w:pPr>
            <w:r>
              <w:rPr>
                <w:rFonts w:ascii="仿宋_GB2312" w:hAnsi="仿宋_GB2312" w:eastAsia="仿宋_GB2312" w:cs="仿宋_GB2312"/>
                <w:sz w:val="24"/>
                <w:szCs w:val="24"/>
              </w:rPr>
              <w:t>调度云数据安全规划及数据安全供给关键技术研究与应用项目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2000" w:type="dxa"/>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jc w:val="center"/>
            </w:pPr>
            <w:r>
              <w:rPr>
                <w:rFonts w:ascii="仿宋_GB2312" w:hAnsi="仿宋_GB2312" w:eastAsia="仿宋_GB2312" w:cs="仿宋_GB2312"/>
                <w:b/>
                <w:bCs/>
                <w:sz w:val="24"/>
                <w:szCs w:val="24"/>
              </w:rPr>
              <w:t>项目基本情况</w:t>
            </w:r>
          </w:p>
        </w:tc>
        <w:tc>
          <w:tcPr>
            <w:tcW w:w="6844" w:type="dxa"/>
            <w:gridSpan w:val="3"/>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spacing w:after="40" w:line="360" w:lineRule="auto"/>
              <w:jc w:val="left"/>
            </w:pPr>
            <w:r>
              <w:rPr>
                <w:rFonts w:ascii="仿宋_GB2312" w:hAnsi="仿宋_GB2312" w:eastAsia="仿宋_GB2312" w:cs="仿宋_GB2312"/>
                <w:sz w:val="24"/>
                <w:szCs w:val="24"/>
              </w:rPr>
              <w:t>围绕南方电网系统运行数据全生命周期安全风险，规划数据安全治理实施路径；依托调度云研发数据安全保护模块，实现敏感数据识别、脱敏、溯源、水印及API监测；研制合规监测装置，实时检测敏感数据与密码合规性；开发边缘网关安全模组，集成国密算法、零信任认证及防篡改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2000" w:type="dxa"/>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jc w:val="center"/>
            </w:pPr>
            <w:r>
              <w:rPr>
                <w:rFonts w:ascii="仿宋_GB2312" w:hAnsi="仿宋_GB2312" w:eastAsia="仿宋_GB2312" w:cs="仿宋_GB2312"/>
                <w:b/>
                <w:bCs/>
                <w:sz w:val="24"/>
                <w:szCs w:val="24"/>
              </w:rPr>
              <w:t>审查服务限价</w:t>
            </w:r>
          </w:p>
        </w:tc>
        <w:tc>
          <w:tcPr>
            <w:tcW w:w="6844" w:type="dxa"/>
            <w:gridSpan w:val="3"/>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spacing w:after="40" w:line="360" w:lineRule="auto"/>
              <w:jc w:val="left"/>
            </w:pPr>
            <w:r>
              <w:rPr>
                <w:rFonts w:ascii="仿宋_GB2312" w:hAnsi="仿宋_GB2312" w:eastAsia="仿宋_GB2312" w:cs="仿宋_GB2312"/>
                <w:sz w:val="24"/>
                <w:szCs w:val="24"/>
              </w:rPr>
              <w:t>报价合计小写：</w:t>
            </w:r>
            <w:r>
              <w:rPr>
                <w:rFonts w:hint="eastAsia" w:cs="仿宋_GB2312"/>
                <w:sz w:val="24"/>
                <w:szCs w:val="24"/>
                <w:lang w:val="en-US" w:eastAsia="zh-CN"/>
              </w:rPr>
              <w:t>20000</w:t>
            </w:r>
            <w:r>
              <w:rPr>
                <w:rFonts w:ascii="仿宋_GB2312" w:hAnsi="仿宋_GB2312" w:eastAsia="仿宋_GB2312" w:cs="仿宋_GB2312"/>
                <w:sz w:val="24"/>
                <w:szCs w:val="24"/>
              </w:rPr>
              <w:t>元（大写：</w:t>
            </w:r>
            <w:r>
              <w:rPr>
                <w:rFonts w:hint="eastAsia" w:cs="仿宋_GB2312"/>
                <w:sz w:val="24"/>
                <w:szCs w:val="24"/>
                <w:lang w:val="en-US" w:eastAsia="zh-CN"/>
              </w:rPr>
              <w:t>贰万元整</w:t>
            </w:r>
            <w:r>
              <w:rPr>
                <w:rFonts w:ascii="仿宋_GB2312" w:hAnsi="仿宋_GB2312" w:eastAsia="仿宋_GB2312" w:cs="仿宋_GB2312"/>
                <w:sz w:val="24"/>
                <w:szCs w:val="24"/>
              </w:rPr>
              <w:t>）</w:t>
            </w:r>
          </w:p>
          <w:p>
            <w:pPr>
              <w:spacing w:after="40" w:line="360" w:lineRule="auto"/>
              <w:jc w:val="left"/>
            </w:pPr>
            <w:r>
              <w:rPr>
                <w:rFonts w:ascii="仿宋_GB2312" w:hAnsi="仿宋_GB2312" w:eastAsia="仿宋_GB2312" w:cs="仿宋_GB2312"/>
                <w:sz w:val="24"/>
                <w:szCs w:val="24"/>
              </w:rPr>
              <w:t>限价小写：</w:t>
            </w:r>
            <w:r>
              <w:rPr>
                <w:rFonts w:hint="eastAsia" w:cs="仿宋_GB2312"/>
                <w:sz w:val="24"/>
                <w:szCs w:val="24"/>
                <w:lang w:val="en-US" w:eastAsia="zh-CN"/>
              </w:rPr>
              <w:t>20000</w:t>
            </w:r>
            <w:r>
              <w:rPr>
                <w:rFonts w:ascii="仿宋_GB2312" w:hAnsi="仿宋_GB2312" w:eastAsia="仿宋_GB2312" w:cs="仿宋_GB2312"/>
                <w:sz w:val="24"/>
                <w:szCs w:val="24"/>
              </w:rPr>
              <w:t>元（大写：</w:t>
            </w:r>
            <w:r>
              <w:rPr>
                <w:rFonts w:hint="eastAsia" w:cs="仿宋_GB2312"/>
                <w:sz w:val="24"/>
                <w:szCs w:val="24"/>
                <w:lang w:val="en-US" w:eastAsia="zh-CN"/>
              </w:rPr>
              <w:t>贰万元整</w:t>
            </w:r>
            <w:r>
              <w:rPr>
                <w:rFonts w:ascii="仿宋_GB2312" w:hAnsi="仿宋_GB2312" w:eastAsia="仿宋_GB2312" w:cs="仿宋_GB2312"/>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8844" w:type="dxa"/>
            <w:gridSpan w:val="4"/>
            <w:tcBorders>
              <w:top w:val="single" w:color="000000" w:sz="0" w:space="0"/>
              <w:left w:val="single" w:color="000000" w:sz="0" w:space="0"/>
              <w:bottom w:val="single" w:color="000000" w:sz="0" w:space="0"/>
              <w:right w:val="single" w:color="000000" w:sz="0" w:space="0"/>
            </w:tcBorders>
            <w:shd w:val="clear" w:color="auto" w:fill="auto"/>
            <w:tcMar>
              <w:top w:w="80" w:type="dxa"/>
              <w:left w:w="120" w:type="dxa"/>
              <w:bottom w:w="80" w:type="dxa"/>
              <w:right w:w="120" w:type="dxa"/>
            </w:tcMar>
            <w:vAlign w:val="center"/>
          </w:tcPr>
          <w:p>
            <w:pPr>
              <w:jc w:val="center"/>
            </w:pPr>
            <w:r>
              <w:rPr>
                <w:rFonts w:ascii="仿宋_GB2312" w:hAnsi="仿宋_GB2312" w:eastAsia="仿宋_GB2312" w:cs="仿宋_GB2312"/>
                <w:b/>
                <w:bCs/>
                <w:sz w:val="28"/>
                <w:szCs w:val="28"/>
              </w:rPr>
              <w:t>受 托 方 要 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2000" w:type="dxa"/>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jc w:val="center"/>
            </w:pPr>
            <w:r>
              <w:rPr>
                <w:rFonts w:ascii="仿宋_GB2312" w:hAnsi="仿宋_GB2312" w:eastAsia="仿宋_GB2312" w:cs="仿宋_GB2312"/>
                <w:b/>
                <w:bCs/>
                <w:sz w:val="24"/>
                <w:szCs w:val="24"/>
              </w:rPr>
              <w:t>资质要求</w:t>
            </w:r>
          </w:p>
        </w:tc>
        <w:tc>
          <w:tcPr>
            <w:tcW w:w="6844" w:type="dxa"/>
            <w:gridSpan w:val="3"/>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spacing w:after="40" w:line="360" w:lineRule="auto"/>
              <w:jc w:val="left"/>
            </w:pPr>
            <w:r>
              <w:rPr>
                <w:rFonts w:ascii="仿宋_GB2312" w:hAnsi="仿宋_GB2312" w:eastAsia="仿宋_GB2312" w:cs="仿宋_GB2312"/>
                <w:sz w:val="24"/>
                <w:szCs w:val="24"/>
              </w:rPr>
              <w:t>1. 中华人民共和国境内注册的法人，提供合法有效的营业执照和执业证书。</w:t>
            </w:r>
          </w:p>
          <w:p>
            <w:pPr>
              <w:spacing w:after="40" w:line="360" w:lineRule="auto"/>
              <w:jc w:val="left"/>
            </w:pPr>
            <w:r>
              <w:rPr>
                <w:rFonts w:ascii="仿宋_GB2312" w:hAnsi="仿宋_GB2312" w:eastAsia="仿宋_GB2312" w:cs="仿宋_GB2312"/>
                <w:sz w:val="24"/>
                <w:szCs w:val="24"/>
              </w:rPr>
              <w:t>2. 要求会计师事务所同时具备如下条件：</w:t>
            </w:r>
          </w:p>
          <w:p>
            <w:pPr>
              <w:spacing w:after="40" w:line="360" w:lineRule="auto"/>
              <w:jc w:val="left"/>
            </w:pPr>
            <w:r>
              <w:rPr>
                <w:rFonts w:ascii="仿宋_GB2312" w:hAnsi="仿宋_GB2312" w:eastAsia="仿宋_GB2312" w:cs="仿宋_GB2312"/>
                <w:sz w:val="24"/>
                <w:szCs w:val="24"/>
              </w:rPr>
              <w:t>（1）在《承接省级科技计划项目验收审计服务会计师事务所备案名单（第一批）》范围内；</w:t>
            </w:r>
          </w:p>
          <w:p>
            <w:pPr>
              <w:spacing w:after="40" w:line="360" w:lineRule="auto"/>
              <w:jc w:val="left"/>
            </w:pPr>
            <w:r>
              <w:rPr>
                <w:rFonts w:ascii="仿宋_GB2312" w:hAnsi="仿宋_GB2312" w:eastAsia="仿宋_GB2312" w:cs="仿宋_GB2312"/>
                <w:sz w:val="24"/>
                <w:szCs w:val="24"/>
              </w:rPr>
              <w:t>（2）在《“十三五”期间国家科技计划资金审计会计师事务所入围名单》范围内；</w:t>
            </w:r>
          </w:p>
          <w:p>
            <w:pPr>
              <w:spacing w:after="40" w:line="360" w:lineRule="auto"/>
              <w:jc w:val="left"/>
            </w:pPr>
            <w:r>
              <w:rPr>
                <w:rFonts w:ascii="仿宋_GB2312" w:hAnsi="仿宋_GB2312" w:eastAsia="仿宋_GB2312" w:cs="仿宋_GB2312"/>
                <w:sz w:val="24"/>
                <w:szCs w:val="24"/>
              </w:rPr>
              <w:t>（3）在《承接国家重点研发计划结题审计服务会计师事务所备案名单（截至2023年8月10日）》范围内。</w:t>
            </w:r>
          </w:p>
          <w:p>
            <w:pPr>
              <w:spacing w:after="40" w:line="360" w:lineRule="auto"/>
              <w:jc w:val="left"/>
            </w:pPr>
            <w:r>
              <w:rPr>
                <w:rFonts w:ascii="仿宋_GB2312" w:hAnsi="仿宋_GB2312" w:eastAsia="仿宋_GB2312" w:cs="仿宋_GB2312"/>
                <w:sz w:val="24"/>
                <w:szCs w:val="24"/>
              </w:rPr>
              <w:t>3. 在经营活动中无重大违法失信记录，没有被市场监督管理机关在国家企业信用信息公示系统（www.gsxt.gov.cn）中列入严重违法失信企业名单，没有被最高人民法院在“信用中国”网站（www.creditchina.gov.cn）列入失信被执行人名单，应提供上述两个网站的相应截图；在中国南方电网有限责任公司范围内没有处于限制投标资格的处罚期内（提供相关网站截图）。</w:t>
            </w:r>
          </w:p>
          <w:p>
            <w:pPr>
              <w:spacing w:after="40" w:line="360" w:lineRule="auto"/>
              <w:jc w:val="left"/>
            </w:pPr>
            <w:r>
              <w:rPr>
                <w:rFonts w:ascii="仿宋_GB2312" w:hAnsi="仿宋_GB2312" w:eastAsia="仿宋_GB2312" w:cs="仿宋_GB2312"/>
                <w:sz w:val="24"/>
                <w:szCs w:val="24"/>
              </w:rPr>
              <w:t>4. 不接受联合体参与。</w:t>
            </w:r>
          </w:p>
          <w:p>
            <w:pPr>
              <w:spacing w:after="40" w:line="360" w:lineRule="auto"/>
              <w:jc w:val="left"/>
            </w:pPr>
            <w:r>
              <w:rPr>
                <w:rFonts w:ascii="仿宋_GB2312" w:hAnsi="仿宋_GB2312" w:eastAsia="仿宋_GB2312" w:cs="仿宋_GB2312"/>
                <w:sz w:val="24"/>
                <w:szCs w:val="24"/>
              </w:rPr>
              <w:t>5. 需提供加盖公司公章的会计师事务所执业证书。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2000" w:type="dxa"/>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jc w:val="center"/>
            </w:pPr>
            <w:r>
              <w:rPr>
                <w:rFonts w:ascii="仿宋_GB2312" w:hAnsi="仿宋_GB2312" w:eastAsia="仿宋_GB2312" w:cs="仿宋_GB2312"/>
                <w:b/>
                <w:bCs/>
                <w:sz w:val="24"/>
                <w:szCs w:val="24"/>
              </w:rPr>
              <w:t>交付要求</w:t>
            </w:r>
          </w:p>
        </w:tc>
        <w:tc>
          <w:tcPr>
            <w:tcW w:w="6844" w:type="dxa"/>
            <w:gridSpan w:val="3"/>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spacing w:after="40" w:line="360" w:lineRule="auto"/>
              <w:jc w:val="left"/>
            </w:pPr>
            <w:r>
              <w:rPr>
                <w:rFonts w:ascii="仿宋_GB2312" w:hAnsi="仿宋_GB2312" w:eastAsia="仿宋_GB2312" w:cs="仿宋_GB2312"/>
                <w:sz w:val="24"/>
                <w:szCs w:val="24"/>
              </w:rPr>
              <w:t>开展《调度云数据安全规划及数据安全供给关键技术研究与应用》或</w:t>
            </w:r>
            <w:r>
              <w:rPr>
                <w:rFonts w:hint="eastAsia" w:cs="仿宋_GB2312"/>
                <w:sz w:val="24"/>
                <w:szCs w:val="24"/>
                <w:lang w:val="en-US" w:eastAsia="zh-CN"/>
              </w:rPr>
              <w:t>南方总调</w:t>
            </w:r>
            <w:r>
              <w:rPr>
                <w:rFonts w:ascii="仿宋_GB2312" w:hAnsi="仿宋_GB2312" w:eastAsia="仿宋_GB2312" w:cs="仿宋_GB2312"/>
                <w:sz w:val="24"/>
                <w:szCs w:val="24"/>
              </w:rPr>
              <w:t>《调度云数据安全保护关键技术研究与应用》项目结题前第三方经费审查，并提交加盖公章的第三方经费审查报告3份。</w:t>
            </w:r>
          </w:p>
          <w:p>
            <w:pPr>
              <w:spacing w:after="40" w:line="360" w:lineRule="auto"/>
              <w:jc w:val="left"/>
            </w:pPr>
            <w:r>
              <w:rPr>
                <w:rFonts w:ascii="仿宋_GB2312" w:hAnsi="仿宋_GB2312" w:eastAsia="仿宋_GB2312" w:cs="仿宋_GB2312"/>
                <w:sz w:val="24"/>
                <w:szCs w:val="24"/>
              </w:rPr>
              <w:t>项目结题前经费审查报告内容应至少包括：</w:t>
            </w:r>
          </w:p>
          <w:p>
            <w:pPr>
              <w:spacing w:after="40" w:line="360" w:lineRule="auto"/>
              <w:jc w:val="left"/>
            </w:pPr>
            <w:r>
              <w:rPr>
                <w:rFonts w:ascii="仿宋_GB2312" w:hAnsi="仿宋_GB2312" w:eastAsia="仿宋_GB2312" w:cs="仿宋_GB2312"/>
                <w:sz w:val="24"/>
                <w:szCs w:val="24"/>
              </w:rPr>
              <w:t>（1）项目实施单位基本情况；</w:t>
            </w:r>
          </w:p>
          <w:p>
            <w:pPr>
              <w:spacing w:after="40" w:line="360" w:lineRule="auto"/>
              <w:jc w:val="left"/>
            </w:pPr>
            <w:r>
              <w:rPr>
                <w:rFonts w:ascii="仿宋_GB2312" w:hAnsi="仿宋_GB2312" w:eastAsia="仿宋_GB2312" w:cs="仿宋_GB2312"/>
                <w:sz w:val="24"/>
                <w:szCs w:val="24"/>
              </w:rPr>
              <w:t>（2）项目立项基本情况，包括项目基本情况、主要研究内容等；</w:t>
            </w:r>
          </w:p>
          <w:p>
            <w:pPr>
              <w:spacing w:after="40" w:line="360" w:lineRule="auto"/>
              <w:jc w:val="left"/>
            </w:pPr>
            <w:r>
              <w:rPr>
                <w:rFonts w:ascii="仿宋_GB2312" w:hAnsi="仿宋_GB2312" w:eastAsia="仿宋_GB2312" w:cs="仿宋_GB2312"/>
                <w:sz w:val="24"/>
                <w:szCs w:val="24"/>
              </w:rPr>
              <w:t>（3）内部控制制度建设及执行情况；</w:t>
            </w:r>
          </w:p>
          <w:p>
            <w:pPr>
              <w:spacing w:after="40" w:line="360" w:lineRule="auto"/>
              <w:jc w:val="left"/>
            </w:pPr>
            <w:r>
              <w:rPr>
                <w:rFonts w:ascii="仿宋_GB2312" w:hAnsi="仿宋_GB2312" w:eastAsia="仿宋_GB2312" w:cs="仿宋_GB2312"/>
                <w:sz w:val="24"/>
                <w:szCs w:val="24"/>
              </w:rPr>
              <w:t>（4）项目经费会计核算情况；</w:t>
            </w:r>
          </w:p>
          <w:p>
            <w:pPr>
              <w:spacing w:after="40" w:line="360" w:lineRule="auto"/>
              <w:jc w:val="left"/>
            </w:pPr>
            <w:r>
              <w:rPr>
                <w:rFonts w:ascii="仿宋_GB2312" w:hAnsi="仿宋_GB2312" w:eastAsia="仿宋_GB2312" w:cs="仿宋_GB2312"/>
                <w:sz w:val="24"/>
                <w:szCs w:val="24"/>
              </w:rPr>
              <w:t>（5）项目经费使用情况，包括项目预算及经费执行情况、固定资产购置及使用情况、合同履行情况等；</w:t>
            </w:r>
          </w:p>
          <w:p>
            <w:pPr>
              <w:spacing w:after="40" w:line="360" w:lineRule="auto"/>
              <w:jc w:val="left"/>
            </w:pPr>
            <w:r>
              <w:rPr>
                <w:rFonts w:ascii="仿宋_GB2312" w:hAnsi="仿宋_GB2312" w:eastAsia="仿宋_GB2312" w:cs="仿宋_GB2312"/>
                <w:sz w:val="24"/>
                <w:szCs w:val="24"/>
              </w:rPr>
              <w:t>（6）经费使用存在的问题和整改建议。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2000" w:type="dxa"/>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jc w:val="center"/>
            </w:pPr>
            <w:r>
              <w:rPr>
                <w:rFonts w:ascii="仿宋_GB2312" w:hAnsi="仿宋_GB2312" w:eastAsia="仿宋_GB2312" w:cs="仿宋_GB2312"/>
                <w:b/>
                <w:bCs/>
                <w:sz w:val="24"/>
                <w:szCs w:val="24"/>
              </w:rPr>
              <w:t>进度要求</w:t>
            </w:r>
          </w:p>
        </w:tc>
        <w:tc>
          <w:tcPr>
            <w:tcW w:w="6844" w:type="dxa"/>
            <w:gridSpan w:val="3"/>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spacing w:after="40" w:line="360" w:lineRule="auto"/>
              <w:jc w:val="left"/>
            </w:pPr>
            <w:r>
              <w:rPr>
                <w:rFonts w:ascii="仿宋_GB2312" w:hAnsi="仿宋_GB2312" w:eastAsia="仿宋_GB2312" w:cs="仿宋_GB2312"/>
                <w:sz w:val="24"/>
                <w:szCs w:val="24"/>
              </w:rPr>
              <w:t>2026年8月30日前交付《调度云数据安全规划及数据安全供给关键技术研究与应用》或《调度云数据安全保护关键技术研究与应用》项目第三方经费审查报告3份。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2000" w:type="dxa"/>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jc w:val="center"/>
            </w:pPr>
            <w:r>
              <w:rPr>
                <w:rFonts w:ascii="仿宋_GB2312" w:hAnsi="仿宋_GB2312" w:eastAsia="仿宋_GB2312" w:cs="仿宋_GB2312"/>
                <w:b/>
                <w:bCs/>
                <w:sz w:val="24"/>
                <w:szCs w:val="24"/>
              </w:rPr>
              <w:t>信息保密要求</w:t>
            </w:r>
          </w:p>
        </w:tc>
        <w:tc>
          <w:tcPr>
            <w:tcW w:w="6844" w:type="dxa"/>
            <w:gridSpan w:val="3"/>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spacing w:after="40" w:line="360" w:lineRule="auto"/>
              <w:jc w:val="left"/>
            </w:pPr>
            <w:r>
              <w:rPr>
                <w:rFonts w:ascii="仿宋_GB2312" w:hAnsi="仿宋_GB2312" w:eastAsia="仿宋_GB2312" w:cs="仿宋_GB2312"/>
                <w:sz w:val="24"/>
                <w:szCs w:val="24"/>
              </w:rPr>
              <w:t>受托方需严格遵守委托方有关信息安全的相关要求，需积极采取相关措施防止保密信息的复制、泄漏或遗失。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2000" w:type="dxa"/>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jc w:val="center"/>
            </w:pPr>
            <w:r>
              <w:rPr>
                <w:rFonts w:ascii="仿宋_GB2312" w:hAnsi="仿宋_GB2312" w:eastAsia="仿宋_GB2312" w:cs="仿宋_GB2312"/>
                <w:b/>
                <w:bCs/>
                <w:sz w:val="24"/>
                <w:szCs w:val="24"/>
              </w:rPr>
              <w:t>其他要求</w:t>
            </w:r>
          </w:p>
        </w:tc>
        <w:tc>
          <w:tcPr>
            <w:tcW w:w="6844" w:type="dxa"/>
            <w:gridSpan w:val="3"/>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spacing w:after="40" w:line="360" w:lineRule="auto"/>
              <w:jc w:val="left"/>
            </w:pPr>
            <w:r>
              <w:rPr>
                <w:rFonts w:ascii="仿宋_GB2312" w:hAnsi="仿宋_GB2312" w:eastAsia="仿宋_GB2312" w:cs="仿宋_GB2312"/>
                <w:sz w:val="24"/>
                <w:szCs w:val="24"/>
              </w:rPr>
              <w:t>如在项目实施过程中需要调整内容、进度等，需经委托方与受托方双方共同确认，按合同变更程序办理。</w:t>
            </w:r>
          </w:p>
        </w:tc>
      </w:tr>
    </w:tbl>
    <w:p>
      <w:pPr>
        <w:spacing w:before="300" w:after="100"/>
      </w:pPr>
      <w:r>
        <w:rPr>
          <w:rFonts w:ascii="仿宋_GB2312" w:hAnsi="仿宋_GB2312" w:eastAsia="仿宋_GB2312" w:cs="仿宋_GB2312"/>
          <w:i/>
          <w:iCs/>
          <w:sz w:val="21"/>
          <w:szCs w:val="21"/>
        </w:rPr>
        <w:t>说明：本委托单为技术服务合同附件，一式叁份，甲方执贰份，乙方执壹份，具有同等法律效力。</w:t>
      </w:r>
    </w:p>
    <w:sectPr>
      <w:pgSz w:w="11906" w:h="16838"/>
      <w:pgMar w:top="2098" w:right="1474" w:bottom="1985" w:left="1588" w:header="708" w:footer="708"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微软雅黑">
    <w:altName w:val="方正黑体_GBK"/>
    <w:panose1 w:val="00000000000000000000"/>
    <w:charset w:val="00"/>
    <w:family w:val="auto"/>
    <w:pitch w:val="default"/>
    <w:sig w:usb0="00000000" w:usb1="00000000" w:usb2="00000000" w:usb3="00000000" w:csb0="00000000" w:csb1="00000000"/>
  </w:font>
  <w:font w:name="Tahoma">
    <w:altName w:val="DejaVu Sans"/>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displayBackgroundShape w:val="1"/>
  <w:documentProtection w:enforcement="0"/>
  <w:compat>
    <w:useFELayout/>
    <w:compatSetting w:name="compatibilityMode" w:uri="http://schemas.microsoft.com/office/word" w:val="15"/>
  </w:compat>
  <w:rsids>
    <w:rsidRoot w:val="00000000"/>
    <w:rsid w:val="34254E5C"/>
    <w:rsid w:val="34A00986"/>
    <w:rsid w:val="5A702CD0"/>
    <w:rsid w:val="79FEC37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仿宋_GB2312" w:hAnsi="仿宋_GB2312" w:eastAsia="仿宋_GB2312" w:cs="仿宋_GB2312"/>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qFormat="1" w:uiPriority="99" w:name="endnote reference"/>
    <w:lsdException w:qFormat="1" w:uiPriority="99"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仿宋_GB2312" w:eastAsia="仿宋_GB2312" w:cs="仿宋_GB2312"/>
      <w:sz w:val="24"/>
      <w:szCs w:val="24"/>
    </w:rPr>
  </w:style>
  <w:style w:type="paragraph" w:styleId="2">
    <w:name w:val="heading 1"/>
    <w:next w:val="1"/>
    <w:qFormat/>
    <w:uiPriority w:val="0"/>
    <w:rPr>
      <w:rFonts w:ascii="仿宋_GB2312" w:hAnsi="仿宋_GB2312" w:eastAsia="仿宋_GB2312" w:cs="仿宋_GB2312"/>
      <w:color w:val="2E74B5"/>
      <w:sz w:val="32"/>
      <w:szCs w:val="32"/>
    </w:rPr>
  </w:style>
  <w:style w:type="paragraph" w:styleId="3">
    <w:name w:val="heading 2"/>
    <w:next w:val="1"/>
    <w:qFormat/>
    <w:uiPriority w:val="0"/>
    <w:rPr>
      <w:rFonts w:ascii="仿宋_GB2312" w:hAnsi="仿宋_GB2312" w:eastAsia="仿宋_GB2312" w:cs="仿宋_GB2312"/>
      <w:color w:val="2E74B5"/>
      <w:sz w:val="26"/>
      <w:szCs w:val="26"/>
    </w:rPr>
  </w:style>
  <w:style w:type="paragraph" w:styleId="4">
    <w:name w:val="heading 3"/>
    <w:next w:val="1"/>
    <w:qFormat/>
    <w:uiPriority w:val="0"/>
    <w:rPr>
      <w:rFonts w:ascii="仿宋_GB2312" w:hAnsi="仿宋_GB2312" w:eastAsia="仿宋_GB2312" w:cs="仿宋_GB2312"/>
      <w:color w:val="1F4D78"/>
      <w:sz w:val="24"/>
      <w:szCs w:val="24"/>
    </w:rPr>
  </w:style>
  <w:style w:type="paragraph" w:styleId="5">
    <w:name w:val="heading 4"/>
    <w:next w:val="1"/>
    <w:qFormat/>
    <w:uiPriority w:val="0"/>
    <w:rPr>
      <w:rFonts w:ascii="仿宋_GB2312" w:hAnsi="仿宋_GB2312" w:eastAsia="仿宋_GB2312" w:cs="仿宋_GB2312"/>
      <w:i/>
      <w:iCs/>
      <w:color w:val="2E74B5"/>
      <w:sz w:val="24"/>
      <w:szCs w:val="24"/>
    </w:rPr>
  </w:style>
  <w:style w:type="paragraph" w:styleId="6">
    <w:name w:val="heading 5"/>
    <w:next w:val="1"/>
    <w:qFormat/>
    <w:uiPriority w:val="0"/>
    <w:rPr>
      <w:rFonts w:ascii="仿宋_GB2312" w:hAnsi="仿宋_GB2312" w:eastAsia="仿宋_GB2312" w:cs="仿宋_GB2312"/>
      <w:color w:val="2E74B5"/>
      <w:sz w:val="24"/>
      <w:szCs w:val="24"/>
    </w:rPr>
  </w:style>
  <w:style w:type="paragraph" w:styleId="7">
    <w:name w:val="heading 6"/>
    <w:next w:val="1"/>
    <w:qFormat/>
    <w:uiPriority w:val="0"/>
    <w:rPr>
      <w:rFonts w:ascii="仿宋_GB2312" w:hAnsi="仿宋_GB2312" w:eastAsia="仿宋_GB2312" w:cs="仿宋_GB2312"/>
      <w:color w:val="1F4D78"/>
      <w:sz w:val="24"/>
      <w:szCs w:val="24"/>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8">
    <w:name w:val="endnote text"/>
    <w:link w:val="18"/>
    <w:semiHidden/>
    <w:unhideWhenUsed/>
    <w:qFormat/>
    <w:uiPriority w:val="99"/>
    <w:pPr>
      <w:spacing w:after="0" w:line="240" w:lineRule="auto"/>
    </w:pPr>
    <w:rPr>
      <w:rFonts w:ascii="仿宋_GB2312" w:hAnsi="仿宋_GB2312" w:eastAsia="仿宋_GB2312" w:cs="仿宋_GB2312"/>
      <w:sz w:val="20"/>
      <w:szCs w:val="20"/>
    </w:rPr>
  </w:style>
  <w:style w:type="paragraph" w:styleId="9">
    <w:name w:val="footnote text"/>
    <w:link w:val="17"/>
    <w:semiHidden/>
    <w:unhideWhenUsed/>
    <w:qFormat/>
    <w:uiPriority w:val="99"/>
    <w:pPr>
      <w:spacing w:after="0" w:line="240" w:lineRule="auto"/>
    </w:pPr>
    <w:rPr>
      <w:rFonts w:ascii="仿宋_GB2312" w:hAnsi="仿宋_GB2312" w:eastAsia="仿宋_GB2312" w:cs="仿宋_GB2312"/>
      <w:sz w:val="20"/>
      <w:szCs w:val="20"/>
    </w:rPr>
  </w:style>
  <w:style w:type="paragraph" w:styleId="10">
    <w:name w:val="Title"/>
    <w:qFormat/>
    <w:uiPriority w:val="0"/>
    <w:rPr>
      <w:rFonts w:ascii="仿宋_GB2312" w:hAnsi="仿宋_GB2312" w:eastAsia="仿宋_GB2312" w:cs="仿宋_GB2312"/>
      <w:sz w:val="56"/>
      <w:szCs w:val="56"/>
    </w:rPr>
  </w:style>
  <w:style w:type="character" w:styleId="13">
    <w:name w:val="endnote reference"/>
    <w:semiHidden/>
    <w:unhideWhenUsed/>
    <w:qFormat/>
    <w:uiPriority w:val="99"/>
    <w:rPr>
      <w:vertAlign w:val="superscript"/>
    </w:rPr>
  </w:style>
  <w:style w:type="character" w:styleId="14">
    <w:name w:val="Hyperlink"/>
    <w:unhideWhenUsed/>
    <w:qFormat/>
    <w:uiPriority w:val="99"/>
    <w:rPr>
      <w:color w:val="0563C1"/>
      <w:u w:val="single"/>
    </w:rPr>
  </w:style>
  <w:style w:type="character" w:styleId="15">
    <w:name w:val="footnote reference"/>
    <w:semiHidden/>
    <w:unhideWhenUsed/>
    <w:qFormat/>
    <w:uiPriority w:val="99"/>
    <w:rPr>
      <w:vertAlign w:val="superscript"/>
    </w:rPr>
  </w:style>
  <w:style w:type="paragraph" w:styleId="16">
    <w:name w:val="List Paragraph"/>
    <w:qFormat/>
    <w:uiPriority w:val="0"/>
    <w:rPr>
      <w:rFonts w:ascii="仿宋_GB2312" w:hAnsi="仿宋_GB2312" w:eastAsia="仿宋_GB2312" w:cs="仿宋_GB2312"/>
      <w:sz w:val="24"/>
      <w:szCs w:val="24"/>
    </w:rPr>
  </w:style>
  <w:style w:type="character" w:customStyle="1" w:styleId="17">
    <w:name w:val="Footnote Text Char"/>
    <w:link w:val="9"/>
    <w:semiHidden/>
    <w:unhideWhenUsed/>
    <w:qFormat/>
    <w:uiPriority w:val="99"/>
    <w:rPr>
      <w:sz w:val="20"/>
      <w:szCs w:val="20"/>
    </w:rPr>
  </w:style>
  <w:style w:type="character" w:customStyle="1" w:styleId="18">
    <w:name w:val="Endnote Text Char"/>
    <w:link w:val="8"/>
    <w:semiHidden/>
    <w:unhideWhenUsed/>
    <w:qFormat/>
    <w:uiPriority w:val="99"/>
    <w:rPr>
      <w:sz w:val="2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dafef340-1d32-448a-a3f7-df99749ec225</errorID>
      <errorWord xmlns="http://schemas.wps.cn/vas-ai-hub/contract-review">叁份，甲方执贰份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三份，甲方执两份</item>
      </candidateList>
      <explain xmlns="http://schemas.wps.cn/vas-ai-hub/contract-review"/>
      <paraID xmlns="http://schemas.wps.cn/vas-ai-hub/contract-review"> B6E196C</paraID>
      <start xmlns="http://schemas.wps.cn/vas-ai-hub/contract-review">19</start>
      <end xmlns="http://schemas.wps.cn/vas-ai-hub/contract-review">27</end>
      <status xmlns="http://schemas.wps.cn/vas-ai-hub/contract-review">ignored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88d729e2-622e-41b6-9761-b5cced2447b5}">
  <ds:schemaRefs/>
</ds:datastoreItem>
</file>

<file path=docProps/app.xml><?xml version="1.0" encoding="utf-8"?>
<Properties xmlns="http://schemas.openxmlformats.org/officeDocument/2006/extended-properties" xmlns:vt="http://schemas.openxmlformats.org/officeDocument/2006/docPropsVTypes">
  <Pages>3</Pages>
  <Words>1151</Words>
  <Characters>1455</Characters>
  <TotalTime>6</TotalTime>
  <ScaleCrop>false</ScaleCrop>
  <LinksUpToDate>false</LinksUpToDate>
  <CharactersWithSpaces>1476</CharactersWithSpaces>
  <Application>WPS Office_11.8.2.12313_F1E327BC-269C-435d-A152-05C5408002CA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2026-07-01T19:44:00Z</dcterms:created>
  <dc:creator>Un-named</dc:creator>
  <cp:lastModifiedBy>ruangz</cp:lastModifiedBy>
  <dcterms:modified xsi:type="dcterms:W3CDTF">2026-07-02T11:27:24Z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eyJoZGlkIjoiOWUzMzE2MTM0ODMwY2UyMGUzZWM4Y2RlZmRjOGQxNDUiLCJ1c2VySWQiOiI4NjI4MjIxODAifQ==</vt:lpwstr>
  </property>
  <property fmtid="{D5CDD505-2E9C-101B-9397-08002B2CF9AE}" pid="3" name="KSOProductBuildVer">
    <vt:lpwstr>2052-11.8.2.12313</vt:lpwstr>
  </property>
  <property fmtid="{D5CDD505-2E9C-101B-9397-08002B2CF9AE}" pid="4" name="ICV">
    <vt:lpwstr>4C3646891610404594FCEE230FCE315E_12</vt:lpwstr>
  </property>
</Properties>
</file>