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560" w:lineRule="exact"/>
        <w:ind w:firstLine="883" w:firstLineChars="200"/>
        <w:jc w:val="center"/>
        <w:rPr>
          <w:rFonts w:ascii="黑体" w:hAnsi="黑体" w:eastAsia="黑体" w:cs="黑体"/>
          <w:b/>
          <w:bCs/>
          <w:sz w:val="44"/>
          <w:szCs w:val="44"/>
        </w:rPr>
      </w:pPr>
      <w:r>
        <w:rPr>
          <w:rFonts w:hint="eastAsia" w:ascii="黑体" w:hAnsi="黑体" w:eastAsia="黑体" w:cs="黑体"/>
          <w:b/>
          <w:bCs/>
          <w:sz w:val="44"/>
          <w:szCs w:val="44"/>
        </w:rPr>
        <w:t>服务采购需求</w:t>
      </w:r>
    </w:p>
    <w:p>
      <w:pPr>
        <w:spacing w:after="0"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一、项目背景</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公司500KVA配电室巡检项目</w:t>
      </w:r>
      <w:r>
        <w:rPr>
          <w:rFonts w:hint="eastAsia" w:ascii="仿宋" w:hAnsi="仿宋" w:eastAsia="仿宋" w:cs="仿宋"/>
          <w:sz w:val="28"/>
          <w:szCs w:val="28"/>
          <w:lang w:val="en-US" w:eastAsia="zh-CN"/>
        </w:rPr>
        <w:t>服务合同将</w:t>
      </w:r>
      <w:r>
        <w:rPr>
          <w:rFonts w:hint="eastAsia" w:ascii="仿宋" w:hAnsi="仿宋" w:eastAsia="仿宋" w:cs="仿宋"/>
          <w:sz w:val="28"/>
          <w:szCs w:val="28"/>
        </w:rPr>
        <w:t>于2026年7月31日到期，为保障配电室安全运行及对设备运行情况及时了解，消除故障隐患，促进安全规范用电，安排专人进行日常维护运行管理，定期对配电室、高压配电柜、低压配电柜、变压器、10kV高压电缆、接地系统等进行巡检，达到满足设备在良好的运行环境下运行的要求，需采购</w:t>
      </w:r>
      <w:r>
        <w:rPr>
          <w:rFonts w:hint="eastAsia" w:ascii="仿宋" w:hAnsi="仿宋" w:eastAsia="仿宋" w:cs="仿宋"/>
          <w:sz w:val="28"/>
          <w:szCs w:val="28"/>
          <w:lang w:val="en-US" w:eastAsia="zh-CN"/>
        </w:rPr>
        <w:t>服务单位提供</w:t>
      </w:r>
      <w:r>
        <w:rPr>
          <w:rFonts w:hint="eastAsia" w:ascii="仿宋" w:hAnsi="仿宋" w:eastAsia="仿宋" w:cs="仿宋"/>
          <w:sz w:val="28"/>
          <w:szCs w:val="28"/>
        </w:rPr>
        <w:t>500KVA配电室巡检项目维护服务。</w:t>
      </w:r>
    </w:p>
    <w:p>
      <w:pPr>
        <w:spacing w:after="0"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二、服务内容</w:t>
      </w:r>
    </w:p>
    <w:p>
      <w:pPr>
        <w:spacing w:after="0"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lang w:eastAsia="zh-CN"/>
        </w:rPr>
        <w:t>（一）</w:t>
      </w:r>
      <w:r>
        <w:rPr>
          <w:rFonts w:hint="eastAsia" w:ascii="仿宋" w:hAnsi="仿宋" w:eastAsia="仿宋" w:cs="仿宋"/>
          <w:b/>
          <w:bCs/>
          <w:sz w:val="28"/>
          <w:szCs w:val="28"/>
        </w:rPr>
        <w:t>高压配电柜</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月检维护巡查内容</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（1）高压电缆是否有过流、过热现象，是否有异味。</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（2）高压熔断器是否完好，高压隔离开关及复合开关的固定触头与可动触头是否良好接触。</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（3）进线柜、计量柜、PT柜、出线柜等是否运行正常；三相电压是否平衡且在规定的范围内，三相电流是否正常，温湿度是否正常。</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（4）检查母线接头处有无变形，有无放电变黑痕迹，紧固连接螺栓，螺栓若有生锈应予以更换，确保接头连接紧密；检查母线上绝缘子有无松动和损坏。</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（5）柜内的机械闭锁，电气闭锁应动作准确、可靠，开关小车推拉应灵活，无卡阻现象。</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（6）柜体的接地应牢固良好，装有电器的可开启的门，应以裸铜软线与接地金属构件可靠地连接。</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（7）柜体的正面各电器、端子排等应标明编号、名称、用途及操作位置，其标明的字迹应清晰、工整、不易脱落。</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（8）柜内二次回路的连接件均应采用铜质制品牢固紧接，绝缘体采用自熄性阻燃材料，并应清洁干燥。</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（9）柜上装有继电保护装置设备或其它有接地要求的电器，其外壳应可靠接地。</w:t>
      </w:r>
    </w:p>
    <w:p>
      <w:pPr>
        <w:spacing w:after="0" w:line="560" w:lineRule="exact"/>
        <w:ind w:firstLine="560" w:firstLineChars="200"/>
        <w:rPr>
          <w:rFonts w:ascii="仿宋" w:hAnsi="仿宋" w:eastAsia="仿宋" w:cs="仿宋"/>
          <w:b w:val="0"/>
          <w:bCs w:val="0"/>
          <w:sz w:val="28"/>
          <w:szCs w:val="28"/>
        </w:rPr>
      </w:pPr>
      <w:r>
        <w:rPr>
          <w:rFonts w:hint="eastAsia" w:ascii="仿宋" w:hAnsi="仿宋" w:eastAsia="仿宋" w:cs="仿宋"/>
          <w:b w:val="0"/>
          <w:bCs w:val="0"/>
          <w:sz w:val="28"/>
          <w:szCs w:val="28"/>
        </w:rPr>
        <w:t>2. 季检及电气设备维护</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（1）高压柜必须清理干净，漆层完好，各构件间连接应牢固，接头温度应在允许范围。</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（2）柜体的接地应牢固良好，装有电器的可开启的门，应以裸铜软线与接地金属构件可靠地连接。</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柜体的正面各电器、端子排等应标明编号、名称、用途及操作位置，其标明的字迹应清晰、工整、不易脱落。</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（3）柜内二次回路的连接件均应铜质制品牢固紧接，绝缘件采用自熄性阻燃材料，并应清洁干燥。柜上装有继电保护装置设备或其它有接地要求的电器，其外壳应可靠接地。</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（4）重要开关断路器检测保护是否可靠动作是否灵敏。</w:t>
      </w:r>
    </w:p>
    <w:p>
      <w:pPr>
        <w:spacing w:after="0" w:line="560" w:lineRule="exact"/>
        <w:ind w:firstLine="560" w:firstLineChars="200"/>
        <w:rPr>
          <w:rFonts w:ascii="仿宋" w:hAnsi="仿宋" w:eastAsia="仿宋" w:cs="仿宋"/>
          <w:b w:val="0"/>
          <w:bCs w:val="0"/>
          <w:sz w:val="28"/>
          <w:szCs w:val="28"/>
        </w:rPr>
      </w:pPr>
      <w:r>
        <w:rPr>
          <w:rFonts w:hint="eastAsia" w:ascii="仿宋" w:hAnsi="仿宋" w:eastAsia="仿宋" w:cs="仿宋"/>
          <w:b w:val="0"/>
          <w:bCs w:val="0"/>
          <w:sz w:val="28"/>
          <w:szCs w:val="28"/>
        </w:rPr>
        <w:t>3. 年检维护内容</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（1）整柜清洁除尘、防潮，擦拭绝缘子、绝缘杆等的积尘和污渍。</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（2）检查柜内所以螺丝紧固件，紧固所以得电气连接部件。</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（3）检查整台断路器有无变形、磨损、裂纹及损伤，合分闸操作机构的轴转动是否灵活，需要时加入润滑油。</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（4）检查断路器手车插头，若有磨损、烧蚀和弹簧失效等情况应采取维修和更换措施。</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（5）在试验位置和工作位置进行分合闸试验，确定断路器工作稳定。</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（6）更换损坏的仪表、指示灯等易损件。</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（7）柜内氧化锌避雷器的外观检查，绝缘电阻试验，直流耐压及泄漏电流试验并做试验报告。</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（8）检查各元件的状态，是否有过热变色、发了声响、接触不良等现象。</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（9）检查金属柜框的接地，检测保护装置。</w:t>
      </w:r>
    </w:p>
    <w:p>
      <w:pPr>
        <w:spacing w:after="0"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（二）低压配电柜</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 月检维护巡查内容</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（1）低压电缆及低压配电屏上的各部分连接点有无过热现象，有无异声、异味。</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（2）三相负荷是否平衡，三相电压是否相同。</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（3）低压绝缘子有无损伤和歪斜，母线固定卡子有无松动和脱落。接地线接地连接是否良好。</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（4）低压电容补偿是否正常，有无异声、异味。</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（5）观察母排的发热程度，示温蜡片有否熔化，各连接螺丝有否松动。</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（6）测量电容柜的温度，检查容器的外观有无变形，熔断器有无熔断，运行时应无任何声音。</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（7）低压柜的机械闭锁、电气闭锁应动作准确、可靠。</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2. 季检及电气设备维护</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（1）低压柜内设备与各构件间连接应牢固，接头温度应在允许范围。</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（2）低压柜的机械闭锁、电气闭锁应动作准确、可靠。</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（3）柜的固定及接地可靠，漆层应完好、清洁整齐。</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3.年检维护内容</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（1）整柜清洁除尘，重点擦拭绝缘子及元件上的积尘和污渍。</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（2）用力矩扳手紧固各部位紧固件。</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（3）检查进线开关主触头、辅助接点的接触情况。</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（4）机械和电动操作机构的检查、测试。</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（5）主开关本体绝缘检查，主母线绝缘测试。</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（6）进线电流表检验，进线电压表检验。</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（7）进线开关二次回路检查、测试。</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（8）电容补偿柜主开关检查、测试。</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（9）自动补偿控制仪检测。</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（10）电容器熔丝检查、电容值测试、绝缘电阻测试。</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（11）二次回路的检查、调试。</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（12）低压柜每段母线绝缘电阻不应小于0.5MQ，电力线路绝缘电阻不小于0.5MQ，试验采用500V兆欧表；加1000V进行交流耐压试验；校核仪表、继电器的动作值和返回值。</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（13）出线开关本体绝缘检查。</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（14）指示仪表的检查。</w:t>
      </w:r>
    </w:p>
    <w:p>
      <w:pPr>
        <w:spacing w:after="0"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（三）变压器</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 月检维护巡查内容</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（1）变压器温度是否超过允许值。</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（2）变压器的运行声音是否正常。</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（3）变压器的接地是否良好。</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（4）变压器套管是否清洁，有无破损、裂纹和放电痕迹。</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（5）变压器零部件必须无损伤或移位，接线是否松动、断裂、绝缘件和线圈是否有破损，是否有脏物或异物等。</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（6）检查风机、温控设备等能否正常运行。</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（7）变压器的主附设备的外壳接地是否良好。</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2. 季检及变压器进行维护</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（1）重复每个月检查的内容。</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（2）高低压电缆头的接触情况，螺丝有无松动，接头是否过热。</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（3）检查所有的紧固件、连接件、标准件是否松动，并重新紧固一次。</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（4）检查变压器的箱体和铁芯是否可靠接地，穿心螺杆的绝缘是否良好。</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（5）套管密封、顶部连接片、密封衬垫的检查，瓷绝缘的检查和清扫。</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（6）各种保护装置、测量装置及操作控制箱的检修、试验。</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3. 年检维护内容</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（1）整体清洁除尘，重点擦拭绝缘子、接地桩等的积尘和污渍。</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（2）检查浇注体、垫片、瓷套管有无破裂、放电痕迹，电缆及母线有无变形现象，有破裂的应进行更换。</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（3）器身紧固螺栓的紧固、检查；铁芯穿芯螺丝的紧固、检查。</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（4）铁芯一点接地检查。</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（5）高压环氧筒固定块紧固，完好检查。</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（6）变压器绝缘电阻的测试。</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（7）高压线圈各档位直流电阻测试。</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（8）低压线圈直流电阻测试。</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（9）变压器变压比测试。</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（10）变压器极性、组别试验。</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（11）变压器工频耐压试验。</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（12）检查散热风机、温度控制器等附件的完好性。</w:t>
      </w:r>
    </w:p>
    <w:p>
      <w:pPr>
        <w:spacing w:after="0"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（四）10kV高压电缆维保</w:t>
      </w:r>
    </w:p>
    <w:p>
      <w:pPr>
        <w:numPr>
          <w:ilvl w:val="0"/>
          <w:numId w:val="1"/>
        </w:num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高压电缆的清尘，检查电缆终端头有无松动、发热变色及受损现象。</w:t>
      </w:r>
    </w:p>
    <w:p>
      <w:pPr>
        <w:numPr>
          <w:ilvl w:val="0"/>
          <w:numId w:val="1"/>
        </w:num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检查电缆头三相有无交叉排列。</w:t>
      </w:r>
    </w:p>
    <w:p>
      <w:pPr>
        <w:numPr>
          <w:ilvl w:val="0"/>
          <w:numId w:val="1"/>
        </w:num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电缆头密封检查。</w:t>
      </w:r>
    </w:p>
    <w:p>
      <w:pPr>
        <w:numPr>
          <w:ilvl w:val="0"/>
          <w:numId w:val="1"/>
        </w:num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电缆头与设备接触是否良好。</w:t>
      </w:r>
    </w:p>
    <w:p>
      <w:pPr>
        <w:numPr>
          <w:ilvl w:val="0"/>
          <w:numId w:val="1"/>
        </w:num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电缆绝缘电阻测量。</w:t>
      </w:r>
    </w:p>
    <w:p>
      <w:pPr>
        <w:numPr>
          <w:ilvl w:val="0"/>
          <w:numId w:val="1"/>
        </w:num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电缆直流耐压及泄漏电流试验。</w:t>
      </w:r>
    </w:p>
    <w:p>
      <w:pPr>
        <w:numPr>
          <w:ilvl w:val="0"/>
          <w:numId w:val="1"/>
        </w:num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电缆铠装接地线的检查。</w:t>
      </w:r>
    </w:p>
    <w:p>
      <w:pPr>
        <w:spacing w:after="0"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（五）接地系统维保</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 每个月及每季度检查地网有无脱漆、锈蚀、设备各接地处、导体搭接处是否牢固。</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2. 每年进行接地系统的接地电阻测量。</w:t>
      </w:r>
    </w:p>
    <w:p>
      <w:pPr>
        <w:spacing w:after="0"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（六）消防安全管理</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 定期对配电室设备进行检查维修、保养，做好相关记录。</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2. 定期巡视，注意观察电压负荷情况，发现问题及时处理解决。</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3. 配电室内严禁吸烟。</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4. 配电室必须配备足够适用于电气线路或设备的灭火器材并保证其完好有效。</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5. 配电室内应保持环境清洁，无易燃易爆物品，不准堆放杂物。</w:t>
      </w:r>
    </w:p>
    <w:p>
      <w:pPr>
        <w:spacing w:after="0" w:line="560" w:lineRule="exact"/>
        <w:ind w:firstLine="604" w:firstLineChars="200"/>
        <w:rPr>
          <w:rFonts w:ascii="仿宋" w:hAnsi="仿宋" w:eastAsia="仿宋" w:cs="仿宋"/>
          <w:spacing w:val="11"/>
          <w:sz w:val="28"/>
          <w:szCs w:val="28"/>
        </w:rPr>
      </w:pPr>
      <w:r>
        <w:rPr>
          <w:rFonts w:hint="eastAsia" w:ascii="仿宋" w:hAnsi="仿宋" w:eastAsia="仿宋" w:cs="仿宋"/>
          <w:spacing w:val="11"/>
          <w:sz w:val="28"/>
          <w:szCs w:val="28"/>
        </w:rPr>
        <w:t>6. 主管领导或部门应定期对配电室安全状况进行全面检查，及时发现解决安全隐患，对违反安全管理规定的责任人员进行批评和处理。</w:t>
      </w:r>
    </w:p>
    <w:p>
      <w:pPr>
        <w:spacing w:after="0"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（七）其他</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 检查配电房照明和防潮灯及通风机是否正常。</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2. 检查配电房屋面有否漏水，电缆沟是否积水，门窗有否破损。</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3. 检查防鼠挡板是否完整，房内孔洞有否堵死。</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4. 检查配电房门外通道是否畅顺，有否被堵现象</w:t>
      </w:r>
    </w:p>
    <w:p>
      <w:pPr>
        <w:spacing w:after="0"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（八）运维要求</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1. 出现故障处理的响应时间要求：出现故障时，乙方在接到甲方通知后一小时内响应处理。</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2. 根据配电室巡检维护情况，对需要维修或更换设备、材料，应及时向甲方提出报告与建议，由甲方按照相关流程，组织维修。需要维修或更换的</w:t>
      </w:r>
      <w:r>
        <w:rPr>
          <w:rFonts w:hint="eastAsia" w:ascii="仿宋" w:hAnsi="仿宋" w:eastAsia="仿宋" w:cs="仿宋"/>
          <w:sz w:val="28"/>
          <w:szCs w:val="28"/>
          <w:lang w:eastAsia="zh-CN"/>
        </w:rPr>
        <w:t>主要</w:t>
      </w:r>
      <w:r>
        <w:rPr>
          <w:rFonts w:hint="eastAsia" w:ascii="仿宋" w:hAnsi="仿宋" w:eastAsia="仿宋" w:cs="仿宋"/>
          <w:sz w:val="28"/>
          <w:szCs w:val="28"/>
        </w:rPr>
        <w:t>设备、材料明细详见附件《</w:t>
      </w:r>
      <w:r>
        <w:rPr>
          <w:rFonts w:hint="eastAsia" w:ascii="仿宋" w:hAnsi="仿宋" w:eastAsia="仿宋" w:cs="仿宋"/>
          <w:sz w:val="28"/>
          <w:szCs w:val="28"/>
          <w:lang w:eastAsia="zh-CN"/>
        </w:rPr>
        <w:t>主要</w:t>
      </w:r>
      <w:r>
        <w:rPr>
          <w:rFonts w:hint="eastAsia" w:ascii="仿宋" w:hAnsi="仿宋" w:eastAsia="仿宋" w:cs="仿宋"/>
          <w:sz w:val="28"/>
          <w:szCs w:val="28"/>
        </w:rPr>
        <w:t>维护易损件服务项目</w:t>
      </w:r>
      <w:r>
        <w:rPr>
          <w:rFonts w:hint="eastAsia" w:ascii="仿宋" w:hAnsi="仿宋" w:eastAsia="仿宋" w:cs="仿宋"/>
          <w:sz w:val="28"/>
          <w:szCs w:val="28"/>
          <w:lang w:eastAsia="zh-CN"/>
        </w:rPr>
        <w:t>表</w:t>
      </w:r>
      <w:r>
        <w:rPr>
          <w:rFonts w:hint="eastAsia" w:ascii="仿宋" w:hAnsi="仿宋" w:eastAsia="仿宋" w:cs="仿宋"/>
          <w:sz w:val="28"/>
          <w:szCs w:val="28"/>
        </w:rPr>
        <w:t>》</w:t>
      </w:r>
      <w:r>
        <w:rPr>
          <w:rFonts w:hint="eastAsia" w:ascii="仿宋" w:hAnsi="仿宋" w:eastAsia="仿宋" w:cs="仿宋"/>
          <w:sz w:val="28"/>
          <w:szCs w:val="28"/>
          <w:lang w:eastAsia="zh-CN"/>
        </w:rPr>
        <w:t>（表列项目仅包括主要易损件，并不代表所有设备、材料）</w:t>
      </w:r>
      <w:r>
        <w:rPr>
          <w:rFonts w:hint="eastAsia" w:ascii="仿宋" w:hAnsi="仿宋" w:eastAsia="仿宋" w:cs="仿宋"/>
          <w:sz w:val="28"/>
          <w:szCs w:val="28"/>
        </w:rPr>
        <w:t>，报价时</w:t>
      </w:r>
      <w:r>
        <w:rPr>
          <w:rFonts w:hint="eastAsia" w:ascii="仿宋" w:hAnsi="仿宋" w:eastAsia="仿宋" w:cs="仿宋"/>
          <w:sz w:val="28"/>
          <w:szCs w:val="28"/>
          <w:lang w:eastAsia="zh-CN"/>
        </w:rPr>
        <w:t>须</w:t>
      </w:r>
      <w:r>
        <w:rPr>
          <w:rFonts w:hint="eastAsia" w:ascii="仿宋" w:hAnsi="仿宋" w:eastAsia="仿宋" w:cs="仿宋"/>
          <w:sz w:val="28"/>
          <w:szCs w:val="28"/>
        </w:rPr>
        <w:t>对</w:t>
      </w:r>
      <w:r>
        <w:rPr>
          <w:rFonts w:hint="eastAsia" w:ascii="仿宋" w:hAnsi="仿宋" w:eastAsia="仿宋" w:cs="仿宋"/>
          <w:sz w:val="28"/>
          <w:szCs w:val="28"/>
          <w:lang w:eastAsia="zh-CN"/>
        </w:rPr>
        <w:t>所有维护易损件按进价上浮率报价，</w:t>
      </w:r>
      <w:r>
        <w:rPr>
          <w:rFonts w:hint="eastAsia" w:ascii="仿宋" w:hAnsi="仿宋" w:eastAsia="仿宋" w:cs="仿宋"/>
          <w:sz w:val="28"/>
          <w:szCs w:val="28"/>
        </w:rPr>
        <w:t>若合同履行期间涉及到配件材料的维修更换，</w:t>
      </w:r>
      <w:r>
        <w:rPr>
          <w:rFonts w:hint="eastAsia" w:ascii="仿宋" w:hAnsi="仿宋" w:eastAsia="仿宋" w:cs="仿宋"/>
          <w:sz w:val="28"/>
          <w:szCs w:val="28"/>
          <w:lang w:eastAsia="zh-CN"/>
        </w:rPr>
        <w:t>以进货发票价，</w:t>
      </w:r>
      <w:r>
        <w:rPr>
          <w:rFonts w:hint="eastAsia" w:ascii="仿宋" w:hAnsi="仿宋" w:eastAsia="仿宋" w:cs="仿宋"/>
          <w:sz w:val="28"/>
          <w:szCs w:val="28"/>
        </w:rPr>
        <w:t>按照</w:t>
      </w:r>
      <w:r>
        <w:rPr>
          <w:rFonts w:hint="eastAsia" w:ascii="仿宋" w:hAnsi="仿宋" w:eastAsia="仿宋" w:cs="仿宋"/>
          <w:sz w:val="28"/>
          <w:szCs w:val="28"/>
          <w:lang w:eastAsia="zh-CN"/>
        </w:rPr>
        <w:t>上浮率上浮，</w:t>
      </w:r>
      <w:r>
        <w:rPr>
          <w:rFonts w:hint="eastAsia" w:ascii="仿宋" w:hAnsi="仿宋" w:eastAsia="仿宋" w:cs="仿宋"/>
          <w:sz w:val="28"/>
          <w:szCs w:val="28"/>
        </w:rPr>
        <w:t>据实结算。</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3. 建立月度、季度巡检记录或巡检台账，设备的运行、检查、维修、保养等记录齐全。如有故障发生需提交故障处理报告。</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4. 报价时需提供以下但不限于：隐患的处理方案、人员配置、安全工器具的配置、巡检计划，以及详细的安全保障方案。</w:t>
      </w:r>
    </w:p>
    <w:p>
      <w:pPr>
        <w:spacing w:after="0" w:line="560" w:lineRule="exact"/>
        <w:ind w:firstLine="560" w:firstLineChars="200"/>
        <w:rPr>
          <w:rFonts w:ascii="仿宋" w:hAnsi="仿宋" w:eastAsia="仿宋" w:cs="仿宋"/>
          <w:sz w:val="28"/>
          <w:szCs w:val="28"/>
          <w:highlight w:val="yellow"/>
        </w:rPr>
      </w:pPr>
      <w:r>
        <w:rPr>
          <w:rFonts w:hint="eastAsia" w:ascii="仿宋" w:hAnsi="仿宋" w:eastAsia="仿宋" w:cs="仿宋"/>
          <w:sz w:val="28"/>
          <w:szCs w:val="28"/>
        </w:rPr>
        <w:t>5. 每年按甲方要求提供符合要求的设备检测报告。</w:t>
      </w:r>
    </w:p>
    <w:p>
      <w:pPr>
        <w:widowControl w:val="0"/>
        <w:spacing w:line="500" w:lineRule="atLeast"/>
        <w:ind w:firstLine="562" w:firstLineChars="200"/>
        <w:rPr>
          <w:rFonts w:ascii="仿宋" w:hAnsi="仿宋" w:eastAsia="仿宋" w:cs="仿宋"/>
          <w:b/>
          <w:bCs/>
          <w:sz w:val="28"/>
          <w:szCs w:val="28"/>
        </w:rPr>
      </w:pPr>
      <w:r>
        <w:rPr>
          <w:rFonts w:hint="eastAsia" w:ascii="仿宋" w:hAnsi="仿宋" w:eastAsia="仿宋" w:cs="仿宋"/>
          <w:b/>
          <w:bCs/>
          <w:sz w:val="28"/>
          <w:szCs w:val="28"/>
        </w:rPr>
        <w:t>（九）服务期限</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2026年8月1日起至2028年7月31日止。</w:t>
      </w:r>
    </w:p>
    <w:p>
      <w:pPr>
        <w:spacing w:after="0"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三、资质要求</w:t>
      </w:r>
    </w:p>
    <w:p>
      <w:pPr>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承装（修、试）电力设施五级及以上。</w:t>
      </w:r>
    </w:p>
    <w:p>
      <w:pPr>
        <w:spacing w:after="0"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四、管理考评内容</w:t>
      </w:r>
    </w:p>
    <w:tbl>
      <w:tblPr>
        <w:tblStyle w:val="4"/>
        <w:tblW w:w="91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1217"/>
        <w:gridCol w:w="1217"/>
        <w:gridCol w:w="1218"/>
        <w:gridCol w:w="1218"/>
        <w:gridCol w:w="3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17" w:type="dxa"/>
            <w:vAlign w:val="center"/>
          </w:tcPr>
          <w:p>
            <w:pPr>
              <w:widowControl w:val="0"/>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考查内容</w:t>
            </w:r>
          </w:p>
        </w:tc>
        <w:tc>
          <w:tcPr>
            <w:tcW w:w="1217" w:type="dxa"/>
            <w:vAlign w:val="center"/>
          </w:tcPr>
          <w:p>
            <w:pPr>
              <w:widowControl w:val="0"/>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分值</w:t>
            </w:r>
          </w:p>
        </w:tc>
        <w:tc>
          <w:tcPr>
            <w:tcW w:w="1217" w:type="dxa"/>
            <w:vAlign w:val="center"/>
          </w:tcPr>
          <w:p>
            <w:pPr>
              <w:widowControl w:val="0"/>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子项</w:t>
            </w:r>
          </w:p>
        </w:tc>
        <w:tc>
          <w:tcPr>
            <w:tcW w:w="1218" w:type="dxa"/>
            <w:vAlign w:val="center"/>
          </w:tcPr>
          <w:p>
            <w:pPr>
              <w:widowControl w:val="0"/>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评分细则</w:t>
            </w:r>
          </w:p>
        </w:tc>
        <w:tc>
          <w:tcPr>
            <w:tcW w:w="1218" w:type="dxa"/>
            <w:vAlign w:val="center"/>
          </w:tcPr>
          <w:p>
            <w:pPr>
              <w:widowControl w:val="0"/>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得分</w:t>
            </w:r>
          </w:p>
        </w:tc>
        <w:tc>
          <w:tcPr>
            <w:tcW w:w="3061" w:type="dxa"/>
            <w:vAlign w:val="center"/>
          </w:tcPr>
          <w:p>
            <w:pPr>
              <w:widowControl w:val="0"/>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217" w:type="dxa"/>
            <w:vMerge w:val="restart"/>
            <w:vAlign w:val="center"/>
          </w:tcPr>
          <w:p>
            <w:pPr>
              <w:widowControl w:val="0"/>
              <w:jc w:val="center"/>
              <w:rPr>
                <w:rFonts w:ascii="宋体" w:hAnsi="宋体" w:eastAsia="宋体" w:cs="宋体"/>
                <w:sz w:val="24"/>
                <w:szCs w:val="24"/>
              </w:rPr>
            </w:pPr>
            <w:r>
              <w:rPr>
                <w:rFonts w:hint="eastAsia" w:ascii="宋体" w:hAnsi="宋体" w:eastAsia="宋体" w:cs="宋体"/>
                <w:sz w:val="24"/>
                <w:szCs w:val="24"/>
              </w:rPr>
              <w:t>运行维护服务要求（实行扣分制，每项检查内容分值扣完为止）</w:t>
            </w:r>
          </w:p>
        </w:tc>
        <w:tc>
          <w:tcPr>
            <w:tcW w:w="1217" w:type="dxa"/>
            <w:vMerge w:val="restart"/>
            <w:vAlign w:val="center"/>
          </w:tcPr>
          <w:p>
            <w:pPr>
              <w:widowControl w:val="0"/>
              <w:jc w:val="center"/>
              <w:rPr>
                <w:rFonts w:ascii="宋体" w:hAnsi="宋体" w:eastAsia="宋体" w:cs="宋体"/>
                <w:sz w:val="24"/>
                <w:szCs w:val="24"/>
              </w:rPr>
            </w:pPr>
            <w:r>
              <w:rPr>
                <w:rFonts w:hint="eastAsia" w:ascii="宋体" w:hAnsi="宋体" w:eastAsia="宋体" w:cs="宋体"/>
                <w:sz w:val="24"/>
                <w:szCs w:val="24"/>
              </w:rPr>
              <w:t>100分</w:t>
            </w:r>
          </w:p>
        </w:tc>
        <w:tc>
          <w:tcPr>
            <w:tcW w:w="1217" w:type="dxa"/>
            <w:vAlign w:val="center"/>
          </w:tcPr>
          <w:p>
            <w:pPr>
              <w:widowControl w:val="0"/>
              <w:jc w:val="center"/>
              <w:rPr>
                <w:rFonts w:ascii="宋体" w:hAnsi="宋体" w:eastAsia="宋体" w:cs="宋体"/>
                <w:color w:val="000000"/>
                <w:sz w:val="24"/>
                <w:szCs w:val="24"/>
              </w:rPr>
            </w:pPr>
            <w:r>
              <w:rPr>
                <w:rFonts w:hint="eastAsia" w:ascii="宋体" w:hAnsi="宋体" w:eastAsia="宋体" w:cs="宋体"/>
                <w:color w:val="000000"/>
                <w:sz w:val="24"/>
                <w:szCs w:val="24"/>
              </w:rPr>
              <w:t>一、高压配电柜</w:t>
            </w:r>
          </w:p>
        </w:tc>
        <w:tc>
          <w:tcPr>
            <w:tcW w:w="1218" w:type="dxa"/>
            <w:vAlign w:val="center"/>
          </w:tcPr>
          <w:p>
            <w:pPr>
              <w:widowControl w:val="0"/>
              <w:jc w:val="center"/>
              <w:rPr>
                <w:rFonts w:ascii="宋体" w:hAnsi="宋体" w:eastAsia="宋体" w:cs="宋体"/>
                <w:sz w:val="24"/>
                <w:szCs w:val="24"/>
              </w:rPr>
            </w:pPr>
            <w:r>
              <w:rPr>
                <w:rFonts w:hint="eastAsia" w:ascii="宋体" w:hAnsi="宋体" w:eastAsia="宋体" w:cs="宋体"/>
                <w:sz w:val="24"/>
                <w:szCs w:val="24"/>
              </w:rPr>
              <w:t>1-3</w:t>
            </w:r>
          </w:p>
        </w:tc>
        <w:tc>
          <w:tcPr>
            <w:tcW w:w="1218" w:type="dxa"/>
            <w:vAlign w:val="center"/>
          </w:tcPr>
          <w:p>
            <w:pPr>
              <w:widowControl w:val="0"/>
              <w:jc w:val="center"/>
              <w:rPr>
                <w:rFonts w:ascii="宋体" w:hAnsi="宋体" w:eastAsia="宋体" w:cs="宋体"/>
                <w:sz w:val="24"/>
                <w:szCs w:val="24"/>
              </w:rPr>
            </w:pPr>
            <w:r>
              <w:rPr>
                <w:rFonts w:hint="eastAsia" w:ascii="宋体" w:hAnsi="宋体" w:eastAsia="宋体" w:cs="宋体"/>
                <w:sz w:val="24"/>
                <w:szCs w:val="24"/>
              </w:rPr>
              <w:t>15分</w:t>
            </w:r>
          </w:p>
        </w:tc>
        <w:tc>
          <w:tcPr>
            <w:tcW w:w="3061" w:type="dxa"/>
            <w:vAlign w:val="center"/>
          </w:tcPr>
          <w:p>
            <w:pPr>
              <w:widowControl w:val="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217" w:type="dxa"/>
            <w:vMerge w:val="continue"/>
            <w:vAlign w:val="center"/>
          </w:tcPr>
          <w:p>
            <w:pPr>
              <w:widowControl w:val="0"/>
              <w:jc w:val="center"/>
              <w:rPr>
                <w:rFonts w:ascii="宋体" w:hAnsi="宋体" w:eastAsia="宋体" w:cs="宋体"/>
                <w:sz w:val="24"/>
                <w:szCs w:val="24"/>
              </w:rPr>
            </w:pPr>
          </w:p>
        </w:tc>
        <w:tc>
          <w:tcPr>
            <w:tcW w:w="1217" w:type="dxa"/>
            <w:vMerge w:val="continue"/>
            <w:vAlign w:val="center"/>
          </w:tcPr>
          <w:p>
            <w:pPr>
              <w:widowControl w:val="0"/>
              <w:jc w:val="center"/>
              <w:rPr>
                <w:rFonts w:ascii="宋体" w:hAnsi="宋体" w:eastAsia="宋体" w:cs="宋体"/>
                <w:sz w:val="24"/>
                <w:szCs w:val="24"/>
              </w:rPr>
            </w:pPr>
          </w:p>
        </w:tc>
        <w:tc>
          <w:tcPr>
            <w:tcW w:w="6714" w:type="dxa"/>
            <w:gridSpan w:val="4"/>
            <w:vAlign w:val="center"/>
          </w:tcPr>
          <w:p>
            <w:pPr>
              <w:widowControl w:val="0"/>
              <w:jc w:val="both"/>
              <w:rPr>
                <w:rFonts w:ascii="宋体" w:hAnsi="宋体" w:eastAsia="宋体" w:cs="宋体"/>
                <w:color w:val="000000"/>
                <w:sz w:val="24"/>
                <w:szCs w:val="24"/>
              </w:rPr>
            </w:pPr>
            <w:r>
              <w:rPr>
                <w:rFonts w:hint="eastAsia" w:ascii="宋体" w:hAnsi="宋体" w:eastAsia="宋体" w:cs="宋体"/>
                <w:sz w:val="24"/>
                <w:szCs w:val="24"/>
              </w:rPr>
              <w:t>1.</w:t>
            </w:r>
            <w:r>
              <w:rPr>
                <w:rFonts w:hint="eastAsia" w:ascii="宋体" w:hAnsi="宋体" w:eastAsia="宋体" w:cs="宋体"/>
                <w:color w:val="000000"/>
                <w:sz w:val="24"/>
                <w:szCs w:val="24"/>
              </w:rPr>
              <w:t>月检维护巡查</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（1）高压电缆是否有过流、过热现象，是否有异味</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（2）高压熔断器是否完好，高压隔离开关及复合开关的固定触头与可动触头是否良好接触</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3）进线柜、计量柜、PT柜、出线柜等的是否运行正常；（4）检查母线接头处有无变形，有无放电变黑痕迹，紧固连接螺栓，螺栓若有生锈应予以更换,确保接头连接紧密;检查（5）柜内的机械闭锁,电气闭锁应动作准确、可靠,开关小车（6）柜体的接地应牢固良好，装有电器的可开启的门，应以裸铜软线与接地金属构件可靠地连接.</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（7）柜体的正面各电器、端子排等应标明编号、名称、用途（8）柜内二次回路的连接件均应采用铜质制品牢固紧接，绝缘体采用自熄性阻燃材料，并应清洁干燥。</w:t>
            </w:r>
          </w:p>
          <w:p>
            <w:pPr>
              <w:widowControl w:val="0"/>
              <w:ind w:left="229" w:leftChars="104"/>
              <w:jc w:val="both"/>
              <w:rPr>
                <w:rFonts w:ascii="宋体" w:hAnsi="宋体" w:eastAsia="宋体" w:cs="宋体"/>
                <w:color w:val="000000"/>
                <w:sz w:val="24"/>
                <w:szCs w:val="24"/>
              </w:rPr>
            </w:pPr>
            <w:r>
              <w:rPr>
                <w:rFonts w:hint="eastAsia" w:ascii="宋体" w:hAnsi="宋体" w:eastAsia="宋体" w:cs="宋体"/>
                <w:color w:val="000000"/>
                <w:sz w:val="24"/>
                <w:szCs w:val="24"/>
              </w:rPr>
              <w:t>（9）柜上装有继电保护装置设备或其它有接地要求的电器,其外壳应可靠接地。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Merge w:val="continue"/>
            <w:vAlign w:val="center"/>
          </w:tcPr>
          <w:p>
            <w:pPr>
              <w:widowControl w:val="0"/>
              <w:jc w:val="center"/>
              <w:rPr>
                <w:rFonts w:ascii="宋体" w:hAnsi="宋体" w:eastAsia="宋体" w:cs="宋体"/>
                <w:sz w:val="24"/>
                <w:szCs w:val="24"/>
              </w:rPr>
            </w:pPr>
          </w:p>
        </w:tc>
        <w:tc>
          <w:tcPr>
            <w:tcW w:w="1217" w:type="dxa"/>
            <w:vMerge w:val="continue"/>
            <w:vAlign w:val="center"/>
          </w:tcPr>
          <w:p>
            <w:pPr>
              <w:widowControl w:val="0"/>
              <w:jc w:val="center"/>
              <w:rPr>
                <w:rFonts w:ascii="宋体" w:hAnsi="宋体" w:eastAsia="宋体" w:cs="宋体"/>
                <w:sz w:val="24"/>
                <w:szCs w:val="24"/>
              </w:rPr>
            </w:pPr>
          </w:p>
        </w:tc>
        <w:tc>
          <w:tcPr>
            <w:tcW w:w="6714" w:type="dxa"/>
            <w:gridSpan w:val="4"/>
            <w:vAlign w:val="center"/>
          </w:tcPr>
          <w:p>
            <w:pPr>
              <w:widowControl w:val="0"/>
              <w:jc w:val="both"/>
              <w:rPr>
                <w:rFonts w:ascii="宋体" w:hAnsi="宋体" w:eastAsia="宋体" w:cs="宋体"/>
                <w:color w:val="000000"/>
                <w:sz w:val="24"/>
                <w:szCs w:val="24"/>
              </w:rPr>
            </w:pPr>
            <w:r>
              <w:rPr>
                <w:rFonts w:hint="eastAsia" w:ascii="宋体" w:hAnsi="宋体" w:eastAsia="宋体" w:cs="宋体"/>
                <w:color w:val="000000"/>
                <w:sz w:val="24"/>
                <w:szCs w:val="24"/>
              </w:rPr>
              <w:t>2.季检及电气设备维护</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（1）高压柜必须清理干净，漆层完好，各构件间连接应牢固,接头温度应在允许范围。</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（2）柜体的接地应牢固良好，装有电器的可开启的门,应以裸铜软线与接地金属构件可靠地连接。</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（3）柜体的正面各电器、端子排等应标明编号、名称、用途及操作位置,其标明的字迹应清晰、工整、不易脱落。</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（4）柜内二次回路的连接件均应铜质制品牢固紧接,绝缘件采用自熄性阻燃材料，并应清洁干燥。</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（5）柜上装有继电保护装置设备或其它有接地要求的电器，其外壳应可靠接地。</w:t>
            </w:r>
          </w:p>
          <w:p>
            <w:pPr>
              <w:widowControl w:val="0"/>
              <w:ind w:left="229" w:leftChars="104"/>
              <w:jc w:val="both"/>
              <w:rPr>
                <w:rFonts w:ascii="宋体" w:hAnsi="宋体" w:eastAsia="宋体" w:cs="宋体"/>
                <w:color w:val="000000"/>
                <w:sz w:val="24"/>
                <w:szCs w:val="24"/>
              </w:rPr>
            </w:pPr>
            <w:r>
              <w:rPr>
                <w:rFonts w:hint="eastAsia" w:ascii="宋体" w:hAnsi="宋体" w:eastAsia="宋体" w:cs="宋体"/>
                <w:color w:val="000000"/>
                <w:sz w:val="24"/>
                <w:szCs w:val="24"/>
              </w:rPr>
              <w:t>（6）重要开关断路器检测保护是否可靠动作是否灵敏。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Merge w:val="continue"/>
            <w:vAlign w:val="center"/>
          </w:tcPr>
          <w:p>
            <w:pPr>
              <w:widowControl w:val="0"/>
              <w:jc w:val="center"/>
              <w:rPr>
                <w:rFonts w:ascii="宋体" w:hAnsi="宋体" w:eastAsia="宋体" w:cs="宋体"/>
                <w:sz w:val="24"/>
                <w:szCs w:val="24"/>
              </w:rPr>
            </w:pPr>
          </w:p>
        </w:tc>
        <w:tc>
          <w:tcPr>
            <w:tcW w:w="1217" w:type="dxa"/>
            <w:vMerge w:val="continue"/>
            <w:vAlign w:val="center"/>
          </w:tcPr>
          <w:p>
            <w:pPr>
              <w:widowControl w:val="0"/>
              <w:jc w:val="center"/>
              <w:rPr>
                <w:rFonts w:ascii="宋体" w:hAnsi="宋体" w:eastAsia="宋体" w:cs="宋体"/>
                <w:sz w:val="24"/>
                <w:szCs w:val="24"/>
              </w:rPr>
            </w:pPr>
          </w:p>
        </w:tc>
        <w:tc>
          <w:tcPr>
            <w:tcW w:w="6714" w:type="dxa"/>
            <w:gridSpan w:val="4"/>
            <w:vAlign w:val="center"/>
          </w:tcPr>
          <w:p>
            <w:pPr>
              <w:widowControl w:val="0"/>
              <w:jc w:val="both"/>
              <w:rPr>
                <w:rFonts w:ascii="宋体" w:hAnsi="宋体" w:eastAsia="宋体" w:cs="宋体"/>
                <w:color w:val="000000"/>
                <w:sz w:val="24"/>
                <w:szCs w:val="24"/>
              </w:rPr>
            </w:pPr>
            <w:r>
              <w:rPr>
                <w:rFonts w:hint="eastAsia" w:ascii="宋体" w:hAnsi="宋体" w:eastAsia="宋体" w:cs="宋体"/>
                <w:color w:val="000000"/>
                <w:sz w:val="24"/>
                <w:szCs w:val="24"/>
              </w:rPr>
              <w:t>3.年检维护</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（1）整柜清洁除尘、防潮，擦拭绝缘子、绝缘杆等的积尘和污渍。</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（2）检查柜内所以螺丝紧固件,紧固所以得电气连接部件。</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（3）检查整台断路器有无变形、磨损、裂纹及损伤，合分闸操作机构的轴转动是否灵活,需要时加入润滑油。</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（4）检查断路器手车插头,若有磨损、烧蚀和弹簧失效等情况应采取维修和更换措施。</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（5）在试验位置和工作位置进行分合闸试验，确定断路器工作稳定。</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（6）更换损坏的仪表、指示灯等易损件.</w:t>
            </w:r>
          </w:p>
          <w:p>
            <w:pPr>
              <w:widowControl w:val="0"/>
              <w:ind w:left="229" w:leftChars="104"/>
              <w:jc w:val="both"/>
              <w:rPr>
                <w:rFonts w:ascii="宋体" w:hAnsi="宋体" w:eastAsia="宋体" w:cs="宋体"/>
                <w:color w:val="000000"/>
                <w:sz w:val="24"/>
                <w:szCs w:val="24"/>
              </w:rPr>
            </w:pPr>
            <w:r>
              <w:rPr>
                <w:rFonts w:hint="eastAsia" w:ascii="宋体" w:hAnsi="宋体" w:eastAsia="宋体" w:cs="宋体"/>
                <w:color w:val="000000"/>
                <w:sz w:val="24"/>
                <w:szCs w:val="24"/>
              </w:rPr>
              <w:t>（7）柜内氧化锌避雷器的外观检查,绝缘电阻试验,直流耐压（8）检查各元件的状态，是否有过热变色、发了声响、接触不良等现象。</w:t>
            </w:r>
          </w:p>
          <w:p>
            <w:pPr>
              <w:widowControl w:val="0"/>
              <w:ind w:left="229" w:leftChars="104"/>
              <w:jc w:val="both"/>
              <w:rPr>
                <w:rFonts w:ascii="宋体" w:hAnsi="宋体" w:eastAsia="宋体" w:cs="宋体"/>
                <w:color w:val="000000"/>
                <w:sz w:val="24"/>
                <w:szCs w:val="24"/>
              </w:rPr>
            </w:pPr>
            <w:r>
              <w:rPr>
                <w:rFonts w:hint="eastAsia" w:ascii="宋体" w:hAnsi="宋体" w:eastAsia="宋体" w:cs="宋体"/>
                <w:color w:val="000000"/>
                <w:sz w:val="24"/>
                <w:szCs w:val="24"/>
              </w:rPr>
              <w:t>（9）检查金属柜框的接地，检测保护装置。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Merge w:val="continue"/>
            <w:vAlign w:val="center"/>
          </w:tcPr>
          <w:p>
            <w:pPr>
              <w:widowControl w:val="0"/>
              <w:jc w:val="center"/>
              <w:rPr>
                <w:rFonts w:ascii="宋体" w:hAnsi="宋体" w:eastAsia="宋体" w:cs="宋体"/>
                <w:sz w:val="24"/>
                <w:szCs w:val="24"/>
              </w:rPr>
            </w:pPr>
          </w:p>
        </w:tc>
        <w:tc>
          <w:tcPr>
            <w:tcW w:w="1217" w:type="dxa"/>
            <w:vMerge w:val="continue"/>
            <w:vAlign w:val="center"/>
          </w:tcPr>
          <w:p>
            <w:pPr>
              <w:widowControl w:val="0"/>
              <w:jc w:val="center"/>
              <w:rPr>
                <w:rFonts w:ascii="宋体" w:hAnsi="宋体" w:eastAsia="宋体" w:cs="宋体"/>
                <w:sz w:val="24"/>
                <w:szCs w:val="24"/>
              </w:rPr>
            </w:pPr>
          </w:p>
        </w:tc>
        <w:tc>
          <w:tcPr>
            <w:tcW w:w="1217" w:type="dxa"/>
            <w:vAlign w:val="center"/>
          </w:tcPr>
          <w:p>
            <w:pPr>
              <w:widowControl w:val="0"/>
              <w:jc w:val="center"/>
              <w:rPr>
                <w:rFonts w:ascii="宋体" w:hAnsi="宋体" w:eastAsia="宋体" w:cs="宋体"/>
                <w:sz w:val="24"/>
                <w:szCs w:val="24"/>
              </w:rPr>
            </w:pPr>
            <w:r>
              <w:rPr>
                <w:rFonts w:hint="eastAsia" w:ascii="宋体" w:hAnsi="宋体" w:eastAsia="宋体" w:cs="宋体"/>
                <w:color w:val="000000"/>
                <w:sz w:val="24"/>
                <w:szCs w:val="24"/>
              </w:rPr>
              <w:t>二、低压配电柜</w:t>
            </w:r>
          </w:p>
        </w:tc>
        <w:tc>
          <w:tcPr>
            <w:tcW w:w="1218" w:type="dxa"/>
            <w:vAlign w:val="center"/>
          </w:tcPr>
          <w:p>
            <w:pPr>
              <w:widowControl w:val="0"/>
              <w:jc w:val="center"/>
              <w:rPr>
                <w:rFonts w:ascii="宋体" w:hAnsi="宋体" w:eastAsia="宋体" w:cs="宋体"/>
                <w:sz w:val="24"/>
                <w:szCs w:val="24"/>
              </w:rPr>
            </w:pPr>
            <w:r>
              <w:rPr>
                <w:rFonts w:hint="eastAsia" w:ascii="宋体" w:hAnsi="宋体" w:eastAsia="宋体" w:cs="宋体"/>
                <w:sz w:val="24"/>
                <w:szCs w:val="24"/>
              </w:rPr>
              <w:t>1-3</w:t>
            </w:r>
          </w:p>
        </w:tc>
        <w:tc>
          <w:tcPr>
            <w:tcW w:w="1218" w:type="dxa"/>
            <w:vAlign w:val="center"/>
          </w:tcPr>
          <w:p>
            <w:pPr>
              <w:widowControl w:val="0"/>
              <w:jc w:val="center"/>
              <w:rPr>
                <w:rFonts w:ascii="宋体" w:hAnsi="宋体" w:eastAsia="宋体" w:cs="宋体"/>
                <w:sz w:val="24"/>
                <w:szCs w:val="24"/>
              </w:rPr>
            </w:pPr>
            <w:r>
              <w:rPr>
                <w:rFonts w:hint="eastAsia" w:ascii="宋体" w:hAnsi="宋体" w:eastAsia="宋体" w:cs="宋体"/>
                <w:sz w:val="24"/>
                <w:szCs w:val="24"/>
              </w:rPr>
              <w:t>15分</w:t>
            </w:r>
          </w:p>
        </w:tc>
        <w:tc>
          <w:tcPr>
            <w:tcW w:w="3061" w:type="dxa"/>
            <w:vAlign w:val="center"/>
          </w:tcPr>
          <w:p>
            <w:pPr>
              <w:widowControl w:val="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1217" w:type="dxa"/>
            <w:vMerge w:val="continue"/>
            <w:vAlign w:val="center"/>
          </w:tcPr>
          <w:p>
            <w:pPr>
              <w:widowControl w:val="0"/>
              <w:jc w:val="center"/>
              <w:rPr>
                <w:rFonts w:ascii="宋体" w:hAnsi="宋体" w:eastAsia="宋体" w:cs="宋体"/>
                <w:sz w:val="24"/>
                <w:szCs w:val="24"/>
              </w:rPr>
            </w:pPr>
          </w:p>
        </w:tc>
        <w:tc>
          <w:tcPr>
            <w:tcW w:w="1217" w:type="dxa"/>
            <w:vMerge w:val="continue"/>
            <w:vAlign w:val="center"/>
          </w:tcPr>
          <w:p>
            <w:pPr>
              <w:widowControl w:val="0"/>
              <w:jc w:val="center"/>
              <w:rPr>
                <w:rFonts w:ascii="宋体" w:hAnsi="宋体" w:eastAsia="宋体" w:cs="宋体"/>
                <w:sz w:val="24"/>
                <w:szCs w:val="24"/>
              </w:rPr>
            </w:pPr>
          </w:p>
        </w:tc>
        <w:tc>
          <w:tcPr>
            <w:tcW w:w="6714" w:type="dxa"/>
            <w:gridSpan w:val="4"/>
            <w:vAlign w:val="center"/>
          </w:tcPr>
          <w:p>
            <w:pPr>
              <w:widowControl w:val="0"/>
              <w:jc w:val="both"/>
              <w:rPr>
                <w:rFonts w:ascii="宋体" w:hAnsi="宋体" w:eastAsia="宋体" w:cs="宋体"/>
                <w:color w:val="000000"/>
                <w:sz w:val="24"/>
                <w:szCs w:val="24"/>
              </w:rPr>
            </w:pPr>
            <w:r>
              <w:rPr>
                <w:rFonts w:hint="eastAsia" w:ascii="宋体" w:hAnsi="宋体" w:eastAsia="宋体" w:cs="宋体"/>
                <w:sz w:val="24"/>
                <w:szCs w:val="24"/>
              </w:rPr>
              <w:t>1.</w:t>
            </w:r>
            <w:r>
              <w:rPr>
                <w:rFonts w:hint="eastAsia" w:ascii="宋体" w:hAnsi="宋体" w:eastAsia="宋体" w:cs="宋体"/>
                <w:color w:val="000000"/>
                <w:sz w:val="24"/>
                <w:szCs w:val="24"/>
              </w:rPr>
              <w:t>月检维护巡查</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（1）低压电缆及低压配电屏上的各部分连接点有无过热现象，有无异声、异味</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（2）三相负荷是否平衡，三相电压是否相同</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（3） 低压绝缘子有无损伤和歪斜，母线固定卡子有无松动和脱落。接地线接地连接是否良好</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（4）低压电容补偿是否正常，有无异声、异味</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（5）观察母排的发热程度,示温蜡片有否熔化，各连接螺丝有否松动。</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（6）测量电容柜的温度，检查容器的外观有无变形，熔断器有无熔断，运行时应无任何声音.</w:t>
            </w:r>
          </w:p>
          <w:p>
            <w:pPr>
              <w:widowControl w:val="0"/>
              <w:ind w:left="229" w:leftChars="104"/>
              <w:jc w:val="both"/>
              <w:rPr>
                <w:rFonts w:ascii="宋体" w:hAnsi="宋体" w:eastAsia="宋体" w:cs="宋体"/>
                <w:color w:val="000000"/>
                <w:sz w:val="24"/>
                <w:szCs w:val="24"/>
              </w:rPr>
            </w:pPr>
            <w:r>
              <w:rPr>
                <w:rFonts w:hint="eastAsia" w:ascii="宋体" w:hAnsi="宋体" w:eastAsia="宋体" w:cs="宋体"/>
                <w:color w:val="000000"/>
                <w:sz w:val="24"/>
                <w:szCs w:val="24"/>
              </w:rPr>
              <w:t>（7）低压柜的机械闭锁、电气闭锁应动作准确、可靠。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Merge w:val="continue"/>
            <w:vAlign w:val="center"/>
          </w:tcPr>
          <w:p>
            <w:pPr>
              <w:widowControl w:val="0"/>
              <w:jc w:val="center"/>
              <w:rPr>
                <w:rFonts w:ascii="宋体" w:hAnsi="宋体" w:eastAsia="宋体" w:cs="宋体"/>
                <w:sz w:val="24"/>
                <w:szCs w:val="24"/>
              </w:rPr>
            </w:pPr>
          </w:p>
        </w:tc>
        <w:tc>
          <w:tcPr>
            <w:tcW w:w="1217" w:type="dxa"/>
            <w:vMerge w:val="continue"/>
            <w:vAlign w:val="center"/>
          </w:tcPr>
          <w:p>
            <w:pPr>
              <w:widowControl w:val="0"/>
              <w:jc w:val="center"/>
              <w:rPr>
                <w:rFonts w:ascii="宋体" w:hAnsi="宋体" w:eastAsia="宋体" w:cs="宋体"/>
                <w:sz w:val="24"/>
                <w:szCs w:val="24"/>
              </w:rPr>
            </w:pPr>
          </w:p>
        </w:tc>
        <w:tc>
          <w:tcPr>
            <w:tcW w:w="6714" w:type="dxa"/>
            <w:gridSpan w:val="4"/>
            <w:vAlign w:val="center"/>
          </w:tcPr>
          <w:p>
            <w:pPr>
              <w:widowControl w:val="0"/>
              <w:jc w:val="both"/>
              <w:rPr>
                <w:rFonts w:ascii="宋体" w:hAnsi="宋体" w:eastAsia="宋体" w:cs="宋体"/>
                <w:color w:val="000000"/>
                <w:sz w:val="24"/>
                <w:szCs w:val="24"/>
              </w:rPr>
            </w:pPr>
            <w:r>
              <w:rPr>
                <w:rFonts w:hint="eastAsia" w:ascii="宋体" w:hAnsi="宋体" w:eastAsia="宋体" w:cs="宋体"/>
                <w:sz w:val="24"/>
                <w:szCs w:val="24"/>
              </w:rPr>
              <w:t>2.</w:t>
            </w:r>
            <w:r>
              <w:rPr>
                <w:rFonts w:hint="eastAsia" w:ascii="宋体" w:hAnsi="宋体" w:eastAsia="宋体" w:cs="宋体"/>
                <w:color w:val="000000"/>
                <w:sz w:val="24"/>
                <w:szCs w:val="24"/>
              </w:rPr>
              <w:t>季检及电气设备维护</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（1）低压柜内设备与各构件间连接应牢固，接头温度应在允许范围。</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（2）低压柜的机械闭锁、电气闭锁应动作准确、可靠。</w:t>
            </w:r>
          </w:p>
          <w:p>
            <w:pPr>
              <w:widowControl w:val="0"/>
              <w:ind w:left="229" w:leftChars="104"/>
              <w:jc w:val="both"/>
              <w:rPr>
                <w:rFonts w:ascii="宋体" w:hAnsi="宋体" w:eastAsia="宋体" w:cs="宋体"/>
                <w:color w:val="000000"/>
                <w:sz w:val="24"/>
                <w:szCs w:val="24"/>
              </w:rPr>
            </w:pPr>
            <w:r>
              <w:rPr>
                <w:rFonts w:hint="eastAsia" w:ascii="宋体" w:hAnsi="宋体" w:eastAsia="宋体" w:cs="宋体"/>
                <w:color w:val="000000"/>
                <w:sz w:val="24"/>
                <w:szCs w:val="24"/>
              </w:rPr>
              <w:t>（3）柜的固定及接地可靠,漆层应完好、清洁整齐。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trPr>
        <w:tc>
          <w:tcPr>
            <w:tcW w:w="1217" w:type="dxa"/>
            <w:vMerge w:val="continue"/>
            <w:vAlign w:val="center"/>
          </w:tcPr>
          <w:p>
            <w:pPr>
              <w:widowControl w:val="0"/>
              <w:jc w:val="center"/>
              <w:rPr>
                <w:rFonts w:ascii="宋体" w:hAnsi="宋体" w:eastAsia="宋体" w:cs="宋体"/>
                <w:sz w:val="24"/>
                <w:szCs w:val="24"/>
              </w:rPr>
            </w:pPr>
          </w:p>
        </w:tc>
        <w:tc>
          <w:tcPr>
            <w:tcW w:w="1217" w:type="dxa"/>
            <w:vMerge w:val="continue"/>
            <w:vAlign w:val="center"/>
          </w:tcPr>
          <w:p>
            <w:pPr>
              <w:widowControl w:val="0"/>
              <w:jc w:val="center"/>
              <w:rPr>
                <w:rFonts w:ascii="宋体" w:hAnsi="宋体" w:eastAsia="宋体" w:cs="宋体"/>
                <w:sz w:val="24"/>
                <w:szCs w:val="24"/>
              </w:rPr>
            </w:pPr>
          </w:p>
        </w:tc>
        <w:tc>
          <w:tcPr>
            <w:tcW w:w="6714" w:type="dxa"/>
            <w:gridSpan w:val="4"/>
            <w:vAlign w:val="center"/>
          </w:tcPr>
          <w:p>
            <w:pPr>
              <w:widowControl w:val="0"/>
              <w:jc w:val="both"/>
              <w:rPr>
                <w:rFonts w:ascii="宋体" w:hAnsi="宋体" w:eastAsia="宋体" w:cs="宋体"/>
                <w:color w:val="000000"/>
                <w:sz w:val="24"/>
                <w:szCs w:val="24"/>
              </w:rPr>
            </w:pPr>
            <w:r>
              <w:rPr>
                <w:rFonts w:hint="eastAsia" w:ascii="宋体" w:hAnsi="宋体" w:eastAsia="宋体" w:cs="宋体"/>
                <w:color w:val="000000"/>
                <w:sz w:val="24"/>
                <w:szCs w:val="24"/>
              </w:rPr>
              <w:t>3.年检维护</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（1）整柜清洁除尘，重点擦拭绝缘子及元件上的积尘和污渍.</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（2）用力矩扳手紧固各部位紧固件。</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（3）检查进线开关主触头、辅助接点的接触情况。</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（4）机械和电动操作机构的检查、测试.</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（5）主开关本体绝缘检查，主母线绝缘测试。</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（7）进线开关二次回路检查、测试.</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（9）自动补偿控制仪检测。</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（12）低压柜每段母线绝缘电阻不应小于0.5MQ，电力线路绝缘电阻不小于0.5MQ，试验采用500V兆欧表；加1000V进行交流耐压试验；校核仪表、继电器的动作值和返回值。</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（13）出线开关本体绝缘检查。</w:t>
            </w:r>
          </w:p>
          <w:p>
            <w:pPr>
              <w:widowControl w:val="0"/>
              <w:ind w:left="229" w:leftChars="104"/>
              <w:jc w:val="both"/>
              <w:rPr>
                <w:rFonts w:ascii="宋体" w:hAnsi="宋体" w:eastAsia="宋体" w:cs="宋体"/>
                <w:color w:val="000000"/>
                <w:sz w:val="24"/>
                <w:szCs w:val="24"/>
              </w:rPr>
            </w:pPr>
            <w:r>
              <w:rPr>
                <w:rFonts w:hint="eastAsia" w:ascii="宋体" w:hAnsi="宋体" w:eastAsia="宋体" w:cs="宋体"/>
                <w:color w:val="000000"/>
                <w:sz w:val="24"/>
                <w:szCs w:val="24"/>
              </w:rPr>
              <w:t>（14）指示仪表的检查.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Merge w:val="continue"/>
            <w:vAlign w:val="center"/>
          </w:tcPr>
          <w:p>
            <w:pPr>
              <w:widowControl w:val="0"/>
              <w:jc w:val="center"/>
              <w:rPr>
                <w:rFonts w:ascii="宋体" w:hAnsi="宋体" w:eastAsia="宋体" w:cs="宋体"/>
                <w:sz w:val="24"/>
                <w:szCs w:val="24"/>
              </w:rPr>
            </w:pPr>
          </w:p>
        </w:tc>
        <w:tc>
          <w:tcPr>
            <w:tcW w:w="1217" w:type="dxa"/>
            <w:vMerge w:val="continue"/>
            <w:vAlign w:val="center"/>
          </w:tcPr>
          <w:p>
            <w:pPr>
              <w:widowControl w:val="0"/>
              <w:jc w:val="center"/>
              <w:rPr>
                <w:rFonts w:ascii="宋体" w:hAnsi="宋体" w:eastAsia="宋体" w:cs="宋体"/>
                <w:sz w:val="24"/>
                <w:szCs w:val="24"/>
              </w:rPr>
            </w:pPr>
          </w:p>
        </w:tc>
        <w:tc>
          <w:tcPr>
            <w:tcW w:w="1217" w:type="dxa"/>
            <w:vAlign w:val="center"/>
          </w:tcPr>
          <w:p>
            <w:pPr>
              <w:widowControl w:val="0"/>
              <w:jc w:val="center"/>
              <w:rPr>
                <w:rFonts w:ascii="宋体" w:hAnsi="宋体" w:eastAsia="宋体" w:cs="宋体"/>
                <w:sz w:val="24"/>
                <w:szCs w:val="24"/>
              </w:rPr>
            </w:pPr>
            <w:r>
              <w:rPr>
                <w:rFonts w:hint="eastAsia" w:ascii="宋体" w:hAnsi="宋体" w:eastAsia="宋体" w:cs="宋体"/>
                <w:color w:val="000000"/>
                <w:sz w:val="24"/>
                <w:szCs w:val="24"/>
              </w:rPr>
              <w:t>三、变压器</w:t>
            </w:r>
          </w:p>
        </w:tc>
        <w:tc>
          <w:tcPr>
            <w:tcW w:w="1218" w:type="dxa"/>
            <w:vAlign w:val="center"/>
          </w:tcPr>
          <w:p>
            <w:pPr>
              <w:widowControl w:val="0"/>
              <w:jc w:val="center"/>
              <w:rPr>
                <w:rFonts w:ascii="宋体" w:hAnsi="宋体" w:eastAsia="宋体" w:cs="宋体"/>
                <w:sz w:val="24"/>
                <w:szCs w:val="24"/>
              </w:rPr>
            </w:pPr>
            <w:r>
              <w:rPr>
                <w:rFonts w:hint="eastAsia" w:ascii="宋体" w:hAnsi="宋体" w:eastAsia="宋体" w:cs="宋体"/>
                <w:sz w:val="24"/>
                <w:szCs w:val="24"/>
              </w:rPr>
              <w:t>1-3</w:t>
            </w:r>
          </w:p>
        </w:tc>
        <w:tc>
          <w:tcPr>
            <w:tcW w:w="1218" w:type="dxa"/>
            <w:vAlign w:val="center"/>
          </w:tcPr>
          <w:p>
            <w:pPr>
              <w:widowControl w:val="0"/>
              <w:jc w:val="center"/>
              <w:rPr>
                <w:rFonts w:ascii="宋体" w:hAnsi="宋体" w:eastAsia="宋体" w:cs="宋体"/>
                <w:sz w:val="24"/>
                <w:szCs w:val="24"/>
              </w:rPr>
            </w:pPr>
            <w:r>
              <w:rPr>
                <w:rFonts w:hint="eastAsia" w:ascii="宋体" w:hAnsi="宋体" w:eastAsia="宋体" w:cs="宋体"/>
                <w:sz w:val="24"/>
                <w:szCs w:val="24"/>
              </w:rPr>
              <w:t>15分</w:t>
            </w:r>
          </w:p>
        </w:tc>
        <w:tc>
          <w:tcPr>
            <w:tcW w:w="3061" w:type="dxa"/>
            <w:vAlign w:val="center"/>
          </w:tcPr>
          <w:p>
            <w:pPr>
              <w:widowControl w:val="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Merge w:val="continue"/>
            <w:vAlign w:val="center"/>
          </w:tcPr>
          <w:p>
            <w:pPr>
              <w:widowControl w:val="0"/>
              <w:jc w:val="center"/>
              <w:rPr>
                <w:rFonts w:ascii="宋体" w:hAnsi="宋体" w:eastAsia="宋体" w:cs="宋体"/>
                <w:sz w:val="24"/>
                <w:szCs w:val="24"/>
              </w:rPr>
            </w:pPr>
          </w:p>
        </w:tc>
        <w:tc>
          <w:tcPr>
            <w:tcW w:w="1217" w:type="dxa"/>
            <w:vMerge w:val="continue"/>
            <w:vAlign w:val="center"/>
          </w:tcPr>
          <w:p>
            <w:pPr>
              <w:widowControl w:val="0"/>
              <w:jc w:val="center"/>
              <w:rPr>
                <w:rFonts w:ascii="宋体" w:hAnsi="宋体" w:eastAsia="宋体" w:cs="宋体"/>
                <w:sz w:val="24"/>
                <w:szCs w:val="24"/>
              </w:rPr>
            </w:pPr>
          </w:p>
        </w:tc>
        <w:tc>
          <w:tcPr>
            <w:tcW w:w="6714" w:type="dxa"/>
            <w:gridSpan w:val="4"/>
            <w:vAlign w:val="center"/>
          </w:tcPr>
          <w:p>
            <w:pPr>
              <w:widowControl w:val="0"/>
              <w:jc w:val="both"/>
              <w:rPr>
                <w:rFonts w:ascii="宋体" w:hAnsi="宋体" w:eastAsia="宋体" w:cs="宋体"/>
                <w:color w:val="000000"/>
                <w:sz w:val="24"/>
                <w:szCs w:val="24"/>
              </w:rPr>
            </w:pPr>
            <w:r>
              <w:rPr>
                <w:rFonts w:hint="eastAsia" w:ascii="宋体" w:hAnsi="宋体" w:eastAsia="宋体" w:cs="宋体"/>
                <w:color w:val="000000"/>
                <w:sz w:val="24"/>
                <w:szCs w:val="24"/>
              </w:rPr>
              <w:t>1.月检维护巡查</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（1）变压器温度是否超过允许值</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（2）变压器的运行声音是否正常</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（3）变压器的接地是否良好</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（4）变压器套管是否清洁，有无破损、裂纹和放电痕迹。</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（5）变压器零部件必须无损伤或移位，接线是否松动、断裂、绝缘件和线圈是否有破损，是否有脏物或异物等。</w:t>
            </w:r>
          </w:p>
          <w:p>
            <w:pPr>
              <w:widowControl w:val="0"/>
              <w:ind w:left="229" w:leftChars="104"/>
              <w:jc w:val="both"/>
              <w:rPr>
                <w:rFonts w:ascii="宋体" w:hAnsi="宋体" w:eastAsia="宋体" w:cs="宋体"/>
                <w:color w:val="000000"/>
                <w:sz w:val="24"/>
                <w:szCs w:val="24"/>
              </w:rPr>
            </w:pPr>
            <w:r>
              <w:rPr>
                <w:rFonts w:hint="eastAsia" w:ascii="宋体" w:hAnsi="宋体" w:eastAsia="宋体" w:cs="宋体"/>
                <w:color w:val="000000"/>
                <w:sz w:val="24"/>
                <w:szCs w:val="24"/>
              </w:rPr>
              <w:t>（6）变压器的主附设备的外壳接地是否良好。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217" w:type="dxa"/>
            <w:vMerge w:val="continue"/>
            <w:vAlign w:val="center"/>
          </w:tcPr>
          <w:p>
            <w:pPr>
              <w:widowControl w:val="0"/>
              <w:jc w:val="center"/>
              <w:rPr>
                <w:rFonts w:ascii="宋体" w:hAnsi="宋体" w:eastAsia="宋体" w:cs="宋体"/>
                <w:sz w:val="24"/>
                <w:szCs w:val="24"/>
              </w:rPr>
            </w:pPr>
          </w:p>
        </w:tc>
        <w:tc>
          <w:tcPr>
            <w:tcW w:w="1217" w:type="dxa"/>
            <w:vMerge w:val="continue"/>
            <w:vAlign w:val="center"/>
          </w:tcPr>
          <w:p>
            <w:pPr>
              <w:widowControl w:val="0"/>
              <w:jc w:val="center"/>
              <w:rPr>
                <w:rFonts w:ascii="宋体" w:hAnsi="宋体" w:eastAsia="宋体" w:cs="宋体"/>
                <w:sz w:val="24"/>
                <w:szCs w:val="24"/>
              </w:rPr>
            </w:pPr>
          </w:p>
        </w:tc>
        <w:tc>
          <w:tcPr>
            <w:tcW w:w="6714" w:type="dxa"/>
            <w:gridSpan w:val="4"/>
            <w:vAlign w:val="center"/>
          </w:tcPr>
          <w:p>
            <w:pPr>
              <w:widowControl w:val="0"/>
              <w:jc w:val="both"/>
              <w:rPr>
                <w:rFonts w:ascii="宋体" w:hAnsi="宋体" w:eastAsia="宋体" w:cs="宋体"/>
                <w:color w:val="000000"/>
                <w:sz w:val="24"/>
                <w:szCs w:val="24"/>
              </w:rPr>
            </w:pPr>
            <w:r>
              <w:rPr>
                <w:rFonts w:hint="eastAsia" w:ascii="宋体" w:hAnsi="宋体" w:eastAsia="宋体" w:cs="宋体"/>
                <w:sz w:val="24"/>
                <w:szCs w:val="24"/>
              </w:rPr>
              <w:t>2.</w:t>
            </w:r>
            <w:r>
              <w:rPr>
                <w:rFonts w:hint="eastAsia" w:ascii="宋体" w:hAnsi="宋体" w:eastAsia="宋体" w:cs="宋体"/>
                <w:color w:val="000000"/>
                <w:sz w:val="24"/>
                <w:szCs w:val="24"/>
              </w:rPr>
              <w:t>季检及变压器进行维护</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（1）重复每个月检查的内容：</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（2）高低压电缆头的接触情况,螺丝有无松动,接头是否过热。</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（3）检查所有的紧固件、连接件、标准件是否松动，并重新紧固一次.</w:t>
            </w:r>
          </w:p>
          <w:p>
            <w:pPr>
              <w:widowControl w:val="0"/>
              <w:ind w:left="229" w:leftChars="104"/>
              <w:jc w:val="both"/>
              <w:rPr>
                <w:rFonts w:ascii="宋体" w:hAnsi="宋体" w:eastAsia="宋体" w:cs="宋体"/>
                <w:color w:val="000000"/>
                <w:sz w:val="24"/>
                <w:szCs w:val="24"/>
              </w:rPr>
            </w:pPr>
            <w:r>
              <w:rPr>
                <w:rFonts w:hint="eastAsia" w:ascii="宋体" w:hAnsi="宋体" w:eastAsia="宋体" w:cs="宋体"/>
                <w:color w:val="000000"/>
                <w:sz w:val="24"/>
                <w:szCs w:val="24"/>
              </w:rPr>
              <w:t>（4）检查变压器的箱体和铁芯是否可靠接地，穿心螺杆的绝（5）套管密封、顶部连接片、密封衬垫的检查，瓷绝缘的检（6）各种保护装置、测量装置及操作控制箱的检修、试验.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217" w:type="dxa"/>
            <w:vMerge w:val="continue"/>
            <w:vAlign w:val="center"/>
          </w:tcPr>
          <w:p>
            <w:pPr>
              <w:widowControl w:val="0"/>
              <w:jc w:val="center"/>
              <w:rPr>
                <w:rFonts w:ascii="宋体" w:hAnsi="宋体" w:eastAsia="宋体" w:cs="宋体"/>
                <w:sz w:val="24"/>
                <w:szCs w:val="24"/>
              </w:rPr>
            </w:pPr>
          </w:p>
        </w:tc>
        <w:tc>
          <w:tcPr>
            <w:tcW w:w="1217" w:type="dxa"/>
            <w:vMerge w:val="continue"/>
            <w:vAlign w:val="center"/>
          </w:tcPr>
          <w:p>
            <w:pPr>
              <w:widowControl w:val="0"/>
              <w:jc w:val="center"/>
              <w:rPr>
                <w:rFonts w:ascii="宋体" w:hAnsi="宋体" w:eastAsia="宋体" w:cs="宋体"/>
                <w:sz w:val="24"/>
                <w:szCs w:val="24"/>
              </w:rPr>
            </w:pPr>
          </w:p>
        </w:tc>
        <w:tc>
          <w:tcPr>
            <w:tcW w:w="6714" w:type="dxa"/>
            <w:gridSpan w:val="4"/>
            <w:vAlign w:val="center"/>
          </w:tcPr>
          <w:p>
            <w:pPr>
              <w:widowControl w:val="0"/>
              <w:jc w:val="both"/>
              <w:rPr>
                <w:rFonts w:ascii="宋体" w:hAnsi="宋体" w:eastAsia="宋体" w:cs="宋体"/>
                <w:color w:val="000000"/>
                <w:sz w:val="24"/>
                <w:szCs w:val="24"/>
              </w:rPr>
            </w:pPr>
            <w:r>
              <w:rPr>
                <w:rFonts w:hint="eastAsia" w:ascii="宋体" w:hAnsi="宋体" w:eastAsia="宋体" w:cs="宋体"/>
                <w:sz w:val="24"/>
                <w:szCs w:val="24"/>
              </w:rPr>
              <w:t>3.</w:t>
            </w:r>
            <w:r>
              <w:rPr>
                <w:rFonts w:hint="eastAsia" w:ascii="宋体" w:hAnsi="宋体" w:eastAsia="宋体" w:cs="宋体"/>
                <w:color w:val="000000"/>
                <w:sz w:val="24"/>
                <w:szCs w:val="24"/>
              </w:rPr>
              <w:t>年检维护</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（1）整体清洁除尘，重点擦拭绝缘子、接地桩等的积尘和污渍。</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（2）检查浇注体、垫片、瓷套管有无破裂、放电痕迹，电缆及母线有无变形现象，有破裂的应进行更换.</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（6）变压器绝缘电阻的测试。</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（7）高压线圈各档位直流电阻测试。</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（11）变压器工频耐压试验。</w:t>
            </w:r>
          </w:p>
          <w:p>
            <w:pPr>
              <w:widowControl w:val="0"/>
              <w:ind w:left="229" w:leftChars="104"/>
              <w:jc w:val="both"/>
              <w:rPr>
                <w:rFonts w:ascii="宋体" w:hAnsi="宋体" w:eastAsia="宋体" w:cs="宋体"/>
                <w:color w:val="000000"/>
                <w:sz w:val="24"/>
                <w:szCs w:val="24"/>
              </w:rPr>
            </w:pPr>
            <w:r>
              <w:rPr>
                <w:rFonts w:hint="eastAsia" w:ascii="宋体" w:hAnsi="宋体" w:eastAsia="宋体" w:cs="宋体"/>
                <w:color w:val="000000"/>
                <w:sz w:val="24"/>
                <w:szCs w:val="24"/>
              </w:rPr>
              <w:t>（12）检查散热风机、温度控制器等附件的完好性。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217" w:type="dxa"/>
            <w:vMerge w:val="continue"/>
            <w:vAlign w:val="center"/>
          </w:tcPr>
          <w:p>
            <w:pPr>
              <w:widowControl w:val="0"/>
              <w:jc w:val="center"/>
              <w:rPr>
                <w:rFonts w:ascii="宋体" w:hAnsi="宋体" w:eastAsia="宋体" w:cs="宋体"/>
                <w:sz w:val="24"/>
                <w:szCs w:val="24"/>
              </w:rPr>
            </w:pPr>
          </w:p>
        </w:tc>
        <w:tc>
          <w:tcPr>
            <w:tcW w:w="1217" w:type="dxa"/>
            <w:vMerge w:val="continue"/>
            <w:vAlign w:val="center"/>
          </w:tcPr>
          <w:p>
            <w:pPr>
              <w:widowControl w:val="0"/>
              <w:jc w:val="center"/>
              <w:rPr>
                <w:rFonts w:ascii="宋体" w:hAnsi="宋体" w:eastAsia="宋体" w:cs="宋体"/>
                <w:sz w:val="24"/>
                <w:szCs w:val="24"/>
              </w:rPr>
            </w:pPr>
          </w:p>
        </w:tc>
        <w:tc>
          <w:tcPr>
            <w:tcW w:w="1217" w:type="dxa"/>
            <w:vAlign w:val="center"/>
          </w:tcPr>
          <w:p>
            <w:pPr>
              <w:widowControl w:val="0"/>
              <w:jc w:val="center"/>
              <w:rPr>
                <w:rFonts w:ascii="宋体" w:hAnsi="宋体" w:eastAsia="宋体" w:cs="宋体"/>
                <w:sz w:val="24"/>
                <w:szCs w:val="24"/>
              </w:rPr>
            </w:pPr>
            <w:r>
              <w:rPr>
                <w:rFonts w:hint="eastAsia" w:ascii="宋体" w:hAnsi="宋体" w:eastAsia="宋体" w:cs="宋体"/>
                <w:color w:val="000000"/>
                <w:sz w:val="24"/>
                <w:szCs w:val="24"/>
              </w:rPr>
              <w:t>四、10KV高压电缆维保</w:t>
            </w:r>
          </w:p>
        </w:tc>
        <w:tc>
          <w:tcPr>
            <w:tcW w:w="1218" w:type="dxa"/>
            <w:vAlign w:val="center"/>
          </w:tcPr>
          <w:p>
            <w:pPr>
              <w:widowControl w:val="0"/>
              <w:jc w:val="center"/>
              <w:rPr>
                <w:rFonts w:ascii="宋体" w:hAnsi="宋体" w:eastAsia="宋体" w:cs="宋体"/>
                <w:sz w:val="24"/>
                <w:szCs w:val="24"/>
              </w:rPr>
            </w:pPr>
            <w:r>
              <w:rPr>
                <w:rFonts w:hint="eastAsia" w:ascii="宋体" w:hAnsi="宋体" w:eastAsia="宋体" w:cs="宋体"/>
                <w:sz w:val="24"/>
                <w:szCs w:val="24"/>
              </w:rPr>
              <w:t>1-7</w:t>
            </w:r>
          </w:p>
        </w:tc>
        <w:tc>
          <w:tcPr>
            <w:tcW w:w="1218" w:type="dxa"/>
            <w:vAlign w:val="center"/>
          </w:tcPr>
          <w:p>
            <w:pPr>
              <w:widowControl w:val="0"/>
              <w:jc w:val="center"/>
              <w:rPr>
                <w:rFonts w:ascii="宋体" w:hAnsi="宋体" w:eastAsia="宋体" w:cs="宋体"/>
                <w:sz w:val="24"/>
                <w:szCs w:val="24"/>
              </w:rPr>
            </w:pPr>
            <w:r>
              <w:rPr>
                <w:rFonts w:hint="eastAsia" w:ascii="宋体" w:hAnsi="宋体" w:eastAsia="宋体" w:cs="宋体"/>
                <w:sz w:val="24"/>
                <w:szCs w:val="24"/>
              </w:rPr>
              <w:t>15分</w:t>
            </w:r>
          </w:p>
        </w:tc>
        <w:tc>
          <w:tcPr>
            <w:tcW w:w="3061" w:type="dxa"/>
            <w:vAlign w:val="center"/>
          </w:tcPr>
          <w:p>
            <w:pPr>
              <w:widowControl w:val="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17" w:type="dxa"/>
            <w:vMerge w:val="continue"/>
            <w:vAlign w:val="center"/>
          </w:tcPr>
          <w:p>
            <w:pPr>
              <w:widowControl w:val="0"/>
              <w:jc w:val="center"/>
              <w:rPr>
                <w:rFonts w:ascii="宋体" w:hAnsi="宋体" w:eastAsia="宋体" w:cs="宋体"/>
                <w:sz w:val="24"/>
                <w:szCs w:val="24"/>
              </w:rPr>
            </w:pPr>
          </w:p>
        </w:tc>
        <w:tc>
          <w:tcPr>
            <w:tcW w:w="1217" w:type="dxa"/>
            <w:vMerge w:val="continue"/>
            <w:vAlign w:val="center"/>
          </w:tcPr>
          <w:p>
            <w:pPr>
              <w:widowControl w:val="0"/>
              <w:jc w:val="center"/>
              <w:rPr>
                <w:rFonts w:ascii="宋体" w:hAnsi="宋体" w:eastAsia="宋体" w:cs="宋体"/>
                <w:sz w:val="24"/>
                <w:szCs w:val="24"/>
              </w:rPr>
            </w:pPr>
          </w:p>
        </w:tc>
        <w:tc>
          <w:tcPr>
            <w:tcW w:w="6714" w:type="dxa"/>
            <w:gridSpan w:val="4"/>
            <w:vAlign w:val="center"/>
          </w:tcPr>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1.高压电缆的清尘，检查电缆终端头有无松动、发热变色及受损现象。</w:t>
            </w:r>
          </w:p>
          <w:p>
            <w:pPr>
              <w:widowControl w:val="0"/>
              <w:ind w:left="229" w:leftChars="104"/>
              <w:jc w:val="both"/>
              <w:rPr>
                <w:rFonts w:ascii="宋体" w:hAnsi="宋体" w:eastAsia="宋体" w:cs="宋体"/>
                <w:color w:val="000000"/>
                <w:sz w:val="24"/>
                <w:szCs w:val="24"/>
              </w:rPr>
            </w:pPr>
            <w:r>
              <w:rPr>
                <w:rFonts w:hint="eastAsia" w:ascii="宋体" w:hAnsi="宋体" w:eastAsia="宋体" w:cs="宋体"/>
                <w:color w:val="000000"/>
                <w:sz w:val="24"/>
                <w:szCs w:val="24"/>
              </w:rPr>
              <w:t>2.检查电缆头三相有无交叉排列。</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3.电缆头密封检查。</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4.电缆头与设备接触是否良好。</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5.电缆绝缘电阻测量。</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6.电缆直流耐压及泄漏电流试验。</w:t>
            </w:r>
          </w:p>
          <w:p>
            <w:pPr>
              <w:widowControl w:val="0"/>
              <w:ind w:left="229" w:leftChars="104"/>
              <w:jc w:val="both"/>
              <w:rPr>
                <w:rFonts w:ascii="宋体" w:hAnsi="宋体" w:eastAsia="宋体" w:cs="宋体"/>
                <w:sz w:val="24"/>
                <w:szCs w:val="24"/>
              </w:rPr>
            </w:pPr>
            <w:r>
              <w:rPr>
                <w:rFonts w:hint="eastAsia" w:ascii="宋体" w:hAnsi="宋体" w:eastAsia="宋体" w:cs="宋体"/>
                <w:color w:val="000000"/>
                <w:sz w:val="24"/>
                <w:szCs w:val="24"/>
              </w:rPr>
              <w:t>7.电缆铠装接地线的检查。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217" w:type="dxa"/>
            <w:vMerge w:val="continue"/>
            <w:vAlign w:val="center"/>
          </w:tcPr>
          <w:p>
            <w:pPr>
              <w:widowControl w:val="0"/>
              <w:jc w:val="center"/>
              <w:rPr>
                <w:rFonts w:ascii="宋体" w:hAnsi="宋体" w:eastAsia="宋体" w:cs="宋体"/>
                <w:sz w:val="24"/>
                <w:szCs w:val="24"/>
              </w:rPr>
            </w:pPr>
          </w:p>
        </w:tc>
        <w:tc>
          <w:tcPr>
            <w:tcW w:w="1217" w:type="dxa"/>
            <w:vMerge w:val="continue"/>
            <w:vAlign w:val="center"/>
          </w:tcPr>
          <w:p>
            <w:pPr>
              <w:widowControl w:val="0"/>
              <w:jc w:val="center"/>
              <w:rPr>
                <w:rFonts w:ascii="宋体" w:hAnsi="宋体" w:eastAsia="宋体" w:cs="宋体"/>
                <w:sz w:val="24"/>
                <w:szCs w:val="24"/>
              </w:rPr>
            </w:pPr>
          </w:p>
        </w:tc>
        <w:tc>
          <w:tcPr>
            <w:tcW w:w="1217" w:type="dxa"/>
            <w:vAlign w:val="center"/>
          </w:tcPr>
          <w:p>
            <w:pPr>
              <w:widowControl w:val="0"/>
              <w:jc w:val="center"/>
              <w:rPr>
                <w:rFonts w:ascii="宋体" w:hAnsi="宋体" w:eastAsia="宋体" w:cs="宋体"/>
                <w:color w:val="000000"/>
                <w:sz w:val="24"/>
                <w:szCs w:val="24"/>
              </w:rPr>
            </w:pPr>
            <w:r>
              <w:rPr>
                <w:rFonts w:hint="eastAsia" w:ascii="宋体" w:hAnsi="宋体" w:eastAsia="宋体" w:cs="宋体"/>
                <w:color w:val="000000"/>
                <w:sz w:val="24"/>
                <w:szCs w:val="24"/>
              </w:rPr>
              <w:t>五、接地系统维保</w:t>
            </w:r>
          </w:p>
        </w:tc>
        <w:tc>
          <w:tcPr>
            <w:tcW w:w="1218" w:type="dxa"/>
            <w:vAlign w:val="center"/>
          </w:tcPr>
          <w:p>
            <w:pPr>
              <w:widowControl w:val="0"/>
              <w:jc w:val="center"/>
              <w:rPr>
                <w:rFonts w:ascii="宋体" w:hAnsi="宋体" w:eastAsia="宋体" w:cs="宋体"/>
                <w:sz w:val="24"/>
                <w:szCs w:val="24"/>
              </w:rPr>
            </w:pPr>
            <w:r>
              <w:rPr>
                <w:rFonts w:hint="eastAsia" w:ascii="宋体" w:hAnsi="宋体" w:eastAsia="宋体" w:cs="宋体"/>
                <w:sz w:val="24"/>
                <w:szCs w:val="24"/>
              </w:rPr>
              <w:t>1-2</w:t>
            </w:r>
          </w:p>
        </w:tc>
        <w:tc>
          <w:tcPr>
            <w:tcW w:w="1218" w:type="dxa"/>
            <w:vAlign w:val="center"/>
          </w:tcPr>
          <w:p>
            <w:pPr>
              <w:widowControl w:val="0"/>
              <w:jc w:val="center"/>
              <w:rPr>
                <w:rFonts w:ascii="宋体" w:hAnsi="宋体" w:eastAsia="宋体" w:cs="宋体"/>
                <w:sz w:val="24"/>
                <w:szCs w:val="24"/>
              </w:rPr>
            </w:pPr>
            <w:r>
              <w:rPr>
                <w:rFonts w:hint="eastAsia" w:ascii="宋体" w:hAnsi="宋体" w:eastAsia="宋体" w:cs="宋体"/>
                <w:sz w:val="24"/>
                <w:szCs w:val="24"/>
              </w:rPr>
              <w:t>15分</w:t>
            </w:r>
          </w:p>
        </w:tc>
        <w:tc>
          <w:tcPr>
            <w:tcW w:w="3061" w:type="dxa"/>
            <w:vAlign w:val="center"/>
          </w:tcPr>
          <w:p>
            <w:pPr>
              <w:widowControl w:val="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217" w:type="dxa"/>
            <w:vMerge w:val="continue"/>
            <w:vAlign w:val="center"/>
          </w:tcPr>
          <w:p>
            <w:pPr>
              <w:widowControl w:val="0"/>
              <w:jc w:val="center"/>
              <w:rPr>
                <w:rFonts w:ascii="宋体" w:hAnsi="宋体" w:eastAsia="宋体" w:cs="宋体"/>
                <w:sz w:val="24"/>
                <w:szCs w:val="24"/>
              </w:rPr>
            </w:pPr>
          </w:p>
        </w:tc>
        <w:tc>
          <w:tcPr>
            <w:tcW w:w="1217" w:type="dxa"/>
            <w:vMerge w:val="continue"/>
            <w:vAlign w:val="center"/>
          </w:tcPr>
          <w:p>
            <w:pPr>
              <w:widowControl w:val="0"/>
              <w:jc w:val="center"/>
              <w:rPr>
                <w:rFonts w:ascii="宋体" w:hAnsi="宋体" w:eastAsia="宋体" w:cs="宋体"/>
                <w:sz w:val="24"/>
                <w:szCs w:val="24"/>
              </w:rPr>
            </w:pPr>
          </w:p>
        </w:tc>
        <w:tc>
          <w:tcPr>
            <w:tcW w:w="6714" w:type="dxa"/>
            <w:gridSpan w:val="4"/>
            <w:vAlign w:val="center"/>
          </w:tcPr>
          <w:p>
            <w:pPr>
              <w:widowControl w:val="0"/>
              <w:jc w:val="both"/>
              <w:rPr>
                <w:rFonts w:ascii="宋体" w:hAnsi="宋体" w:eastAsia="宋体" w:cs="宋体"/>
                <w:sz w:val="24"/>
                <w:szCs w:val="24"/>
              </w:rPr>
            </w:pPr>
            <w:r>
              <w:rPr>
                <w:rFonts w:hint="eastAsia" w:ascii="宋体" w:hAnsi="宋体" w:eastAsia="宋体" w:cs="宋体"/>
                <w:color w:val="000000"/>
                <w:sz w:val="24"/>
                <w:szCs w:val="24"/>
              </w:rPr>
              <w:t>1.每个月及每季度检查地网有无脱漆、锈蚀、设备各接地处、导体搭接处是否牢固。</w:t>
            </w:r>
          </w:p>
          <w:p>
            <w:pPr>
              <w:widowControl w:val="0"/>
              <w:jc w:val="both"/>
              <w:rPr>
                <w:rFonts w:ascii="宋体" w:hAnsi="宋体" w:eastAsia="宋体" w:cs="宋体"/>
                <w:sz w:val="24"/>
                <w:szCs w:val="24"/>
              </w:rPr>
            </w:pPr>
            <w:r>
              <w:rPr>
                <w:rFonts w:hint="eastAsia" w:ascii="宋体" w:hAnsi="宋体" w:eastAsia="宋体" w:cs="宋体"/>
                <w:color w:val="000000"/>
                <w:sz w:val="24"/>
                <w:szCs w:val="24"/>
              </w:rPr>
              <w:t>2.每年进行接地系统的接地电阻测量.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217" w:type="dxa"/>
            <w:vMerge w:val="continue"/>
            <w:tcBorders>
              <w:bottom w:val="nil"/>
            </w:tcBorders>
            <w:vAlign w:val="center"/>
          </w:tcPr>
          <w:p>
            <w:pPr>
              <w:widowControl w:val="0"/>
              <w:jc w:val="center"/>
              <w:rPr>
                <w:rFonts w:ascii="宋体" w:hAnsi="宋体" w:eastAsia="宋体" w:cs="宋体"/>
                <w:sz w:val="24"/>
                <w:szCs w:val="24"/>
              </w:rPr>
            </w:pPr>
          </w:p>
        </w:tc>
        <w:tc>
          <w:tcPr>
            <w:tcW w:w="1217" w:type="dxa"/>
            <w:vMerge w:val="continue"/>
            <w:tcBorders>
              <w:bottom w:val="nil"/>
            </w:tcBorders>
            <w:vAlign w:val="center"/>
          </w:tcPr>
          <w:p>
            <w:pPr>
              <w:widowControl w:val="0"/>
              <w:jc w:val="center"/>
              <w:rPr>
                <w:rFonts w:ascii="宋体" w:hAnsi="宋体" w:eastAsia="宋体" w:cs="宋体"/>
                <w:sz w:val="24"/>
                <w:szCs w:val="24"/>
              </w:rPr>
            </w:pPr>
          </w:p>
        </w:tc>
        <w:tc>
          <w:tcPr>
            <w:tcW w:w="1217" w:type="dxa"/>
            <w:vAlign w:val="center"/>
          </w:tcPr>
          <w:p>
            <w:pPr>
              <w:widowControl w:val="0"/>
              <w:jc w:val="center"/>
              <w:rPr>
                <w:rFonts w:ascii="宋体" w:hAnsi="宋体" w:eastAsia="宋体" w:cs="宋体"/>
                <w:color w:val="000000"/>
                <w:sz w:val="24"/>
                <w:szCs w:val="24"/>
              </w:rPr>
            </w:pPr>
            <w:r>
              <w:rPr>
                <w:rFonts w:hint="eastAsia" w:ascii="宋体" w:hAnsi="宋体" w:eastAsia="宋体" w:cs="宋体"/>
                <w:color w:val="000000"/>
                <w:sz w:val="24"/>
                <w:szCs w:val="24"/>
              </w:rPr>
              <w:t>六、消防安全管理</w:t>
            </w:r>
          </w:p>
        </w:tc>
        <w:tc>
          <w:tcPr>
            <w:tcW w:w="1218" w:type="dxa"/>
            <w:vAlign w:val="center"/>
          </w:tcPr>
          <w:p>
            <w:pPr>
              <w:widowControl w:val="0"/>
              <w:jc w:val="center"/>
              <w:rPr>
                <w:rFonts w:ascii="宋体" w:hAnsi="宋体" w:eastAsia="宋体" w:cs="宋体"/>
                <w:color w:val="000000"/>
                <w:sz w:val="24"/>
                <w:szCs w:val="24"/>
              </w:rPr>
            </w:pPr>
            <w:r>
              <w:rPr>
                <w:rFonts w:hint="eastAsia" w:ascii="宋体" w:hAnsi="宋体" w:eastAsia="宋体" w:cs="宋体"/>
                <w:color w:val="000000"/>
                <w:sz w:val="24"/>
                <w:szCs w:val="24"/>
              </w:rPr>
              <w:t>1-6</w:t>
            </w:r>
          </w:p>
        </w:tc>
        <w:tc>
          <w:tcPr>
            <w:tcW w:w="1218" w:type="dxa"/>
            <w:vAlign w:val="center"/>
          </w:tcPr>
          <w:p>
            <w:pPr>
              <w:widowControl w:val="0"/>
              <w:jc w:val="center"/>
              <w:rPr>
                <w:rFonts w:ascii="宋体" w:hAnsi="宋体" w:eastAsia="宋体" w:cs="宋体"/>
                <w:color w:val="000000"/>
                <w:sz w:val="24"/>
                <w:szCs w:val="24"/>
              </w:rPr>
            </w:pPr>
            <w:r>
              <w:rPr>
                <w:rFonts w:hint="eastAsia" w:ascii="宋体" w:hAnsi="宋体" w:eastAsia="宋体" w:cs="宋体"/>
                <w:color w:val="000000"/>
                <w:sz w:val="24"/>
                <w:szCs w:val="24"/>
              </w:rPr>
              <w:t>10分</w:t>
            </w:r>
          </w:p>
        </w:tc>
        <w:tc>
          <w:tcPr>
            <w:tcW w:w="3061" w:type="dxa"/>
            <w:vAlign w:val="center"/>
          </w:tcPr>
          <w:p>
            <w:pPr>
              <w:widowControl w:val="0"/>
              <w:jc w:val="center"/>
              <w:rPr>
                <w:rFonts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1" w:hRule="atLeast"/>
        </w:trPr>
        <w:tc>
          <w:tcPr>
            <w:tcW w:w="1217" w:type="dxa"/>
            <w:vMerge w:val="continue"/>
            <w:tcBorders>
              <w:bottom w:val="nil"/>
            </w:tcBorders>
            <w:vAlign w:val="center"/>
          </w:tcPr>
          <w:p>
            <w:pPr>
              <w:widowControl w:val="0"/>
              <w:jc w:val="center"/>
              <w:rPr>
                <w:rFonts w:ascii="宋体" w:hAnsi="宋体" w:eastAsia="宋体" w:cs="宋体"/>
                <w:sz w:val="24"/>
                <w:szCs w:val="24"/>
              </w:rPr>
            </w:pPr>
          </w:p>
        </w:tc>
        <w:tc>
          <w:tcPr>
            <w:tcW w:w="1217" w:type="dxa"/>
            <w:vMerge w:val="continue"/>
            <w:tcBorders>
              <w:bottom w:val="nil"/>
            </w:tcBorders>
            <w:vAlign w:val="center"/>
          </w:tcPr>
          <w:p>
            <w:pPr>
              <w:widowControl w:val="0"/>
              <w:jc w:val="center"/>
              <w:rPr>
                <w:rFonts w:ascii="宋体" w:hAnsi="宋体" w:eastAsia="宋体" w:cs="宋体"/>
                <w:sz w:val="24"/>
                <w:szCs w:val="24"/>
              </w:rPr>
            </w:pPr>
          </w:p>
        </w:tc>
        <w:tc>
          <w:tcPr>
            <w:tcW w:w="6714" w:type="dxa"/>
            <w:gridSpan w:val="4"/>
            <w:vAlign w:val="center"/>
          </w:tcPr>
          <w:p>
            <w:pPr>
              <w:widowControl/>
              <w:jc w:val="left"/>
              <w:rPr>
                <w:rFonts w:ascii="宋体" w:hAnsi="宋体" w:eastAsia="宋体" w:cs="宋体"/>
                <w:sz w:val="24"/>
                <w:szCs w:val="24"/>
              </w:rPr>
            </w:pPr>
            <w:r>
              <w:rPr>
                <w:rFonts w:hint="eastAsia" w:ascii="宋体" w:hAnsi="宋体" w:eastAsia="宋体" w:cs="宋体"/>
                <w:sz w:val="24"/>
                <w:szCs w:val="24"/>
              </w:rPr>
              <w:t>1.定期对配电室设备进行检查维修、保养，做好相关记录。</w:t>
            </w:r>
          </w:p>
          <w:p>
            <w:pPr>
              <w:widowControl/>
              <w:jc w:val="left"/>
              <w:rPr>
                <w:rFonts w:ascii="宋体" w:hAnsi="宋体" w:eastAsia="宋体" w:cs="宋体"/>
                <w:sz w:val="24"/>
                <w:szCs w:val="24"/>
              </w:rPr>
            </w:pPr>
            <w:r>
              <w:rPr>
                <w:rFonts w:hint="eastAsia" w:ascii="宋体" w:hAnsi="宋体" w:eastAsia="宋体" w:cs="宋体"/>
                <w:sz w:val="24"/>
                <w:szCs w:val="24"/>
              </w:rPr>
              <w:t>2.定期巡视，注意观察电压负荷情况，发现问题及时处理解决。</w:t>
            </w:r>
          </w:p>
          <w:p>
            <w:pPr>
              <w:widowControl/>
              <w:jc w:val="left"/>
              <w:rPr>
                <w:rFonts w:ascii="宋体" w:hAnsi="宋体" w:eastAsia="宋体" w:cs="宋体"/>
                <w:sz w:val="24"/>
                <w:szCs w:val="24"/>
              </w:rPr>
            </w:pPr>
            <w:r>
              <w:rPr>
                <w:rFonts w:hint="eastAsia" w:ascii="宋体" w:hAnsi="宋体" w:eastAsia="宋体" w:cs="宋体"/>
                <w:sz w:val="24"/>
                <w:szCs w:val="24"/>
              </w:rPr>
              <w:t>3.配电室内严禁吸烟。</w:t>
            </w:r>
          </w:p>
          <w:p>
            <w:pPr>
              <w:widowControl/>
              <w:jc w:val="left"/>
              <w:rPr>
                <w:rFonts w:ascii="宋体" w:hAnsi="宋体" w:eastAsia="宋体" w:cs="宋体"/>
                <w:sz w:val="24"/>
                <w:szCs w:val="24"/>
              </w:rPr>
            </w:pPr>
            <w:r>
              <w:rPr>
                <w:rFonts w:hint="eastAsia" w:ascii="宋体" w:hAnsi="宋体" w:eastAsia="宋体" w:cs="宋体"/>
                <w:sz w:val="24"/>
                <w:szCs w:val="24"/>
              </w:rPr>
              <w:t>4.配电室必须配备足够适用于电气线路或设备的灭火器材并保证其完好有效。</w:t>
            </w:r>
          </w:p>
          <w:p>
            <w:pPr>
              <w:widowControl/>
              <w:jc w:val="left"/>
              <w:rPr>
                <w:rFonts w:ascii="宋体" w:hAnsi="宋体" w:eastAsia="宋体" w:cs="宋体"/>
                <w:sz w:val="24"/>
                <w:szCs w:val="24"/>
              </w:rPr>
            </w:pPr>
            <w:r>
              <w:rPr>
                <w:rFonts w:hint="eastAsia" w:ascii="宋体" w:hAnsi="宋体" w:eastAsia="宋体" w:cs="宋体"/>
                <w:sz w:val="24"/>
                <w:szCs w:val="24"/>
              </w:rPr>
              <w:t>5.配电室内应保持环境清洁，无易燃易爆物品，不准堆放杂物。</w:t>
            </w:r>
          </w:p>
          <w:p>
            <w:pPr>
              <w:widowControl w:val="0"/>
              <w:jc w:val="left"/>
              <w:rPr>
                <w:rFonts w:ascii="宋体" w:hAnsi="宋体" w:eastAsia="宋体" w:cs="宋体"/>
                <w:sz w:val="24"/>
                <w:szCs w:val="24"/>
              </w:rPr>
            </w:pPr>
            <w:r>
              <w:rPr>
                <w:rFonts w:hint="eastAsia" w:ascii="宋体" w:hAnsi="宋体" w:eastAsia="宋体" w:cs="宋体"/>
                <w:sz w:val="24"/>
                <w:szCs w:val="24"/>
              </w:rPr>
              <w:t>6.主管领导或部门应定期对配电室安全状况进行全面检查，及时发现解决安全隐患，对违反安全管理规定的责任人员进行批评和处理。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217" w:type="dxa"/>
            <w:vMerge w:val="continue"/>
            <w:tcBorders>
              <w:bottom w:val="nil"/>
            </w:tcBorders>
            <w:vAlign w:val="center"/>
          </w:tcPr>
          <w:p>
            <w:pPr>
              <w:widowControl w:val="0"/>
              <w:jc w:val="center"/>
              <w:rPr>
                <w:rFonts w:ascii="宋体" w:hAnsi="宋体" w:eastAsia="宋体" w:cs="宋体"/>
                <w:sz w:val="24"/>
                <w:szCs w:val="24"/>
              </w:rPr>
            </w:pPr>
          </w:p>
        </w:tc>
        <w:tc>
          <w:tcPr>
            <w:tcW w:w="1217" w:type="dxa"/>
            <w:vMerge w:val="continue"/>
            <w:tcBorders>
              <w:bottom w:val="nil"/>
            </w:tcBorders>
            <w:vAlign w:val="center"/>
          </w:tcPr>
          <w:p>
            <w:pPr>
              <w:widowControl w:val="0"/>
              <w:jc w:val="center"/>
              <w:rPr>
                <w:rFonts w:ascii="宋体" w:hAnsi="宋体" w:eastAsia="宋体" w:cs="宋体"/>
                <w:sz w:val="24"/>
                <w:szCs w:val="24"/>
              </w:rPr>
            </w:pPr>
          </w:p>
        </w:tc>
        <w:tc>
          <w:tcPr>
            <w:tcW w:w="1217" w:type="dxa"/>
            <w:vAlign w:val="center"/>
          </w:tcPr>
          <w:p>
            <w:pPr>
              <w:widowControl w:val="0"/>
              <w:jc w:val="center"/>
              <w:rPr>
                <w:rFonts w:ascii="宋体" w:hAnsi="宋体" w:eastAsia="宋体" w:cs="宋体"/>
                <w:color w:val="000000"/>
                <w:sz w:val="24"/>
                <w:szCs w:val="24"/>
              </w:rPr>
            </w:pPr>
            <w:r>
              <w:rPr>
                <w:rFonts w:hint="eastAsia" w:ascii="宋体" w:hAnsi="宋体" w:eastAsia="宋体" w:cs="宋体"/>
                <w:color w:val="000000"/>
                <w:sz w:val="24"/>
                <w:szCs w:val="24"/>
              </w:rPr>
              <w:t>七、其他</w:t>
            </w:r>
          </w:p>
        </w:tc>
        <w:tc>
          <w:tcPr>
            <w:tcW w:w="1218" w:type="dxa"/>
            <w:vAlign w:val="center"/>
          </w:tcPr>
          <w:p>
            <w:pPr>
              <w:widowControl w:val="0"/>
              <w:jc w:val="center"/>
              <w:rPr>
                <w:rFonts w:ascii="宋体" w:hAnsi="宋体" w:eastAsia="宋体" w:cs="宋体"/>
                <w:sz w:val="24"/>
                <w:szCs w:val="24"/>
              </w:rPr>
            </w:pPr>
            <w:r>
              <w:rPr>
                <w:rFonts w:hint="eastAsia" w:ascii="宋体" w:hAnsi="宋体" w:eastAsia="宋体" w:cs="宋体"/>
                <w:sz w:val="24"/>
                <w:szCs w:val="24"/>
              </w:rPr>
              <w:t>1-4</w:t>
            </w:r>
          </w:p>
        </w:tc>
        <w:tc>
          <w:tcPr>
            <w:tcW w:w="1218" w:type="dxa"/>
            <w:vAlign w:val="center"/>
          </w:tcPr>
          <w:p>
            <w:pPr>
              <w:widowControl w:val="0"/>
              <w:jc w:val="center"/>
              <w:rPr>
                <w:rFonts w:ascii="宋体" w:hAnsi="宋体" w:eastAsia="宋体" w:cs="宋体"/>
                <w:sz w:val="24"/>
                <w:szCs w:val="24"/>
              </w:rPr>
            </w:pPr>
            <w:r>
              <w:rPr>
                <w:rFonts w:hint="eastAsia" w:ascii="宋体" w:hAnsi="宋体" w:eastAsia="宋体" w:cs="宋体"/>
                <w:sz w:val="24"/>
                <w:szCs w:val="24"/>
              </w:rPr>
              <w:t>15分</w:t>
            </w:r>
          </w:p>
        </w:tc>
        <w:tc>
          <w:tcPr>
            <w:tcW w:w="3061" w:type="dxa"/>
            <w:vAlign w:val="center"/>
          </w:tcPr>
          <w:p>
            <w:pPr>
              <w:widowControl w:val="0"/>
              <w:jc w:val="cente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217" w:type="dxa"/>
            <w:tcBorders>
              <w:top w:val="nil"/>
              <w:bottom w:val="single" w:color="auto" w:sz="4" w:space="0"/>
            </w:tcBorders>
            <w:vAlign w:val="center"/>
          </w:tcPr>
          <w:p>
            <w:pPr>
              <w:widowControl w:val="0"/>
              <w:jc w:val="center"/>
              <w:rPr>
                <w:rFonts w:ascii="宋体" w:hAnsi="宋体" w:eastAsia="宋体" w:cs="宋体"/>
                <w:sz w:val="24"/>
                <w:szCs w:val="24"/>
              </w:rPr>
            </w:pPr>
          </w:p>
        </w:tc>
        <w:tc>
          <w:tcPr>
            <w:tcW w:w="1217" w:type="dxa"/>
            <w:tcBorders>
              <w:top w:val="nil"/>
              <w:bottom w:val="single" w:color="auto" w:sz="4" w:space="0"/>
            </w:tcBorders>
            <w:vAlign w:val="center"/>
          </w:tcPr>
          <w:p>
            <w:pPr>
              <w:widowControl w:val="0"/>
              <w:jc w:val="center"/>
              <w:rPr>
                <w:rFonts w:ascii="宋体" w:hAnsi="宋体" w:eastAsia="宋体" w:cs="宋体"/>
                <w:sz w:val="24"/>
                <w:szCs w:val="24"/>
              </w:rPr>
            </w:pPr>
          </w:p>
        </w:tc>
        <w:tc>
          <w:tcPr>
            <w:tcW w:w="6714" w:type="dxa"/>
            <w:gridSpan w:val="4"/>
            <w:tcBorders>
              <w:bottom w:val="single" w:color="auto" w:sz="4" w:space="0"/>
            </w:tcBorders>
            <w:vAlign w:val="center"/>
          </w:tcPr>
          <w:p>
            <w:pPr>
              <w:widowControl w:val="0"/>
              <w:jc w:val="both"/>
              <w:rPr>
                <w:rFonts w:ascii="宋体" w:hAnsi="宋体" w:eastAsia="宋体" w:cs="宋体"/>
                <w:sz w:val="24"/>
                <w:szCs w:val="24"/>
              </w:rPr>
            </w:pPr>
            <w:r>
              <w:rPr>
                <w:rFonts w:hint="eastAsia" w:ascii="宋体" w:hAnsi="宋体" w:eastAsia="宋体" w:cs="宋体"/>
                <w:color w:val="000000"/>
                <w:sz w:val="24"/>
                <w:szCs w:val="24"/>
              </w:rPr>
              <w:t>1.检查配电房照明和防潮灯及通风机是否正常。</w:t>
            </w:r>
          </w:p>
          <w:p>
            <w:pPr>
              <w:widowControl w:val="0"/>
              <w:jc w:val="both"/>
              <w:rPr>
                <w:rFonts w:ascii="宋体" w:hAnsi="宋体" w:eastAsia="宋体" w:cs="宋体"/>
                <w:sz w:val="24"/>
                <w:szCs w:val="24"/>
              </w:rPr>
            </w:pPr>
            <w:r>
              <w:rPr>
                <w:rFonts w:hint="eastAsia" w:ascii="宋体" w:hAnsi="宋体" w:eastAsia="宋体" w:cs="宋体"/>
                <w:color w:val="000000"/>
                <w:sz w:val="24"/>
                <w:szCs w:val="24"/>
              </w:rPr>
              <w:t>2.检查配电房屋面有否漏水，电缆沟是否积水，门窗有否破损。</w:t>
            </w:r>
          </w:p>
          <w:p>
            <w:pPr>
              <w:widowControl w:val="0"/>
              <w:jc w:val="both"/>
              <w:rPr>
                <w:rFonts w:ascii="宋体" w:hAnsi="宋体" w:eastAsia="宋体" w:cs="宋体"/>
                <w:sz w:val="24"/>
                <w:szCs w:val="24"/>
              </w:rPr>
            </w:pPr>
            <w:r>
              <w:rPr>
                <w:rFonts w:hint="eastAsia" w:ascii="宋体" w:hAnsi="宋体" w:eastAsia="宋体" w:cs="宋体"/>
                <w:color w:val="000000"/>
                <w:sz w:val="24"/>
                <w:szCs w:val="24"/>
              </w:rPr>
              <w:t>3.检查防鼠挡板是否完整，房内孔洞有否堵死。</w:t>
            </w:r>
          </w:p>
          <w:p>
            <w:pPr>
              <w:widowControl w:val="0"/>
              <w:jc w:val="both"/>
              <w:rPr>
                <w:rFonts w:ascii="宋体" w:hAnsi="宋体" w:eastAsia="宋体" w:cs="宋体"/>
                <w:sz w:val="24"/>
                <w:szCs w:val="24"/>
              </w:rPr>
            </w:pPr>
            <w:r>
              <w:rPr>
                <w:rFonts w:hint="eastAsia" w:ascii="宋体" w:hAnsi="宋体" w:eastAsia="宋体" w:cs="宋体"/>
                <w:color w:val="000000"/>
                <w:sz w:val="24"/>
                <w:szCs w:val="24"/>
              </w:rPr>
              <w:t>4.检查配电房门外通道是否畅顺,有否被堵现象。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148" w:type="dxa"/>
            <w:gridSpan w:val="6"/>
            <w:tcBorders>
              <w:top w:val="single" w:color="auto" w:sz="4" w:space="0"/>
            </w:tcBorders>
            <w:vAlign w:val="center"/>
          </w:tcPr>
          <w:p>
            <w:pPr>
              <w:widowControl w:val="0"/>
              <w:jc w:val="both"/>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考核结果应用：考核得分</w:t>
            </w:r>
            <w:r>
              <w:rPr>
                <w:rFonts w:hint="eastAsia" w:ascii="宋体" w:hAnsi="宋体" w:eastAsia="宋体" w:cs="宋体"/>
                <w:color w:val="000000"/>
                <w:sz w:val="24"/>
                <w:szCs w:val="24"/>
                <w:lang w:val="en-US" w:eastAsia="zh-CN"/>
              </w:rPr>
              <w:t>90及以上，不扣减结算金额；考核得分70（含）-90，按实际得分百分比结算；考核得分70以下，扣除当年度全部未结算款项，并可解除合同。</w:t>
            </w:r>
          </w:p>
        </w:tc>
      </w:tr>
    </w:tbl>
    <w:p>
      <w:pPr>
        <w:spacing w:after="0" w:line="560" w:lineRule="exact"/>
        <w:ind w:firstLine="562" w:firstLineChars="200"/>
        <w:rPr>
          <w:rFonts w:hint="eastAsia" w:ascii="仿宋" w:hAnsi="仿宋" w:eastAsia="仿宋" w:cs="仿宋"/>
          <w:b/>
          <w:bCs/>
          <w:sz w:val="28"/>
          <w:szCs w:val="28"/>
          <w:lang w:eastAsia="zh-CN"/>
        </w:rPr>
      </w:pPr>
      <w:r>
        <w:rPr>
          <w:rFonts w:hint="eastAsia" w:ascii="仿宋" w:hAnsi="仿宋" w:eastAsia="仿宋" w:cs="仿宋"/>
          <w:b/>
          <w:bCs/>
          <w:sz w:val="28"/>
          <w:szCs w:val="28"/>
        </w:rPr>
        <w:t>五、</w:t>
      </w:r>
      <w:r>
        <w:rPr>
          <w:rFonts w:hint="eastAsia" w:ascii="仿宋" w:hAnsi="仿宋" w:eastAsia="仿宋" w:cs="仿宋"/>
          <w:b/>
          <w:bCs/>
          <w:sz w:val="28"/>
          <w:szCs w:val="28"/>
          <w:lang w:eastAsia="zh-CN"/>
        </w:rPr>
        <w:t>主要</w:t>
      </w:r>
      <w:r>
        <w:rPr>
          <w:rFonts w:hint="eastAsia" w:ascii="仿宋" w:hAnsi="仿宋" w:eastAsia="仿宋" w:cs="仿宋"/>
          <w:b/>
          <w:bCs/>
          <w:sz w:val="28"/>
          <w:szCs w:val="28"/>
        </w:rPr>
        <w:t>维护易损件服务项目</w:t>
      </w:r>
      <w:r>
        <w:rPr>
          <w:rFonts w:hint="eastAsia" w:ascii="仿宋" w:hAnsi="仿宋" w:eastAsia="仿宋" w:cs="仿宋"/>
          <w:b/>
          <w:bCs/>
          <w:sz w:val="28"/>
          <w:szCs w:val="28"/>
          <w:lang w:eastAsia="zh-CN"/>
        </w:rPr>
        <w:t>表</w:t>
      </w:r>
    </w:p>
    <w:tbl>
      <w:tblPr>
        <w:tblStyle w:val="3"/>
        <w:tblW w:w="9105" w:type="dxa"/>
        <w:tblInd w:w="16" w:type="dxa"/>
        <w:tblLayout w:type="fixed"/>
        <w:tblCellMar>
          <w:top w:w="0" w:type="dxa"/>
          <w:left w:w="108" w:type="dxa"/>
          <w:bottom w:w="0" w:type="dxa"/>
          <w:right w:w="108" w:type="dxa"/>
        </w:tblCellMar>
      </w:tblPr>
      <w:tblGrid>
        <w:gridCol w:w="995"/>
        <w:gridCol w:w="3685"/>
        <w:gridCol w:w="2115"/>
        <w:gridCol w:w="2310"/>
      </w:tblGrid>
      <w:tr>
        <w:tblPrEx>
          <w:tblCellMar>
            <w:top w:w="0" w:type="dxa"/>
            <w:left w:w="108" w:type="dxa"/>
            <w:bottom w:w="0" w:type="dxa"/>
            <w:right w:w="108" w:type="dxa"/>
          </w:tblCellMar>
        </w:tblPrEx>
        <w:trPr>
          <w:trHeight w:val="669" w:hRule="atLeast"/>
        </w:trPr>
        <w:tc>
          <w:tcPr>
            <w:tcW w:w="995" w:type="dxa"/>
            <w:tcBorders>
              <w:top w:val="single" w:color="000000" w:sz="8" w:space="0"/>
              <w:left w:val="single" w:color="000000" w:sz="8" w:space="0"/>
              <w:bottom w:val="single" w:color="000000" w:sz="4" w:space="0"/>
              <w:right w:val="single" w:color="000000" w:sz="4" w:space="0"/>
            </w:tcBorders>
            <w:noWrap/>
            <w:vAlign w:val="center"/>
          </w:tcPr>
          <w:p>
            <w:pPr>
              <w:jc w:val="center"/>
              <w:textAlignment w:val="center"/>
              <w:rPr>
                <w:rFonts w:ascii="宋体" w:hAnsi="宋体" w:eastAsia="宋体" w:cs="宋体"/>
                <w:b/>
                <w:bCs/>
                <w:sz w:val="24"/>
                <w:szCs w:val="24"/>
              </w:rPr>
            </w:pPr>
            <w:r>
              <w:rPr>
                <w:rFonts w:hint="eastAsia" w:ascii="宋体" w:hAnsi="宋体" w:eastAsia="宋体" w:cs="宋体"/>
                <w:b/>
                <w:bCs/>
                <w:sz w:val="24"/>
                <w:szCs w:val="24"/>
              </w:rPr>
              <w:t>序号</w:t>
            </w:r>
          </w:p>
        </w:tc>
        <w:tc>
          <w:tcPr>
            <w:tcW w:w="3685" w:type="dxa"/>
            <w:tcBorders>
              <w:top w:val="single" w:color="000000" w:sz="8"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b/>
                <w:bCs/>
                <w:sz w:val="24"/>
                <w:szCs w:val="24"/>
              </w:rPr>
            </w:pPr>
            <w:r>
              <w:rPr>
                <w:rFonts w:hint="eastAsia" w:ascii="宋体" w:hAnsi="宋体" w:eastAsia="宋体" w:cs="宋体"/>
                <w:b/>
                <w:bCs/>
                <w:sz w:val="24"/>
                <w:szCs w:val="24"/>
              </w:rPr>
              <w:t>材料名称</w:t>
            </w:r>
          </w:p>
        </w:tc>
        <w:tc>
          <w:tcPr>
            <w:tcW w:w="2115" w:type="dxa"/>
            <w:tcBorders>
              <w:top w:val="single" w:color="000000" w:sz="8"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b/>
                <w:bCs/>
                <w:sz w:val="24"/>
                <w:szCs w:val="24"/>
              </w:rPr>
            </w:pPr>
            <w:r>
              <w:rPr>
                <w:rFonts w:hint="eastAsia" w:ascii="宋体" w:hAnsi="宋体" w:eastAsia="宋体" w:cs="宋体"/>
                <w:b/>
                <w:bCs/>
                <w:sz w:val="24"/>
                <w:szCs w:val="24"/>
              </w:rPr>
              <w:t>规格</w:t>
            </w:r>
          </w:p>
        </w:tc>
        <w:tc>
          <w:tcPr>
            <w:tcW w:w="2310" w:type="dxa"/>
            <w:tcBorders>
              <w:top w:val="single" w:color="000000" w:sz="8"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b/>
                <w:bCs/>
                <w:sz w:val="24"/>
                <w:szCs w:val="24"/>
              </w:rPr>
            </w:pPr>
            <w:r>
              <w:rPr>
                <w:rFonts w:hint="eastAsia" w:ascii="宋体" w:hAnsi="宋体" w:eastAsia="宋体" w:cs="宋体"/>
                <w:b/>
                <w:bCs/>
                <w:sz w:val="24"/>
                <w:szCs w:val="24"/>
              </w:rPr>
              <w:t>单位</w:t>
            </w:r>
          </w:p>
        </w:tc>
      </w:tr>
      <w:tr>
        <w:tblPrEx>
          <w:tblCellMar>
            <w:top w:w="0" w:type="dxa"/>
            <w:left w:w="108" w:type="dxa"/>
            <w:bottom w:w="0" w:type="dxa"/>
            <w:right w:w="108" w:type="dxa"/>
          </w:tblCellMar>
        </w:tblPrEx>
        <w:trPr>
          <w:trHeight w:val="573" w:hRule="atLeast"/>
        </w:trPr>
        <w:tc>
          <w:tcPr>
            <w:tcW w:w="995" w:type="dxa"/>
            <w:tcBorders>
              <w:top w:val="single" w:color="000000" w:sz="4" w:space="0"/>
              <w:left w:val="single" w:color="000000" w:sz="8"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1</w:t>
            </w:r>
          </w:p>
        </w:tc>
        <w:tc>
          <w:tcPr>
            <w:tcW w:w="368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10kV负荷开关</w:t>
            </w:r>
          </w:p>
        </w:tc>
        <w:tc>
          <w:tcPr>
            <w:tcW w:w="211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630A</w:t>
            </w: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台</w:t>
            </w:r>
          </w:p>
        </w:tc>
      </w:tr>
      <w:tr>
        <w:tblPrEx>
          <w:tblCellMar>
            <w:top w:w="0" w:type="dxa"/>
            <w:left w:w="108" w:type="dxa"/>
            <w:bottom w:w="0" w:type="dxa"/>
            <w:right w:w="108" w:type="dxa"/>
          </w:tblCellMar>
        </w:tblPrEx>
        <w:trPr>
          <w:trHeight w:val="573" w:hRule="atLeast"/>
        </w:trPr>
        <w:tc>
          <w:tcPr>
            <w:tcW w:w="995" w:type="dxa"/>
            <w:tcBorders>
              <w:top w:val="single" w:color="000000" w:sz="4" w:space="0"/>
              <w:left w:val="single" w:color="000000" w:sz="8"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2</w:t>
            </w:r>
          </w:p>
        </w:tc>
        <w:tc>
          <w:tcPr>
            <w:tcW w:w="368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10kV避雷器</w:t>
            </w:r>
          </w:p>
        </w:tc>
        <w:tc>
          <w:tcPr>
            <w:tcW w:w="211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HY5WZ17/50</w:t>
            </w: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组</w:t>
            </w:r>
          </w:p>
        </w:tc>
      </w:tr>
      <w:tr>
        <w:tblPrEx>
          <w:tblCellMar>
            <w:top w:w="0" w:type="dxa"/>
            <w:left w:w="108" w:type="dxa"/>
            <w:bottom w:w="0" w:type="dxa"/>
            <w:right w:w="108" w:type="dxa"/>
          </w:tblCellMar>
        </w:tblPrEx>
        <w:trPr>
          <w:trHeight w:val="573" w:hRule="atLeast"/>
        </w:trPr>
        <w:tc>
          <w:tcPr>
            <w:tcW w:w="995" w:type="dxa"/>
            <w:tcBorders>
              <w:top w:val="single" w:color="000000" w:sz="4" w:space="0"/>
              <w:left w:val="single" w:color="000000" w:sz="8"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3</w:t>
            </w:r>
          </w:p>
        </w:tc>
        <w:tc>
          <w:tcPr>
            <w:tcW w:w="368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10kV电流互感器</w:t>
            </w:r>
          </w:p>
        </w:tc>
        <w:tc>
          <w:tcPr>
            <w:tcW w:w="211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CT 50/5</w:t>
            </w: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只</w:t>
            </w:r>
          </w:p>
        </w:tc>
      </w:tr>
      <w:tr>
        <w:tblPrEx>
          <w:tblCellMar>
            <w:top w:w="0" w:type="dxa"/>
            <w:left w:w="108" w:type="dxa"/>
            <w:bottom w:w="0" w:type="dxa"/>
            <w:right w:w="108" w:type="dxa"/>
          </w:tblCellMar>
        </w:tblPrEx>
        <w:trPr>
          <w:trHeight w:val="573" w:hRule="atLeast"/>
        </w:trPr>
        <w:tc>
          <w:tcPr>
            <w:tcW w:w="995" w:type="dxa"/>
            <w:tcBorders>
              <w:top w:val="single" w:color="000000" w:sz="4" w:space="0"/>
              <w:left w:val="single" w:color="000000" w:sz="8"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4</w:t>
            </w:r>
          </w:p>
        </w:tc>
        <w:tc>
          <w:tcPr>
            <w:tcW w:w="368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10kV电压互感器</w:t>
            </w:r>
          </w:p>
        </w:tc>
        <w:tc>
          <w:tcPr>
            <w:tcW w:w="211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PT 10/0.1kV</w:t>
            </w: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只</w:t>
            </w:r>
          </w:p>
        </w:tc>
      </w:tr>
      <w:tr>
        <w:tblPrEx>
          <w:tblCellMar>
            <w:top w:w="0" w:type="dxa"/>
            <w:left w:w="108" w:type="dxa"/>
            <w:bottom w:w="0" w:type="dxa"/>
            <w:right w:w="108" w:type="dxa"/>
          </w:tblCellMar>
        </w:tblPrEx>
        <w:trPr>
          <w:trHeight w:val="573" w:hRule="atLeast"/>
        </w:trPr>
        <w:tc>
          <w:tcPr>
            <w:tcW w:w="995" w:type="dxa"/>
            <w:tcBorders>
              <w:top w:val="single" w:color="000000" w:sz="4" w:space="0"/>
              <w:left w:val="single" w:color="000000" w:sz="8"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5</w:t>
            </w:r>
          </w:p>
        </w:tc>
        <w:tc>
          <w:tcPr>
            <w:tcW w:w="368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0.4kV断路器（含对应互感器）</w:t>
            </w:r>
          </w:p>
        </w:tc>
        <w:tc>
          <w:tcPr>
            <w:tcW w:w="211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1000A</w:t>
            </w: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台</w:t>
            </w:r>
          </w:p>
        </w:tc>
      </w:tr>
      <w:tr>
        <w:tblPrEx>
          <w:tblCellMar>
            <w:top w:w="0" w:type="dxa"/>
            <w:left w:w="108" w:type="dxa"/>
            <w:bottom w:w="0" w:type="dxa"/>
            <w:right w:w="108" w:type="dxa"/>
          </w:tblCellMar>
        </w:tblPrEx>
        <w:trPr>
          <w:trHeight w:val="573" w:hRule="atLeast"/>
        </w:trPr>
        <w:tc>
          <w:tcPr>
            <w:tcW w:w="995" w:type="dxa"/>
            <w:tcBorders>
              <w:top w:val="single" w:color="000000" w:sz="4" w:space="0"/>
              <w:left w:val="single" w:color="000000" w:sz="8"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6</w:t>
            </w:r>
          </w:p>
        </w:tc>
        <w:tc>
          <w:tcPr>
            <w:tcW w:w="368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0.4kV断路器（含对应互感器）</w:t>
            </w:r>
          </w:p>
        </w:tc>
        <w:tc>
          <w:tcPr>
            <w:tcW w:w="211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630A</w:t>
            </w: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台</w:t>
            </w:r>
          </w:p>
        </w:tc>
      </w:tr>
      <w:tr>
        <w:tblPrEx>
          <w:tblCellMar>
            <w:top w:w="0" w:type="dxa"/>
            <w:left w:w="108" w:type="dxa"/>
            <w:bottom w:w="0" w:type="dxa"/>
            <w:right w:w="108" w:type="dxa"/>
          </w:tblCellMar>
        </w:tblPrEx>
        <w:trPr>
          <w:trHeight w:val="573" w:hRule="atLeast"/>
        </w:trPr>
        <w:tc>
          <w:tcPr>
            <w:tcW w:w="995" w:type="dxa"/>
            <w:tcBorders>
              <w:top w:val="single" w:color="000000" w:sz="4" w:space="0"/>
              <w:left w:val="single" w:color="000000" w:sz="8"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7</w:t>
            </w:r>
          </w:p>
        </w:tc>
        <w:tc>
          <w:tcPr>
            <w:tcW w:w="368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0.4kV断路器（含对应互感器）</w:t>
            </w:r>
          </w:p>
        </w:tc>
        <w:tc>
          <w:tcPr>
            <w:tcW w:w="211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400A</w:t>
            </w: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台</w:t>
            </w:r>
          </w:p>
        </w:tc>
      </w:tr>
      <w:tr>
        <w:tblPrEx>
          <w:tblCellMar>
            <w:top w:w="0" w:type="dxa"/>
            <w:left w:w="108" w:type="dxa"/>
            <w:bottom w:w="0" w:type="dxa"/>
            <w:right w:w="108" w:type="dxa"/>
          </w:tblCellMar>
        </w:tblPrEx>
        <w:trPr>
          <w:trHeight w:val="573" w:hRule="atLeast"/>
        </w:trPr>
        <w:tc>
          <w:tcPr>
            <w:tcW w:w="995" w:type="dxa"/>
            <w:tcBorders>
              <w:top w:val="single" w:color="000000" w:sz="4" w:space="0"/>
              <w:left w:val="single" w:color="000000" w:sz="8"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8</w:t>
            </w:r>
          </w:p>
        </w:tc>
        <w:tc>
          <w:tcPr>
            <w:tcW w:w="368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0.4kV断路器（含对应互感器）</w:t>
            </w:r>
          </w:p>
        </w:tc>
        <w:tc>
          <w:tcPr>
            <w:tcW w:w="211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250A</w:t>
            </w: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台</w:t>
            </w:r>
          </w:p>
        </w:tc>
      </w:tr>
      <w:tr>
        <w:tblPrEx>
          <w:tblCellMar>
            <w:top w:w="0" w:type="dxa"/>
            <w:left w:w="108" w:type="dxa"/>
            <w:bottom w:w="0" w:type="dxa"/>
            <w:right w:w="108" w:type="dxa"/>
          </w:tblCellMar>
        </w:tblPrEx>
        <w:trPr>
          <w:trHeight w:val="573" w:hRule="atLeast"/>
        </w:trPr>
        <w:tc>
          <w:tcPr>
            <w:tcW w:w="995" w:type="dxa"/>
            <w:tcBorders>
              <w:top w:val="single" w:color="000000" w:sz="4" w:space="0"/>
              <w:left w:val="single" w:color="000000" w:sz="8"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9</w:t>
            </w:r>
          </w:p>
        </w:tc>
        <w:tc>
          <w:tcPr>
            <w:tcW w:w="368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0.4kV断路器（含对应互感器）</w:t>
            </w:r>
          </w:p>
        </w:tc>
        <w:tc>
          <w:tcPr>
            <w:tcW w:w="211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100A</w:t>
            </w: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台</w:t>
            </w:r>
          </w:p>
        </w:tc>
      </w:tr>
      <w:tr>
        <w:tblPrEx>
          <w:tblCellMar>
            <w:top w:w="0" w:type="dxa"/>
            <w:left w:w="108" w:type="dxa"/>
            <w:bottom w:w="0" w:type="dxa"/>
            <w:right w:w="108" w:type="dxa"/>
          </w:tblCellMar>
        </w:tblPrEx>
        <w:trPr>
          <w:trHeight w:val="573" w:hRule="atLeast"/>
        </w:trPr>
        <w:tc>
          <w:tcPr>
            <w:tcW w:w="995" w:type="dxa"/>
            <w:tcBorders>
              <w:top w:val="single" w:color="000000" w:sz="4" w:space="0"/>
              <w:left w:val="single" w:color="000000" w:sz="8"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10</w:t>
            </w:r>
          </w:p>
        </w:tc>
        <w:tc>
          <w:tcPr>
            <w:tcW w:w="368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0.4kV避雷器</w:t>
            </w:r>
          </w:p>
        </w:tc>
        <w:tc>
          <w:tcPr>
            <w:tcW w:w="211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HY1.5-0.28/1.3</w:t>
            </w: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组</w:t>
            </w:r>
          </w:p>
        </w:tc>
      </w:tr>
      <w:tr>
        <w:tblPrEx>
          <w:tblCellMar>
            <w:top w:w="0" w:type="dxa"/>
            <w:left w:w="108" w:type="dxa"/>
            <w:bottom w:w="0" w:type="dxa"/>
            <w:right w:w="108" w:type="dxa"/>
          </w:tblCellMar>
        </w:tblPrEx>
        <w:trPr>
          <w:trHeight w:val="573" w:hRule="atLeast"/>
        </w:trPr>
        <w:tc>
          <w:tcPr>
            <w:tcW w:w="995" w:type="dxa"/>
            <w:tcBorders>
              <w:top w:val="single" w:color="000000" w:sz="4" w:space="0"/>
              <w:left w:val="single" w:color="000000" w:sz="8"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11</w:t>
            </w:r>
          </w:p>
        </w:tc>
        <w:tc>
          <w:tcPr>
            <w:tcW w:w="368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10kV冷缩电缆终端头</w:t>
            </w:r>
          </w:p>
        </w:tc>
        <w:tc>
          <w:tcPr>
            <w:tcW w:w="211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3x70mm2</w:t>
            </w: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套</w:t>
            </w:r>
          </w:p>
        </w:tc>
      </w:tr>
      <w:tr>
        <w:tblPrEx>
          <w:tblCellMar>
            <w:top w:w="0" w:type="dxa"/>
            <w:left w:w="108" w:type="dxa"/>
            <w:bottom w:w="0" w:type="dxa"/>
            <w:right w:w="108" w:type="dxa"/>
          </w:tblCellMar>
        </w:tblPrEx>
        <w:trPr>
          <w:trHeight w:val="573" w:hRule="atLeast"/>
        </w:trPr>
        <w:tc>
          <w:tcPr>
            <w:tcW w:w="995" w:type="dxa"/>
            <w:tcBorders>
              <w:top w:val="single" w:color="000000" w:sz="4" w:space="0"/>
              <w:left w:val="single" w:color="000000" w:sz="8"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12</w:t>
            </w:r>
          </w:p>
        </w:tc>
        <w:tc>
          <w:tcPr>
            <w:tcW w:w="368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0.4kV冷缩终端电缆头</w:t>
            </w:r>
          </w:p>
        </w:tc>
        <w:tc>
          <w:tcPr>
            <w:tcW w:w="2115"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eastAsia="宋体" w:cs="宋体"/>
                <w:sz w:val="24"/>
                <w:szCs w:val="24"/>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套</w:t>
            </w:r>
          </w:p>
        </w:tc>
      </w:tr>
      <w:tr>
        <w:tblPrEx>
          <w:tblCellMar>
            <w:top w:w="0" w:type="dxa"/>
            <w:left w:w="108" w:type="dxa"/>
            <w:bottom w:w="0" w:type="dxa"/>
            <w:right w:w="108" w:type="dxa"/>
          </w:tblCellMar>
        </w:tblPrEx>
        <w:trPr>
          <w:trHeight w:val="590" w:hRule="atLeast"/>
        </w:trPr>
        <w:tc>
          <w:tcPr>
            <w:tcW w:w="995" w:type="dxa"/>
            <w:tcBorders>
              <w:top w:val="single" w:color="000000" w:sz="4" w:space="0"/>
              <w:left w:val="single" w:color="000000" w:sz="8"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13</w:t>
            </w:r>
          </w:p>
        </w:tc>
        <w:tc>
          <w:tcPr>
            <w:tcW w:w="3685"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照明应急灯具</w:t>
            </w:r>
          </w:p>
        </w:tc>
        <w:tc>
          <w:tcPr>
            <w:tcW w:w="2115"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eastAsia="宋体" w:cs="宋体"/>
                <w:sz w:val="24"/>
                <w:szCs w:val="24"/>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pPr>
              <w:jc w:val="center"/>
              <w:textAlignment w:val="center"/>
              <w:rPr>
                <w:rFonts w:ascii="宋体" w:hAnsi="宋体" w:eastAsia="宋体" w:cs="宋体"/>
                <w:sz w:val="24"/>
                <w:szCs w:val="24"/>
              </w:rPr>
            </w:pPr>
            <w:r>
              <w:rPr>
                <w:rFonts w:hint="eastAsia" w:ascii="宋体" w:hAnsi="宋体" w:eastAsia="宋体" w:cs="宋体"/>
                <w:sz w:val="24"/>
                <w:szCs w:val="24"/>
              </w:rPr>
              <w:t>组</w:t>
            </w:r>
          </w:p>
        </w:tc>
      </w:tr>
    </w:tbl>
    <w:p>
      <w:pPr>
        <w:spacing w:after="0"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备注：本表所列</w:t>
      </w:r>
      <w:r>
        <w:rPr>
          <w:rFonts w:hint="eastAsia" w:ascii="仿宋" w:hAnsi="仿宋" w:eastAsia="仿宋" w:cs="仿宋"/>
          <w:b/>
          <w:bCs/>
          <w:sz w:val="28"/>
          <w:szCs w:val="28"/>
          <w:lang w:eastAsia="zh-CN"/>
        </w:rPr>
        <w:t>项目</w:t>
      </w:r>
      <w:r>
        <w:rPr>
          <w:rFonts w:hint="eastAsia" w:ascii="仿宋" w:hAnsi="仿宋" w:eastAsia="仿宋" w:cs="仿宋"/>
          <w:b/>
          <w:bCs/>
          <w:sz w:val="28"/>
          <w:szCs w:val="28"/>
        </w:rPr>
        <w:t>为配电室设备运维期间常用易损配件。服务周期内如发生配件损耗需开展更换维修工作，由成交人全权负责实施。相关费用结算按照供应商实际进货发票价格</w:t>
      </w:r>
      <w:r>
        <w:rPr>
          <w:rFonts w:hint="eastAsia" w:ascii="仿宋" w:hAnsi="仿宋" w:eastAsia="仿宋" w:cs="仿宋"/>
          <w:b/>
          <w:bCs/>
          <w:sz w:val="28"/>
          <w:szCs w:val="28"/>
          <w:lang w:eastAsia="zh-CN"/>
        </w:rPr>
        <w:t>和所报上浮率</w:t>
      </w:r>
      <w:r>
        <w:rPr>
          <w:rFonts w:hint="eastAsia" w:ascii="仿宋" w:hAnsi="仿宋" w:eastAsia="仿宋" w:cs="仿宋"/>
          <w:b/>
          <w:bCs/>
          <w:sz w:val="28"/>
          <w:szCs w:val="28"/>
        </w:rPr>
        <w:t>进行核算，上浮比例</w:t>
      </w:r>
      <w:r>
        <w:rPr>
          <w:rFonts w:hint="eastAsia" w:ascii="仿宋" w:hAnsi="仿宋" w:eastAsia="仿宋" w:cs="仿宋"/>
          <w:b/>
          <w:bCs/>
          <w:sz w:val="28"/>
          <w:szCs w:val="28"/>
          <w:lang w:eastAsia="zh-CN"/>
        </w:rPr>
        <w:t>报价</w:t>
      </w:r>
      <w:r>
        <w:rPr>
          <w:rFonts w:hint="eastAsia" w:ascii="仿宋" w:hAnsi="仿宋" w:eastAsia="仿宋" w:cs="仿宋"/>
          <w:b/>
          <w:bCs/>
          <w:sz w:val="28"/>
          <w:szCs w:val="28"/>
        </w:rPr>
        <w:t>不得超过5%。</w:t>
      </w:r>
    </w:p>
    <w:p>
      <w:pPr>
        <w:spacing w:after="0"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六、支付方式</w:t>
      </w:r>
    </w:p>
    <w:p>
      <w:pPr>
        <w:spacing w:after="0" w:line="560" w:lineRule="exact"/>
        <w:ind w:firstLine="560" w:firstLineChars="200"/>
        <w:rPr>
          <w:rFonts w:hint="eastAsia" w:ascii="仿宋" w:hAnsi="仿宋" w:eastAsia="仿宋" w:cs="仿宋"/>
          <w:sz w:val="28"/>
          <w:szCs w:val="28"/>
          <w:lang w:eastAsia="zh-CN"/>
        </w:rPr>
      </w:pPr>
      <w:bookmarkStart w:id="0" w:name="OLE_LINK1"/>
      <w:r>
        <w:rPr>
          <w:rFonts w:hint="eastAsia" w:ascii="仿宋" w:hAnsi="仿宋" w:eastAsia="仿宋" w:cs="仿宋"/>
          <w:sz w:val="28"/>
          <w:szCs w:val="28"/>
          <w:lang w:eastAsia="zh-CN"/>
        </w:rPr>
        <w:t>合同费用由巡检服务费和维修服务费两部分组成</w:t>
      </w:r>
      <w:bookmarkEnd w:id="0"/>
      <w:r>
        <w:rPr>
          <w:rFonts w:hint="eastAsia" w:ascii="仿宋" w:hAnsi="仿宋" w:eastAsia="仿宋" w:cs="仿宋"/>
          <w:sz w:val="28"/>
          <w:szCs w:val="28"/>
          <w:lang w:eastAsia="zh-CN"/>
        </w:rPr>
        <w:t>。</w:t>
      </w:r>
    </w:p>
    <w:p>
      <w:pPr>
        <w:spacing w:after="0" w:line="5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（一）巡检服务费</w:t>
      </w:r>
    </w:p>
    <w:p>
      <w:pPr>
        <w:spacing w:after="0"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合同签订后，成交人开具符合国家税务规定及采购方财务要求的发票，采购方自收到发票后30个工作日内支付合同价款的</w:t>
      </w:r>
      <w:r>
        <w:rPr>
          <w:rFonts w:hint="eastAsia" w:ascii="仿宋" w:hAnsi="仿宋" w:eastAsia="仿宋" w:cs="仿宋"/>
          <w:sz w:val="28"/>
          <w:szCs w:val="28"/>
          <w:lang w:val="en-US" w:eastAsia="zh-CN"/>
        </w:rPr>
        <w:t>20</w:t>
      </w:r>
      <w:r>
        <w:rPr>
          <w:rFonts w:hint="eastAsia" w:ascii="仿宋" w:hAnsi="仿宋" w:eastAsia="仿宋" w:cs="仿宋"/>
          <w:sz w:val="28"/>
          <w:szCs w:val="28"/>
        </w:rPr>
        <w:t>%；合同履行期满一年后，根据上一年度的年度考核结果，若考核结果合格双方无异议，成交人开具符合国家税务规定及采购方财务要求的发票，采购方自收到发票后30个工作日内支付合同价款的</w:t>
      </w:r>
      <w:r>
        <w:rPr>
          <w:rFonts w:hint="eastAsia" w:ascii="仿宋" w:hAnsi="仿宋" w:eastAsia="仿宋" w:cs="仿宋"/>
          <w:sz w:val="28"/>
          <w:szCs w:val="28"/>
          <w:lang w:val="en-US" w:eastAsia="zh-CN"/>
        </w:rPr>
        <w:t>30</w:t>
      </w:r>
      <w:r>
        <w:rPr>
          <w:rFonts w:hint="eastAsia" w:ascii="仿宋" w:hAnsi="仿宋" w:eastAsia="仿宋" w:cs="仿宋"/>
          <w:sz w:val="28"/>
          <w:szCs w:val="28"/>
        </w:rPr>
        <w:t>%或结合上一年度考核标准据实结算；合同期届满后，根据第二年度的年度考核结果，若考核结果合格双方无异议，成交人开具符合国家税务规定及采购方财务要求的发票，采购方自收到发票后30个工作日内支付合同总价款的</w:t>
      </w:r>
      <w:r>
        <w:rPr>
          <w:rFonts w:hint="eastAsia" w:ascii="仿宋" w:hAnsi="仿宋" w:eastAsia="仿宋" w:cs="仿宋"/>
          <w:sz w:val="28"/>
          <w:szCs w:val="28"/>
          <w:lang w:val="en-US" w:eastAsia="zh-CN"/>
        </w:rPr>
        <w:t>50</w:t>
      </w:r>
      <w:r>
        <w:rPr>
          <w:rFonts w:hint="eastAsia" w:ascii="仿宋" w:hAnsi="仿宋" w:eastAsia="仿宋" w:cs="仿宋"/>
          <w:sz w:val="28"/>
          <w:szCs w:val="28"/>
        </w:rPr>
        <w:t>％或结合上一年度考核标准据实结算。</w:t>
      </w:r>
    </w:p>
    <w:p>
      <w:pPr>
        <w:spacing w:after="0" w:line="5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（二）维修服务费</w:t>
      </w:r>
    </w:p>
    <w:p>
      <w:pPr>
        <w:spacing w:after="0" w:line="5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按照实际发生维修项目，成交人提供项目清单和进货发票，经双方核对无误，在每个年度据实一并结算。</w:t>
      </w:r>
    </w:p>
    <w:p>
      <w:pPr>
        <w:spacing w:after="0" w:line="560" w:lineRule="exact"/>
        <w:ind w:firstLine="560" w:firstLineChars="200"/>
        <w:rPr>
          <w:rFonts w:hint="eastAsia" w:ascii="仿宋" w:hAnsi="仿宋" w:eastAsia="仿宋" w:cs="仿宋"/>
          <w:sz w:val="28"/>
          <w:szCs w:val="28"/>
        </w:rPr>
      </w:pPr>
    </w:p>
    <w:p>
      <w:pPr>
        <w:pStyle w:val="2"/>
      </w:pPr>
    </w:p>
    <w:tbl>
      <w:tblPr>
        <w:tblStyle w:val="3"/>
        <w:tblpPr w:leftFromText="180" w:rightFromText="180" w:vertAnchor="text" w:horzAnchor="page" w:tblpX="1322" w:tblpY="925"/>
        <w:tblOverlap w:val="never"/>
        <w:tblW w:w="12431" w:type="dxa"/>
        <w:tblInd w:w="0" w:type="dxa"/>
        <w:tblLayout w:type="fixed"/>
        <w:tblCellMar>
          <w:top w:w="0" w:type="dxa"/>
          <w:left w:w="108" w:type="dxa"/>
          <w:bottom w:w="0" w:type="dxa"/>
          <w:right w:w="108" w:type="dxa"/>
        </w:tblCellMar>
      </w:tblPr>
      <w:tblGrid>
        <w:gridCol w:w="2376"/>
        <w:gridCol w:w="34"/>
        <w:gridCol w:w="1667"/>
        <w:gridCol w:w="1701"/>
        <w:gridCol w:w="1985"/>
        <w:gridCol w:w="2410"/>
        <w:gridCol w:w="2258"/>
      </w:tblGrid>
      <w:tr>
        <w:tblPrEx>
          <w:tblCellMar>
            <w:top w:w="0" w:type="dxa"/>
            <w:left w:w="108" w:type="dxa"/>
            <w:bottom w:w="0" w:type="dxa"/>
            <w:right w:w="108" w:type="dxa"/>
          </w:tblCellMar>
        </w:tblPrEx>
        <w:trPr>
          <w:trHeight w:val="555" w:hRule="atLeast"/>
        </w:trPr>
        <w:tc>
          <w:tcPr>
            <w:tcW w:w="2410" w:type="dxa"/>
            <w:gridSpan w:val="2"/>
            <w:tcBorders>
              <w:top w:val="nil"/>
              <w:left w:val="nil"/>
              <w:bottom w:val="nil"/>
              <w:right w:val="nil"/>
            </w:tcBorders>
          </w:tcPr>
          <w:p>
            <w:pPr>
              <w:jc w:val="center"/>
              <w:textAlignment w:val="center"/>
              <w:rPr>
                <w:rFonts w:ascii="仿宋" w:hAnsi="仿宋" w:eastAsia="仿宋" w:cs="仿宋"/>
                <w:b/>
                <w:bCs/>
                <w:sz w:val="44"/>
                <w:szCs w:val="44"/>
              </w:rPr>
            </w:pPr>
            <w:bookmarkStart w:id="1" w:name="OLE_LINK3"/>
            <w:bookmarkStart w:id="2" w:name="OLE_LINK2"/>
          </w:p>
        </w:tc>
        <w:tc>
          <w:tcPr>
            <w:tcW w:w="10021" w:type="dxa"/>
            <w:gridSpan w:val="5"/>
            <w:tcBorders>
              <w:top w:val="nil"/>
              <w:left w:val="nil"/>
              <w:bottom w:val="nil"/>
              <w:right w:val="nil"/>
            </w:tcBorders>
            <w:shd w:val="clear" w:color="auto" w:fill="auto"/>
            <w:noWrap/>
            <w:vAlign w:val="center"/>
          </w:tcPr>
          <w:p>
            <w:pPr>
              <w:textAlignment w:val="center"/>
              <w:rPr>
                <w:rFonts w:ascii="仿宋" w:hAnsi="仿宋" w:eastAsia="仿宋" w:cs="仿宋"/>
                <w:b/>
                <w:bCs/>
                <w:sz w:val="44"/>
                <w:szCs w:val="44"/>
              </w:rPr>
            </w:pPr>
            <w:r>
              <w:rPr>
                <w:rFonts w:hint="eastAsia" w:ascii="仿宋" w:hAnsi="仿宋" w:eastAsia="仿宋" w:cs="仿宋"/>
                <w:b/>
                <w:bCs/>
                <w:sz w:val="44"/>
                <w:szCs w:val="44"/>
              </w:rPr>
              <w:t xml:space="preserve">报价格式 </w:t>
            </w:r>
            <w:r>
              <w:rPr>
                <w:rStyle w:val="6"/>
                <w:rFonts w:ascii="仿宋" w:hAnsi="仿宋" w:eastAsia="仿宋" w:cs="仿宋"/>
                <w:color w:val="auto"/>
              </w:rPr>
              <w:t>单位：人民币  元（含税）</w:t>
            </w:r>
          </w:p>
        </w:tc>
      </w:tr>
      <w:tr>
        <w:tblPrEx>
          <w:tblCellMar>
            <w:top w:w="0" w:type="dxa"/>
            <w:left w:w="108" w:type="dxa"/>
            <w:bottom w:w="0" w:type="dxa"/>
            <w:right w:w="108" w:type="dxa"/>
          </w:tblCellMar>
        </w:tblPrEx>
        <w:trPr>
          <w:gridAfter w:val="1"/>
          <w:wAfter w:w="2258" w:type="dxa"/>
          <w:trHeight w:val="720" w:hRule="atLeast"/>
        </w:trPr>
        <w:tc>
          <w:tcPr>
            <w:tcW w:w="2376" w:type="dxa"/>
            <w:tcBorders>
              <w:top w:val="single" w:color="000000" w:sz="8" w:space="0"/>
              <w:left w:val="single" w:color="000000" w:sz="8" w:space="0"/>
              <w:bottom w:val="single" w:color="000000" w:sz="8" w:space="0"/>
              <w:right w:val="single" w:color="000000" w:sz="8" w:space="0"/>
            </w:tcBorders>
            <w:shd w:val="clear" w:color="auto" w:fill="auto"/>
          </w:tcPr>
          <w:p>
            <w:pPr>
              <w:jc w:val="center"/>
              <w:textAlignment w:val="top"/>
              <w:rPr>
                <w:rFonts w:ascii="仿宋" w:hAnsi="仿宋" w:eastAsia="仿宋" w:cs="仿宋"/>
                <w:b/>
                <w:bCs/>
              </w:rPr>
            </w:pPr>
            <w:r>
              <w:rPr>
                <w:rFonts w:hint="eastAsia" w:ascii="仿宋" w:hAnsi="仿宋" w:eastAsia="仿宋" w:cs="仿宋"/>
                <w:b/>
                <w:bCs/>
              </w:rPr>
              <w:t>服务内容</w:t>
            </w:r>
          </w:p>
        </w:tc>
        <w:tc>
          <w:tcPr>
            <w:tcW w:w="1701" w:type="dxa"/>
            <w:gridSpan w:val="2"/>
            <w:tcBorders>
              <w:top w:val="single" w:color="000000" w:sz="8" w:space="0"/>
              <w:left w:val="nil"/>
              <w:bottom w:val="single" w:color="000000" w:sz="8" w:space="0"/>
              <w:right w:val="single" w:color="000000" w:sz="8" w:space="0"/>
            </w:tcBorders>
            <w:shd w:val="clear" w:color="auto" w:fill="auto"/>
          </w:tcPr>
          <w:p>
            <w:pPr>
              <w:jc w:val="center"/>
              <w:textAlignment w:val="top"/>
              <w:rPr>
                <w:rFonts w:ascii="仿宋" w:hAnsi="仿宋" w:eastAsia="仿宋" w:cs="仿宋"/>
                <w:b/>
                <w:bCs/>
              </w:rPr>
            </w:pPr>
            <w:r>
              <w:rPr>
                <w:rFonts w:hint="eastAsia" w:ascii="仿宋" w:hAnsi="仿宋" w:eastAsia="仿宋" w:cs="仿宋"/>
                <w:b/>
                <w:bCs/>
              </w:rPr>
              <w:t>单位</w:t>
            </w:r>
          </w:p>
        </w:tc>
        <w:tc>
          <w:tcPr>
            <w:tcW w:w="1701" w:type="dxa"/>
            <w:tcBorders>
              <w:top w:val="single" w:color="000000" w:sz="8" w:space="0"/>
              <w:left w:val="nil"/>
              <w:bottom w:val="single" w:color="000000" w:sz="8" w:space="0"/>
              <w:right w:val="single" w:color="000000" w:sz="8" w:space="0"/>
            </w:tcBorders>
            <w:shd w:val="clear" w:color="auto" w:fill="auto"/>
          </w:tcPr>
          <w:p>
            <w:pPr>
              <w:jc w:val="center"/>
              <w:textAlignment w:val="top"/>
              <w:rPr>
                <w:rFonts w:ascii="仿宋" w:hAnsi="仿宋" w:eastAsia="仿宋" w:cs="仿宋"/>
                <w:b/>
                <w:bCs/>
              </w:rPr>
            </w:pPr>
            <w:r>
              <w:rPr>
                <w:rFonts w:hint="eastAsia" w:ascii="仿宋" w:hAnsi="仿宋" w:eastAsia="仿宋" w:cs="仿宋"/>
                <w:b/>
                <w:bCs/>
              </w:rPr>
              <w:t>最高限价（元）</w:t>
            </w:r>
          </w:p>
        </w:tc>
        <w:tc>
          <w:tcPr>
            <w:tcW w:w="1985" w:type="dxa"/>
            <w:tcBorders>
              <w:top w:val="single" w:color="000000" w:sz="8" w:space="0"/>
              <w:left w:val="nil"/>
              <w:bottom w:val="single" w:color="000000" w:sz="8" w:space="0"/>
              <w:right w:val="single" w:color="000000" w:sz="8" w:space="0"/>
            </w:tcBorders>
            <w:shd w:val="clear" w:color="auto" w:fill="auto"/>
          </w:tcPr>
          <w:p>
            <w:pPr>
              <w:jc w:val="center"/>
              <w:textAlignment w:val="top"/>
              <w:rPr>
                <w:rFonts w:hint="eastAsia" w:ascii="仿宋" w:hAnsi="仿宋" w:eastAsia="仿宋" w:cs="仿宋"/>
                <w:b/>
                <w:bCs/>
                <w:lang w:eastAsia="zh-CN"/>
              </w:rPr>
            </w:pPr>
            <w:r>
              <w:rPr>
                <w:rFonts w:hint="eastAsia" w:ascii="仿宋" w:hAnsi="仿宋" w:eastAsia="仿宋" w:cs="仿宋"/>
                <w:b/>
                <w:bCs/>
                <w:lang w:eastAsia="zh-CN"/>
              </w:rPr>
              <w:t>报价（元）</w:t>
            </w:r>
          </w:p>
        </w:tc>
        <w:tc>
          <w:tcPr>
            <w:tcW w:w="2410" w:type="dxa"/>
            <w:tcBorders>
              <w:top w:val="single" w:color="000000" w:sz="8" w:space="0"/>
              <w:left w:val="nil"/>
              <w:bottom w:val="single" w:color="000000" w:sz="8" w:space="0"/>
              <w:right w:val="single" w:color="000000" w:sz="8" w:space="0"/>
            </w:tcBorders>
          </w:tcPr>
          <w:p>
            <w:pPr>
              <w:jc w:val="center"/>
              <w:textAlignment w:val="top"/>
              <w:rPr>
                <w:rFonts w:ascii="仿宋" w:hAnsi="仿宋" w:eastAsia="仿宋" w:cs="仿宋"/>
                <w:b/>
                <w:bCs/>
              </w:rPr>
            </w:pPr>
            <w:r>
              <w:rPr>
                <w:rFonts w:hint="eastAsia" w:ascii="仿宋" w:hAnsi="仿宋" w:eastAsia="仿宋" w:cs="仿宋"/>
                <w:b/>
                <w:bCs/>
              </w:rPr>
              <w:t>数量</w:t>
            </w:r>
          </w:p>
        </w:tc>
      </w:tr>
      <w:tr>
        <w:tblPrEx>
          <w:tblCellMar>
            <w:top w:w="0" w:type="dxa"/>
            <w:left w:w="108" w:type="dxa"/>
            <w:bottom w:w="0" w:type="dxa"/>
            <w:right w:w="108" w:type="dxa"/>
          </w:tblCellMar>
        </w:tblPrEx>
        <w:trPr>
          <w:gridAfter w:val="1"/>
          <w:wAfter w:w="2258" w:type="dxa"/>
          <w:trHeight w:val="870" w:hRule="atLeast"/>
        </w:trPr>
        <w:tc>
          <w:tcPr>
            <w:tcW w:w="2376" w:type="dxa"/>
            <w:tcBorders>
              <w:top w:val="nil"/>
              <w:left w:val="single" w:color="000000" w:sz="8" w:space="0"/>
              <w:bottom w:val="single" w:color="000000" w:sz="8" w:space="0"/>
              <w:right w:val="single" w:color="000000" w:sz="8" w:space="0"/>
            </w:tcBorders>
            <w:shd w:val="clear" w:color="auto" w:fill="auto"/>
          </w:tcPr>
          <w:p>
            <w:pPr>
              <w:jc w:val="center"/>
              <w:textAlignment w:val="top"/>
              <w:rPr>
                <w:rFonts w:ascii="仿宋" w:hAnsi="仿宋" w:eastAsia="仿宋" w:cs="仿宋"/>
                <w:sz w:val="24"/>
                <w:szCs w:val="24"/>
              </w:rPr>
            </w:pPr>
            <w:r>
              <w:rPr>
                <w:rFonts w:hint="eastAsia" w:ascii="仿宋" w:hAnsi="仿宋" w:eastAsia="仿宋" w:cs="仿宋"/>
                <w:sz w:val="24"/>
                <w:szCs w:val="24"/>
              </w:rPr>
              <w:t>2026年-2028年500KVA配电室巡检服务</w:t>
            </w:r>
          </w:p>
        </w:tc>
        <w:tc>
          <w:tcPr>
            <w:tcW w:w="1701" w:type="dxa"/>
            <w:gridSpan w:val="2"/>
            <w:tcBorders>
              <w:top w:val="nil"/>
              <w:left w:val="nil"/>
              <w:bottom w:val="single" w:color="000000" w:sz="8" w:space="0"/>
              <w:right w:val="single" w:color="000000" w:sz="8" w:space="0"/>
            </w:tcBorders>
            <w:shd w:val="clear" w:color="auto" w:fill="auto"/>
          </w:tcPr>
          <w:p>
            <w:pPr>
              <w:jc w:val="center"/>
              <w:textAlignment w:val="top"/>
              <w:rPr>
                <w:rFonts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年</w:t>
            </w:r>
          </w:p>
        </w:tc>
        <w:tc>
          <w:tcPr>
            <w:tcW w:w="1701" w:type="dxa"/>
            <w:tcBorders>
              <w:top w:val="nil"/>
              <w:left w:val="nil"/>
              <w:bottom w:val="single" w:color="000000" w:sz="8" w:space="0"/>
              <w:right w:val="single" w:color="000000" w:sz="8" w:space="0"/>
            </w:tcBorders>
            <w:shd w:val="clear" w:color="auto" w:fill="auto"/>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45734</w:t>
            </w:r>
          </w:p>
        </w:tc>
        <w:tc>
          <w:tcPr>
            <w:tcW w:w="1985" w:type="dxa"/>
            <w:tcBorders>
              <w:top w:val="nil"/>
              <w:left w:val="nil"/>
              <w:bottom w:val="single" w:color="000000" w:sz="8" w:space="0"/>
              <w:right w:val="single" w:color="000000" w:sz="8" w:space="0"/>
            </w:tcBorders>
            <w:shd w:val="clear" w:color="auto" w:fill="auto"/>
          </w:tcPr>
          <w:p>
            <w:pPr>
              <w:ind w:firstLine="480" w:firstLineChars="200"/>
              <w:jc w:val="center"/>
              <w:textAlignment w:val="top"/>
              <w:rPr>
                <w:rFonts w:ascii="仿宋" w:hAnsi="仿宋" w:eastAsia="仿宋" w:cs="仿宋"/>
                <w:sz w:val="24"/>
                <w:szCs w:val="24"/>
              </w:rPr>
            </w:pPr>
          </w:p>
        </w:tc>
        <w:tc>
          <w:tcPr>
            <w:tcW w:w="2410" w:type="dxa"/>
            <w:tcBorders>
              <w:top w:val="nil"/>
              <w:left w:val="nil"/>
              <w:bottom w:val="single" w:color="000000" w:sz="8" w:space="0"/>
              <w:right w:val="single" w:color="000000" w:sz="8" w:space="0"/>
            </w:tcBorders>
          </w:tcPr>
          <w:p>
            <w:pPr>
              <w:ind w:firstLine="480" w:firstLineChars="200"/>
              <w:jc w:val="center"/>
              <w:textAlignment w:val="top"/>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r>
      <w:bookmarkEnd w:id="1"/>
    </w:tbl>
    <w:p>
      <w:pPr>
        <w:pStyle w:val="7"/>
        <w:widowControl w:val="0"/>
        <w:spacing w:line="500" w:lineRule="atLeast"/>
        <w:ind w:firstLine="0" w:firstLineChars="0"/>
        <w:rPr>
          <w:rFonts w:hint="eastAsia" w:ascii="仿宋_GB2312" w:hAnsi="仿宋_GB2312" w:cs="仿宋_GB2312"/>
          <w:kern w:val="2"/>
          <w:sz w:val="28"/>
          <w:szCs w:val="28"/>
        </w:rPr>
      </w:pPr>
    </w:p>
    <w:p>
      <w:pPr>
        <w:spacing w:after="0" w:line="560" w:lineRule="exact"/>
        <w:ind w:firstLine="560" w:firstLineChars="200"/>
        <w:rPr>
          <w:rFonts w:hint="eastAsia" w:ascii="仿宋" w:hAnsi="仿宋" w:eastAsia="仿宋" w:cs="仿宋"/>
          <w:sz w:val="28"/>
          <w:szCs w:val="28"/>
        </w:rPr>
      </w:pPr>
    </w:p>
    <w:p>
      <w:pPr>
        <w:spacing w:after="0" w:line="560" w:lineRule="exact"/>
        <w:ind w:firstLine="560" w:firstLineChars="200"/>
        <w:rPr>
          <w:rFonts w:hint="eastAsia" w:ascii="仿宋" w:hAnsi="仿宋" w:eastAsia="仿宋" w:cs="仿宋"/>
          <w:sz w:val="28"/>
          <w:szCs w:val="28"/>
        </w:rPr>
      </w:pPr>
    </w:p>
    <w:p>
      <w:pPr>
        <w:spacing w:after="0" w:line="56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报价人报价时</w:t>
      </w:r>
      <w:r>
        <w:rPr>
          <w:rFonts w:hint="eastAsia" w:ascii="仿宋" w:hAnsi="仿宋" w:eastAsia="仿宋" w:cs="仿宋"/>
          <w:b/>
          <w:bCs/>
          <w:sz w:val="28"/>
          <w:szCs w:val="28"/>
          <w:lang w:eastAsia="zh-CN"/>
        </w:rPr>
        <w:t>须</w:t>
      </w:r>
      <w:r>
        <w:rPr>
          <w:rFonts w:hint="eastAsia" w:ascii="仿宋" w:hAnsi="仿宋" w:eastAsia="仿宋" w:cs="仿宋"/>
          <w:b/>
          <w:bCs/>
          <w:sz w:val="28"/>
          <w:szCs w:val="28"/>
        </w:rPr>
        <w:t>单独提供维修易损件</w:t>
      </w:r>
      <w:r>
        <w:rPr>
          <w:rFonts w:hint="eastAsia" w:ascii="仿宋" w:hAnsi="仿宋" w:eastAsia="仿宋" w:cs="仿宋"/>
          <w:b/>
          <w:bCs/>
          <w:sz w:val="28"/>
          <w:szCs w:val="28"/>
          <w:highlight w:val="none"/>
        </w:rPr>
        <w:t>上浮率</w:t>
      </w:r>
      <w:r>
        <w:rPr>
          <w:rFonts w:hint="eastAsia" w:ascii="仿宋" w:hAnsi="仿宋" w:eastAsia="仿宋" w:cs="仿宋"/>
          <w:b/>
          <w:bCs/>
          <w:sz w:val="28"/>
          <w:szCs w:val="28"/>
        </w:rPr>
        <w:t>报价单作为附件并且加盖公章，报价格式为：</w:t>
      </w:r>
    </w:p>
    <w:tbl>
      <w:tblPr>
        <w:tblStyle w:val="3"/>
        <w:tblW w:w="9072" w:type="dxa"/>
        <w:tblInd w:w="16" w:type="dxa"/>
        <w:tblLayout w:type="fixed"/>
        <w:tblCellMar>
          <w:top w:w="0" w:type="dxa"/>
          <w:left w:w="108" w:type="dxa"/>
          <w:bottom w:w="0" w:type="dxa"/>
          <w:right w:w="108" w:type="dxa"/>
        </w:tblCellMar>
      </w:tblPr>
      <w:tblGrid>
        <w:gridCol w:w="3296"/>
        <w:gridCol w:w="5776"/>
      </w:tblGrid>
      <w:tr>
        <w:tblPrEx>
          <w:tblCellMar>
            <w:top w:w="0" w:type="dxa"/>
            <w:left w:w="108" w:type="dxa"/>
            <w:bottom w:w="0" w:type="dxa"/>
            <w:right w:w="108" w:type="dxa"/>
          </w:tblCellMar>
        </w:tblPrEx>
        <w:trPr>
          <w:trHeight w:val="669" w:hRule="atLeast"/>
        </w:trPr>
        <w:tc>
          <w:tcPr>
            <w:tcW w:w="3296" w:type="dxa"/>
            <w:tcBorders>
              <w:top w:val="single" w:color="000000" w:sz="8" w:space="0"/>
              <w:left w:val="single" w:color="000000" w:sz="4" w:space="0"/>
              <w:bottom w:val="single" w:color="000000" w:sz="4" w:space="0"/>
              <w:right w:val="single" w:color="000000" w:sz="4" w:space="0"/>
            </w:tcBorders>
            <w:noWrap/>
            <w:vAlign w:val="center"/>
          </w:tcPr>
          <w:p>
            <w:pPr>
              <w:spacing w:after="0" w:line="560" w:lineRule="exact"/>
              <w:ind w:firstLine="0" w:firstLineChars="0"/>
              <w:rPr>
                <w:rFonts w:hint="eastAsia" w:ascii="仿宋" w:hAnsi="仿宋" w:eastAsia="仿宋" w:cs="仿宋"/>
                <w:sz w:val="28"/>
                <w:szCs w:val="28"/>
                <w:lang w:eastAsia="zh-CN"/>
              </w:rPr>
            </w:pPr>
            <w:r>
              <w:rPr>
                <w:rFonts w:hint="eastAsia" w:ascii="仿宋" w:hAnsi="仿宋" w:eastAsia="仿宋" w:cs="仿宋"/>
                <w:sz w:val="28"/>
                <w:szCs w:val="28"/>
                <w:highlight w:val="none"/>
              </w:rPr>
              <w:t>上浮</w:t>
            </w:r>
            <w:r>
              <w:rPr>
                <w:rFonts w:hint="eastAsia" w:ascii="仿宋" w:hAnsi="仿宋" w:eastAsia="仿宋" w:cs="仿宋"/>
                <w:sz w:val="28"/>
                <w:szCs w:val="28"/>
                <w:highlight w:val="none"/>
                <w:lang w:eastAsia="zh-CN"/>
              </w:rPr>
              <w:t>率</w:t>
            </w:r>
            <w:r>
              <w:rPr>
                <w:rFonts w:hint="eastAsia" w:ascii="仿宋" w:hAnsi="仿宋" w:eastAsia="仿宋" w:cs="仿宋"/>
                <w:sz w:val="28"/>
                <w:szCs w:val="28"/>
                <w:highlight w:val="none"/>
              </w:rPr>
              <w:t>报价</w:t>
            </w:r>
            <w:r>
              <w:rPr>
                <w:rFonts w:hint="eastAsia" w:ascii="仿宋" w:hAnsi="仿宋" w:eastAsia="仿宋" w:cs="仿宋"/>
                <w:color w:val="auto"/>
                <w:sz w:val="28"/>
                <w:szCs w:val="28"/>
                <w:highlight w:val="none"/>
                <w:lang w:eastAsia="zh-CN"/>
              </w:rPr>
              <w:t>（不超过</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w:t>
            </w:r>
          </w:p>
        </w:tc>
        <w:tc>
          <w:tcPr>
            <w:tcW w:w="5776" w:type="dxa"/>
            <w:tcBorders>
              <w:top w:val="single" w:color="000000" w:sz="8" w:space="0"/>
              <w:left w:val="single" w:color="000000" w:sz="4" w:space="0"/>
              <w:bottom w:val="single" w:color="000000" w:sz="4" w:space="0"/>
              <w:right w:val="single" w:color="000000" w:sz="4" w:space="0"/>
            </w:tcBorders>
            <w:noWrap/>
            <w:vAlign w:val="center"/>
          </w:tcPr>
          <w:p>
            <w:pPr>
              <w:spacing w:after="0" w:line="560" w:lineRule="exact"/>
              <w:ind w:firstLine="560" w:firstLineChars="200"/>
              <w:rPr>
                <w:rFonts w:ascii="仿宋" w:hAnsi="仿宋" w:eastAsia="仿宋" w:cs="仿宋"/>
                <w:sz w:val="28"/>
                <w:szCs w:val="28"/>
                <w:u w:val="single"/>
              </w:rPr>
            </w:pP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 xml:space="preserve">       </w:t>
            </w:r>
          </w:p>
        </w:tc>
      </w:tr>
    </w:tbl>
    <w:p>
      <w:pPr>
        <w:pStyle w:val="7"/>
        <w:widowControl w:val="0"/>
        <w:spacing w:line="500" w:lineRule="atLeast"/>
        <w:ind w:firstLine="0" w:firstLineChars="0"/>
        <w:rPr>
          <w:rFonts w:ascii="仿宋_GB2312" w:hAnsi="仿宋_GB2312" w:cs="仿宋_GB2312"/>
          <w:kern w:val="2"/>
          <w:sz w:val="28"/>
          <w:szCs w:val="28"/>
        </w:rPr>
      </w:pPr>
    </w:p>
    <w:bookmarkEnd w:id="2"/>
    <w:p>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4BC905"/>
    <w:multiLevelType w:val="singleLevel"/>
    <w:tmpl w:val="5C4BC905"/>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0D1C9B"/>
    <w:rsid w:val="7E0D1C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2">
    <w:name w:val="heading 2"/>
    <w:basedOn w:val="1"/>
    <w:next w:val="1"/>
    <w:unhideWhenUsed/>
    <w:qFormat/>
    <w:uiPriority w:val="0"/>
    <w:pPr>
      <w:keepNext/>
      <w:keepLines/>
      <w:spacing w:line="560" w:lineRule="exact"/>
      <w:ind w:firstLine="800"/>
      <w:outlineLvl w:val="1"/>
    </w:pPr>
    <w:rPr>
      <w:rFonts w:ascii="Arial" w:hAnsi="Arial" w:eastAsia="仿宋"/>
      <w:sz w:val="32"/>
    </w:rPr>
  </w:style>
  <w:style w:type="character" w:default="1" w:styleId="5">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table" w:styleId="4">
    <w:name w:val="Table Grid"/>
    <w:basedOn w:val="3"/>
    <w:qFormat/>
    <w:uiPriority w:val="9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
    <w:name w:val="font41"/>
    <w:basedOn w:val="5"/>
    <w:qFormat/>
    <w:uiPriority w:val="0"/>
    <w:rPr>
      <w:rFonts w:hint="eastAsia" w:ascii="宋体" w:hAnsi="宋体" w:eastAsia="宋体" w:cs="宋体"/>
      <w:b/>
      <w:bCs/>
      <w:color w:val="000000"/>
      <w:sz w:val="24"/>
      <w:szCs w:val="24"/>
      <w:u w:val="none"/>
    </w:rPr>
  </w:style>
  <w:style w:type="paragraph" w:customStyle="1" w:styleId="7">
    <w:name w:val="列出段落1"/>
    <w:basedOn w:val="1"/>
    <w:qFormat/>
    <w:uiPriority w:val="34"/>
    <w:pPr>
      <w:ind w:firstLine="420" w:firstLineChars="200"/>
    </w:pPr>
    <w:rPr>
      <w:rFonts w:ascii="Times New Roman" w:hAnsi="Times New Roman" w:eastAsia="仿宋_GB2312"/>
      <w:sz w:val="32"/>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23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2026-07-06T08:10:00Z</dcterms:created>
  <dc:creator>罗莹</dc:creator>
  <cp:lastModifiedBy>罗莹</cp:lastModifiedBy>
  <dcterms:modified xsi:type="dcterms:W3CDTF">2026-07-06T08:48:48Z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E56C3B62E5A94E1086113FA7B82165DA</vt:lpwstr>
  </property>
</Properties>
</file>