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szCs w:val="21"/>
        </w:rPr>
      </w:pPr>
      <w:bookmarkStart w:id="0" w:name="_Toc246216323"/>
      <w:r>
        <w:rPr>
          <w:b/>
          <w:szCs w:val="21"/>
        </w:rPr>
        <w:drawing>
          <wp:anchor distT="0" distB="0" distL="114300" distR="114300" simplePos="0" relativeHeight="251666432" behindDoc="1" locked="0" layoutInCell="1" allowOverlap="1">
            <wp:simplePos x="0" y="0"/>
            <wp:positionH relativeFrom="page">
              <wp:posOffset>-8890</wp:posOffset>
            </wp:positionH>
            <wp:positionV relativeFrom="paragraph">
              <wp:posOffset>-904875</wp:posOffset>
            </wp:positionV>
            <wp:extent cx="7562215" cy="13004800"/>
            <wp:effectExtent l="0" t="0" r="635" b="0"/>
            <wp:wrapNone/>
            <wp:docPr id="5581095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095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581814" cy="13037693"/>
                    </a:xfrm>
                    <a:prstGeom prst="rect">
                      <a:avLst/>
                    </a:prstGeom>
                    <a:noFill/>
                    <a:ln>
                      <a:noFill/>
                    </a:ln>
                  </pic:spPr>
                </pic:pic>
              </a:graphicData>
            </a:graphic>
          </wp:anchor>
        </w:drawing>
      </w:r>
    </w:p>
    <w:p>
      <w:pPr>
        <w:spacing w:line="360" w:lineRule="auto"/>
        <w:rPr>
          <w:szCs w:val="21"/>
        </w:rPr>
      </w:pPr>
    </w:p>
    <w:p>
      <w:pPr>
        <w:spacing w:before="624" w:beforeLines="200" w:line="360" w:lineRule="auto"/>
        <w:ind w:firstLine="1676" w:firstLineChars="795"/>
        <w:jc w:val="left"/>
        <w:rPr>
          <w:b/>
          <w:szCs w:val="21"/>
        </w:rPr>
      </w:pPr>
    </w:p>
    <w:p>
      <w:pPr>
        <w:spacing w:before="624" w:beforeLines="200" w:line="360" w:lineRule="auto"/>
        <w:jc w:val="center"/>
        <w:rPr>
          <w:b/>
          <w:szCs w:val="21"/>
        </w:rPr>
      </w:pPr>
    </w:p>
    <w:p>
      <w:pPr>
        <w:spacing w:before="624" w:beforeLines="200" w:line="360" w:lineRule="auto"/>
        <w:jc w:val="left"/>
        <w:rPr>
          <w:b/>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r>
        <w:rPr>
          <w:rFonts w:ascii="Times New Roman" w:eastAsia="宋体"/>
          <w:b w:val="0"/>
          <w:sz w:val="21"/>
          <w:szCs w:val="21"/>
        </w:rPr>
        <mc:AlternateContent>
          <mc:Choice Requires="wps">
            <w:drawing>
              <wp:anchor distT="0" distB="0" distL="114300" distR="114300" simplePos="0" relativeHeight="251661312" behindDoc="0" locked="0" layoutInCell="1" allowOverlap="1">
                <wp:simplePos x="0" y="0"/>
                <wp:positionH relativeFrom="margin">
                  <wp:posOffset>-268605</wp:posOffset>
                </wp:positionH>
                <wp:positionV relativeFrom="paragraph">
                  <wp:posOffset>363855</wp:posOffset>
                </wp:positionV>
                <wp:extent cx="5722620" cy="1494155"/>
                <wp:effectExtent l="0" t="0" r="0" b="0"/>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5722620" cy="1494155"/>
                        </a:xfrm>
                        <a:prstGeom prst="rect">
                          <a:avLst/>
                        </a:prstGeom>
                        <a:noFill/>
                        <a:ln>
                          <a:noFill/>
                        </a:ln>
                      </wps:spPr>
                      <wps:txbx>
                        <w:txbxContent>
                          <w:p>
                            <w:pPr>
                              <w:spacing w:line="600" w:lineRule="auto"/>
                              <w:jc w:val="center"/>
                              <w:rPr>
                                <w:rFonts w:hint="eastAsia" w:ascii="黑体" w:hAnsi="黑体" w:eastAsia="黑体"/>
                                <w:b/>
                                <w:sz w:val="44"/>
                                <w:szCs w:val="44"/>
                              </w:rPr>
                            </w:pPr>
                            <w:r>
                              <w:rPr>
                                <w:rFonts w:hint="eastAsia" w:ascii="黑体" w:hAnsi="黑体" w:eastAsia="黑体"/>
                                <w:b/>
                                <w:sz w:val="44"/>
                                <w:szCs w:val="44"/>
                              </w:rPr>
                              <w:t>智慧变电多物理量气体监测传感模组</w:t>
                            </w:r>
                          </w:p>
                          <w:p>
                            <w:pPr>
                              <w:spacing w:line="600" w:lineRule="auto"/>
                              <w:jc w:val="center"/>
                              <w:rPr>
                                <w:rFonts w:hint="eastAsia" w:ascii="黑体" w:hAnsi="黑体" w:eastAsia="黑体"/>
                                <w:b/>
                                <w:sz w:val="44"/>
                                <w:szCs w:val="44"/>
                              </w:rPr>
                            </w:pPr>
                            <w:r>
                              <w:rPr>
                                <w:rFonts w:hint="eastAsia" w:ascii="黑体" w:hAnsi="黑体" w:eastAsia="黑体"/>
                                <w:b/>
                                <w:sz w:val="44"/>
                                <w:szCs w:val="44"/>
                              </w:rPr>
                              <w:t>技术规范书</w:t>
                            </w:r>
                          </w:p>
                          <w:p>
                            <w:pPr>
                              <w:spacing w:before="156"/>
                              <w:rPr>
                                <w:rFonts w:hint="eastAsia" w:ascii="黑体" w:hAnsi="黑体" w:eastAsia="黑体"/>
                                <w:sz w:val="36"/>
                                <w:szCs w:val="36"/>
                                <w:u w:val="single"/>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1.15pt;margin-top:28.65pt;height:117.65pt;width:450.6pt;mso-position-horizontal-relative:margin;z-index:251661312;mso-width-relative:page;mso-height-relative:page;" filled="f" stroked="f" coordsize="21600,21600" o:gfxdata="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WAAAAZHJzL1BLAQIUABQAAAAIAIdO&#10;4kA6y/Jh3AAAAAoBAAAPAAAAAAAAAAEAIAAAADgAAABkcnMvZG93bnJldi54bWxQSwECFAAUAAAA&#10;CACHTuJAIcngKQ0CAAAJBAAADgAAAAAAAAABACAAAABBAQAAZHJzL2Uyb0RvYy54bWxQSwUGAAAA&#10;AAYABgBZAQAAwAUAAAAA&#10;">
                <v:fill on="f" focussize="0,0"/>
                <v:stroke on="f"/>
                <v:imagedata o:title=""/>
                <o:lock v:ext="edit" aspectratio="f"/>
                <v:textbox>
                  <w:txbxContent>
                    <w:p>
                      <w:pPr>
                        <w:spacing w:line="600" w:lineRule="auto"/>
                        <w:jc w:val="center"/>
                        <w:rPr>
                          <w:rFonts w:hint="eastAsia" w:ascii="黑体" w:hAnsi="黑体" w:eastAsia="黑体"/>
                          <w:b/>
                          <w:sz w:val="44"/>
                          <w:szCs w:val="44"/>
                        </w:rPr>
                      </w:pPr>
                      <w:r>
                        <w:rPr>
                          <w:rFonts w:hint="eastAsia" w:ascii="黑体" w:hAnsi="黑体" w:eastAsia="黑体"/>
                          <w:b/>
                          <w:sz w:val="44"/>
                          <w:szCs w:val="44"/>
                        </w:rPr>
                        <w:t>智慧变电多物理量气体监测传感模组</w:t>
                      </w:r>
                    </w:p>
                    <w:p>
                      <w:pPr>
                        <w:spacing w:line="600" w:lineRule="auto"/>
                        <w:jc w:val="center"/>
                        <w:rPr>
                          <w:rFonts w:hint="eastAsia" w:ascii="黑体" w:hAnsi="黑体" w:eastAsia="黑体"/>
                          <w:b/>
                          <w:sz w:val="44"/>
                          <w:szCs w:val="44"/>
                        </w:rPr>
                      </w:pPr>
                      <w:r>
                        <w:rPr>
                          <w:rFonts w:hint="eastAsia" w:ascii="黑体" w:hAnsi="黑体" w:eastAsia="黑体"/>
                          <w:b/>
                          <w:sz w:val="44"/>
                          <w:szCs w:val="44"/>
                        </w:rPr>
                        <w:t>技术规范书</w:t>
                      </w:r>
                    </w:p>
                    <w:p>
                      <w:pPr>
                        <w:spacing w:before="156"/>
                        <w:rPr>
                          <w:rFonts w:hint="eastAsia" w:ascii="黑体" w:hAnsi="黑体" w:eastAsia="黑体"/>
                          <w:sz w:val="36"/>
                          <w:szCs w:val="36"/>
                          <w:u w:val="single"/>
                        </w:rPr>
                      </w:pPr>
                    </w:p>
                  </w:txbxContent>
                </v:textbox>
              </v:rect>
            </w:pict>
          </mc:Fallback>
        </mc:AlternateContent>
      </w: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jc w:val="center"/>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p>
    <w:p>
      <w:pPr>
        <w:pStyle w:val="27"/>
        <w:tabs>
          <w:tab w:val="left" w:pos="1260"/>
          <w:tab w:val="right" w:leader="dot" w:pos="8296"/>
        </w:tabs>
        <w:spacing w:line="360" w:lineRule="auto"/>
        <w:rPr>
          <w:rFonts w:ascii="Times New Roman" w:eastAsia="宋体"/>
          <w:sz w:val="21"/>
          <w:szCs w:val="21"/>
        </w:rPr>
      </w:pPr>
      <w:r>
        <w:rPr>
          <w:rFonts w:ascii="Times New Roman" w:eastAsia="宋体"/>
          <w:b w:val="0"/>
          <w:sz w:val="21"/>
          <w:szCs w:val="21"/>
        </w:rPr>
        <mc:AlternateContent>
          <mc:Choice Requires="wps">
            <w:drawing>
              <wp:anchor distT="0" distB="0" distL="114300" distR="114300" simplePos="0" relativeHeight="251662336" behindDoc="0" locked="0" layoutInCell="1" allowOverlap="1">
                <wp:simplePos x="0" y="0"/>
                <wp:positionH relativeFrom="margin">
                  <wp:posOffset>1105535</wp:posOffset>
                </wp:positionH>
                <wp:positionV relativeFrom="paragraph">
                  <wp:posOffset>153670</wp:posOffset>
                </wp:positionV>
                <wp:extent cx="3500755" cy="1066165"/>
                <wp:effectExtent l="0" t="0" r="0" b="0"/>
                <wp:wrapNone/>
                <wp:docPr id="13" name="矩形 13"/>
                <wp:cNvGraphicFramePr/>
                <a:graphic xmlns:a="http://schemas.openxmlformats.org/drawingml/2006/main">
                  <a:graphicData uri="http://schemas.microsoft.com/office/word/2010/wordprocessingShape">
                    <wps:wsp>
                      <wps:cNvSpPr>
                        <a:spLocks noChangeArrowheads="1"/>
                      </wps:cNvSpPr>
                      <wps:spPr bwMode="auto">
                        <a:xfrm>
                          <a:off x="0" y="0"/>
                          <a:ext cx="3500755" cy="1066263"/>
                        </a:xfrm>
                        <a:prstGeom prst="rect">
                          <a:avLst/>
                        </a:prstGeom>
                        <a:noFill/>
                        <a:ln>
                          <a:noFill/>
                        </a:ln>
                      </wps:spPr>
                      <wps:txbx>
                        <w:txbxContent>
                          <w:p>
                            <w:pPr>
                              <w:jc w:val="center"/>
                              <w:rPr>
                                <w:rFonts w:hint="eastAsia" w:ascii="楷体" w:hAnsi="楷体" w:eastAsia="楷体"/>
                                <w:sz w:val="32"/>
                                <w:szCs w:val="32"/>
                              </w:rPr>
                            </w:pPr>
                            <w:r>
                              <w:rPr>
                                <w:rFonts w:hint="eastAsia" w:ascii="楷体" w:hAnsi="楷体" w:eastAsia="楷体"/>
                                <w:sz w:val="32"/>
                                <w:szCs w:val="32"/>
                              </w:rPr>
                              <w:t>南方电网传感科技（广东）有限公司</w:t>
                            </w:r>
                          </w:p>
                          <w:p>
                            <w:pPr>
                              <w:jc w:val="center"/>
                              <w:rPr>
                                <w:rFonts w:hint="eastAsia" w:ascii="楷体" w:hAnsi="楷体" w:eastAsia="楷体"/>
                                <w:sz w:val="32"/>
                                <w:szCs w:val="32"/>
                              </w:rPr>
                            </w:pPr>
                            <w:r>
                              <w:rPr>
                                <w:rFonts w:ascii="楷体" w:hAnsi="楷体" w:eastAsia="楷体"/>
                                <w:sz w:val="32"/>
                                <w:szCs w:val="32"/>
                              </w:rPr>
                              <w:t>20</w:t>
                            </w:r>
                            <w:r>
                              <w:rPr>
                                <w:rFonts w:hint="eastAsia" w:ascii="楷体" w:hAnsi="楷体" w:eastAsia="楷体"/>
                                <w:sz w:val="32"/>
                                <w:szCs w:val="32"/>
                              </w:rPr>
                              <w:t>26年6月</w:t>
                            </w:r>
                          </w:p>
                          <w:p>
                            <w:pPr>
                              <w:pStyle w:val="16"/>
                            </w:pPr>
                          </w:p>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87.05pt;margin-top:12.1pt;height:83.95pt;width:275.65pt;mso-position-horizontal-relative:margin;z-index:251662336;mso-width-relative:page;mso-height-relative:page;" filled="f" stroked="f" coordsize="21600,21600" o:gfxdata="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yCJnxtoAAAAKAQAADwAAAAAAAAABACAAAAA4AAAAZHJzL2Rvd25yZXYueG1sUEsBAhQAFAAA&#10;AAgAh07iQBcKfTkQAgAACwQAAA4AAAAAAAAAAQAgAAAAPwEAAGRycy9lMm9Eb2MueG1sUEsFBgAA&#10;AAAGAAYAWQEAAMEFAAAAAA==&#10;">
                <v:fill on="f" focussize="0,0"/>
                <v:stroke on="f"/>
                <v:imagedata o:title=""/>
                <o:lock v:ext="edit" aspectratio="f"/>
                <v:textbox>
                  <w:txbxContent>
                    <w:p>
                      <w:pPr>
                        <w:jc w:val="center"/>
                        <w:rPr>
                          <w:rFonts w:hint="eastAsia" w:ascii="楷体" w:hAnsi="楷体" w:eastAsia="楷体"/>
                          <w:sz w:val="32"/>
                          <w:szCs w:val="32"/>
                        </w:rPr>
                      </w:pPr>
                      <w:r>
                        <w:rPr>
                          <w:rFonts w:hint="eastAsia" w:ascii="楷体" w:hAnsi="楷体" w:eastAsia="楷体"/>
                          <w:sz w:val="32"/>
                          <w:szCs w:val="32"/>
                        </w:rPr>
                        <w:t>南方电网传感科技（广东）有限公司</w:t>
                      </w:r>
                    </w:p>
                    <w:p>
                      <w:pPr>
                        <w:jc w:val="center"/>
                        <w:rPr>
                          <w:rFonts w:hint="eastAsia" w:ascii="楷体" w:hAnsi="楷体" w:eastAsia="楷体"/>
                          <w:sz w:val="32"/>
                          <w:szCs w:val="32"/>
                        </w:rPr>
                      </w:pPr>
                      <w:r>
                        <w:rPr>
                          <w:rFonts w:ascii="楷体" w:hAnsi="楷体" w:eastAsia="楷体"/>
                          <w:sz w:val="32"/>
                          <w:szCs w:val="32"/>
                        </w:rPr>
                        <w:t>20</w:t>
                      </w:r>
                      <w:r>
                        <w:rPr>
                          <w:rFonts w:hint="eastAsia" w:ascii="楷体" w:hAnsi="楷体" w:eastAsia="楷体"/>
                          <w:sz w:val="32"/>
                          <w:szCs w:val="32"/>
                        </w:rPr>
                        <w:t>26年6月</w:t>
                      </w:r>
                    </w:p>
                    <w:p>
                      <w:pPr>
                        <w:pStyle w:val="16"/>
                      </w:pPr>
                    </w:p>
                    <w:p/>
                  </w:txbxContent>
                </v:textbox>
              </v:rect>
            </w:pict>
          </mc:Fallback>
        </mc:AlternateContent>
      </w:r>
    </w:p>
    <w:p>
      <w:pPr>
        <w:pStyle w:val="27"/>
        <w:tabs>
          <w:tab w:val="left" w:pos="1260"/>
          <w:tab w:val="right" w:leader="dot" w:pos="8296"/>
        </w:tabs>
        <w:spacing w:line="360" w:lineRule="auto"/>
        <w:rPr>
          <w:rFonts w:ascii="Times New Roman" w:eastAsia="宋体"/>
          <w:sz w:val="21"/>
          <w:szCs w:val="21"/>
        </w:rPr>
      </w:pPr>
    </w:p>
    <w:p>
      <w:pPr>
        <w:jc w:val="center"/>
        <w:rPr>
          <w:bCs/>
          <w:sz w:val="44"/>
          <w:szCs w:val="44"/>
        </w:rPr>
      </w:pPr>
      <w:r>
        <w:rPr>
          <w:rFonts w:eastAsia="方正小标宋_GBK"/>
          <w:bCs/>
          <w:sz w:val="44"/>
          <w:szCs w:val="44"/>
        </w:rPr>
        <w:t>知识产权声明</w:t>
      </w:r>
    </w:p>
    <w:p>
      <w:pPr>
        <w:spacing w:line="560" w:lineRule="exact"/>
        <w:ind w:left="851"/>
        <w:jc w:val="center"/>
        <w:rPr>
          <w:b/>
          <w:sz w:val="32"/>
          <w:szCs w:val="32"/>
        </w:rPr>
      </w:pPr>
    </w:p>
    <w:p>
      <w:pPr>
        <w:spacing w:line="560" w:lineRule="exact"/>
        <w:ind w:left="850" w:firstLine="640" w:firstLineChars="200"/>
        <w:rPr>
          <w:rFonts w:eastAsia="仿宋_GB2312"/>
          <w:sz w:val="32"/>
          <w:szCs w:val="32"/>
        </w:rPr>
      </w:pPr>
      <w:r>
        <w:rPr>
          <w:rFonts w:eastAsia="仿宋_GB2312"/>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ind w:left="850"/>
        <w:rPr>
          <w:sz w:val="28"/>
          <w:szCs w:val="28"/>
        </w:rPr>
      </w:pPr>
    </w:p>
    <w:p>
      <w:pPr>
        <w:spacing w:line="560" w:lineRule="exact"/>
        <w:ind w:left="851" w:firstLine="560"/>
        <w:rPr>
          <w:sz w:val="28"/>
          <w:szCs w:val="28"/>
        </w:rPr>
      </w:pPr>
    </w:p>
    <w:p>
      <w:pPr>
        <w:spacing w:line="560" w:lineRule="exact"/>
        <w:ind w:left="851"/>
        <w:jc w:val="center"/>
        <w:rPr>
          <w:sz w:val="44"/>
          <w:szCs w:val="44"/>
        </w:rPr>
      </w:pPr>
      <w:r>
        <w:rPr>
          <w:sz w:val="44"/>
          <w:szCs w:val="44"/>
        </w:rPr>
        <w:t>Intellectual Property Rights Statement</w:t>
      </w:r>
    </w:p>
    <w:p>
      <w:pPr>
        <w:spacing w:line="560" w:lineRule="exact"/>
        <w:ind w:left="851" w:firstLine="640"/>
        <w:rPr>
          <w:sz w:val="32"/>
          <w:szCs w:val="32"/>
        </w:rPr>
      </w:pPr>
    </w:p>
    <w:p>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adjustRightInd w:val="0"/>
        <w:snapToGrid w:val="0"/>
        <w:rPr>
          <w:rFonts w:ascii="宋体" w:hAnsi="宋体" w:cs="宋体"/>
          <w:szCs w:val="21"/>
        </w:rPr>
        <w:sectPr>
          <w:pgSz w:w="11906" w:h="16838"/>
          <w:pgMar w:top="1440" w:right="1800" w:bottom="1440" w:left="1800" w:header="851" w:footer="992" w:gutter="0"/>
          <w:pgNumType w:start="1"/>
          <w:cols w:space="720" w:num="1"/>
          <w:docGrid w:type="lines" w:linePitch="312" w:charSpace="0"/>
        </w:sectPr>
      </w:pPr>
    </w:p>
    <w:sdt>
      <w:sdtPr>
        <w:rPr>
          <w:lang w:val="zh-CN"/>
        </w:rPr>
        <w:id w:val="1432247475"/>
        <w:docPartObj>
          <w:docPartGallery w:val="Table of Contents"/>
          <w:docPartUnique/>
        </w:docPartObj>
      </w:sdtPr>
      <w:sdtEndPr>
        <w:rPr>
          <w:b/>
          <w:bCs/>
          <w:szCs w:val="21"/>
          <w:lang w:val="zh-CN"/>
        </w:rPr>
      </w:sdtEndPr>
      <w:sdtContent>
        <w:p>
          <w:pPr>
            <w:spacing w:line="360" w:lineRule="auto"/>
            <w:jc w:val="center"/>
          </w:pPr>
          <w:bookmarkStart w:id="1" w:name="_Toc6735973"/>
          <w:bookmarkStart w:id="2" w:name="_Toc79155056"/>
          <w:r>
            <w:rPr>
              <w:lang w:val="zh-CN"/>
            </w:rPr>
            <w:t>目录</w:t>
          </w:r>
        </w:p>
        <w:p>
          <w:pPr>
            <w:pStyle w:val="27"/>
            <w:tabs>
              <w:tab w:val="right" w:leader="dot" w:pos="8306"/>
            </w:tabs>
          </w:pPr>
          <w:r>
            <w:rPr>
              <w:rFonts w:ascii="Times New Roman" w:eastAsia="宋体"/>
              <w:sz w:val="21"/>
              <w:szCs w:val="21"/>
            </w:rPr>
            <w:fldChar w:fldCharType="begin"/>
          </w:r>
          <w:r>
            <w:rPr>
              <w:rFonts w:ascii="Times New Roman" w:eastAsia="宋体"/>
              <w:sz w:val="21"/>
              <w:szCs w:val="21"/>
            </w:rPr>
            <w:instrText xml:space="preserve"> TOC \o "1-3" \h \z \u </w:instrText>
          </w:r>
          <w:r>
            <w:rPr>
              <w:rFonts w:ascii="Times New Roman" w:eastAsia="宋体"/>
              <w:sz w:val="21"/>
              <w:szCs w:val="21"/>
            </w:rPr>
            <w:fldChar w:fldCharType="separate"/>
          </w:r>
          <w:r>
            <w:fldChar w:fldCharType="begin"/>
          </w:r>
          <w:r>
            <w:instrText xml:space="preserve"> HYPERLINK \l "_Toc840668719" </w:instrText>
          </w:r>
          <w:r>
            <w:fldChar w:fldCharType="separate"/>
          </w:r>
          <w:r>
            <w:t>1. 总则</w:t>
          </w:r>
          <w:r>
            <w:tab/>
          </w:r>
          <w:r>
            <w:fldChar w:fldCharType="begin"/>
          </w:r>
          <w:r>
            <w:instrText xml:space="preserve"> PAGEREF _Toc840668719 \h </w:instrText>
          </w:r>
          <w:r>
            <w:fldChar w:fldCharType="separate"/>
          </w:r>
          <w:r>
            <w:t>1</w:t>
          </w:r>
          <w:r>
            <w:fldChar w:fldCharType="end"/>
          </w:r>
          <w:r>
            <w:fldChar w:fldCharType="end"/>
          </w:r>
        </w:p>
        <w:p>
          <w:pPr>
            <w:pStyle w:val="27"/>
            <w:tabs>
              <w:tab w:val="right" w:leader="dot" w:pos="8306"/>
            </w:tabs>
          </w:pPr>
          <w:r>
            <w:fldChar w:fldCharType="begin"/>
          </w:r>
          <w:r>
            <w:instrText xml:space="preserve"> HYPERLINK \l "_Toc1871855544" </w:instrText>
          </w:r>
          <w:r>
            <w:fldChar w:fldCharType="separate"/>
          </w:r>
          <w:r>
            <w:t>2. 工作范围</w:t>
          </w:r>
          <w:r>
            <w:tab/>
          </w:r>
          <w:r>
            <w:fldChar w:fldCharType="begin"/>
          </w:r>
          <w:r>
            <w:instrText xml:space="preserve"> PAGEREF _Toc1871855544 \h </w:instrText>
          </w:r>
          <w:r>
            <w:fldChar w:fldCharType="separate"/>
          </w:r>
          <w:r>
            <w:t>1</w:t>
          </w:r>
          <w:r>
            <w:fldChar w:fldCharType="end"/>
          </w:r>
          <w:r>
            <w:fldChar w:fldCharType="end"/>
          </w:r>
        </w:p>
        <w:p>
          <w:pPr>
            <w:pStyle w:val="30"/>
            <w:tabs>
              <w:tab w:val="right" w:leader="dot" w:pos="8306"/>
            </w:tabs>
          </w:pPr>
          <w:r>
            <w:fldChar w:fldCharType="begin"/>
          </w:r>
          <w:r>
            <w:instrText xml:space="preserve"> HYPERLINK \l "_Toc140232449" </w:instrText>
          </w:r>
          <w:r>
            <w:fldChar w:fldCharType="separate"/>
          </w:r>
          <w:r>
            <w:rPr>
              <w:rFonts w:hint="eastAsia" w:ascii="Times New Roman" w:eastAsia="黑体"/>
            </w:rPr>
            <w:t xml:space="preserve">2.1 </w:t>
          </w:r>
          <w:r>
            <w:rPr>
              <w:rFonts w:ascii="Times New Roman" w:eastAsia="黑体"/>
            </w:rPr>
            <w:t>供货范围</w:t>
          </w:r>
          <w:r>
            <w:tab/>
          </w:r>
          <w:r>
            <w:fldChar w:fldCharType="begin"/>
          </w:r>
          <w:r>
            <w:instrText xml:space="preserve"> PAGEREF _Toc140232449 \h </w:instrText>
          </w:r>
          <w:r>
            <w:fldChar w:fldCharType="separate"/>
          </w:r>
          <w:r>
            <w:t>1</w:t>
          </w:r>
          <w:r>
            <w:fldChar w:fldCharType="end"/>
          </w:r>
          <w:r>
            <w:fldChar w:fldCharType="end"/>
          </w:r>
        </w:p>
        <w:p>
          <w:pPr>
            <w:pStyle w:val="30"/>
            <w:tabs>
              <w:tab w:val="right" w:leader="dot" w:pos="8306"/>
            </w:tabs>
          </w:pPr>
          <w:r>
            <w:fldChar w:fldCharType="begin"/>
          </w:r>
          <w:r>
            <w:instrText xml:space="preserve"> HYPERLINK \l "_Toc1004908778" </w:instrText>
          </w:r>
          <w:r>
            <w:fldChar w:fldCharType="separate"/>
          </w:r>
          <w:r>
            <w:rPr>
              <w:rFonts w:ascii="Times New Roman" w:eastAsia="黑体"/>
            </w:rPr>
            <w:t>2.2 服务界限</w:t>
          </w:r>
          <w:r>
            <w:tab/>
          </w:r>
          <w:r>
            <w:fldChar w:fldCharType="begin"/>
          </w:r>
          <w:r>
            <w:instrText xml:space="preserve"> PAGEREF _Toc1004908778 \h </w:instrText>
          </w:r>
          <w:r>
            <w:fldChar w:fldCharType="separate"/>
          </w:r>
          <w:r>
            <w:t>2</w:t>
          </w:r>
          <w:r>
            <w:fldChar w:fldCharType="end"/>
          </w:r>
          <w:r>
            <w:fldChar w:fldCharType="end"/>
          </w:r>
        </w:p>
        <w:p>
          <w:pPr>
            <w:pStyle w:val="30"/>
            <w:tabs>
              <w:tab w:val="right" w:leader="dot" w:pos="8306"/>
            </w:tabs>
          </w:pPr>
          <w:r>
            <w:fldChar w:fldCharType="begin"/>
          </w:r>
          <w:r>
            <w:instrText xml:space="preserve"> HYPERLINK \l "_Toc1263715687" </w:instrText>
          </w:r>
          <w:r>
            <w:fldChar w:fldCharType="separate"/>
          </w:r>
          <w:r>
            <w:rPr>
              <w:rFonts w:ascii="Times New Roman" w:eastAsia="黑体"/>
            </w:rPr>
            <w:t>2.3 技术文件</w:t>
          </w:r>
          <w:r>
            <w:tab/>
          </w:r>
          <w:r>
            <w:fldChar w:fldCharType="begin"/>
          </w:r>
          <w:r>
            <w:instrText xml:space="preserve"> PAGEREF _Toc1263715687 \h </w:instrText>
          </w:r>
          <w:r>
            <w:fldChar w:fldCharType="separate"/>
          </w:r>
          <w:r>
            <w:t>2</w:t>
          </w:r>
          <w:r>
            <w:fldChar w:fldCharType="end"/>
          </w:r>
          <w:r>
            <w:fldChar w:fldCharType="end"/>
          </w:r>
        </w:p>
        <w:p>
          <w:pPr>
            <w:pStyle w:val="27"/>
            <w:tabs>
              <w:tab w:val="right" w:leader="dot" w:pos="8306"/>
            </w:tabs>
          </w:pPr>
          <w:r>
            <w:fldChar w:fldCharType="begin"/>
          </w:r>
          <w:r>
            <w:instrText xml:space="preserve"> HYPERLINK \l "_Toc868850791" </w:instrText>
          </w:r>
          <w:r>
            <w:fldChar w:fldCharType="separate"/>
          </w:r>
          <w:r>
            <w:t>3. 应遵循的主要标准</w:t>
          </w:r>
          <w:r>
            <w:tab/>
          </w:r>
          <w:r>
            <w:fldChar w:fldCharType="begin"/>
          </w:r>
          <w:r>
            <w:instrText xml:space="preserve"> PAGEREF _Toc868850791 \h </w:instrText>
          </w:r>
          <w:r>
            <w:fldChar w:fldCharType="separate"/>
          </w:r>
          <w:r>
            <w:t>2</w:t>
          </w:r>
          <w:r>
            <w:fldChar w:fldCharType="end"/>
          </w:r>
          <w:r>
            <w:fldChar w:fldCharType="end"/>
          </w:r>
        </w:p>
        <w:p>
          <w:pPr>
            <w:pStyle w:val="27"/>
            <w:tabs>
              <w:tab w:val="right" w:leader="dot" w:pos="8306"/>
            </w:tabs>
          </w:pPr>
          <w:r>
            <w:fldChar w:fldCharType="begin"/>
          </w:r>
          <w:r>
            <w:instrText xml:space="preserve"> HYPERLINK \l "_Toc1472963762" </w:instrText>
          </w:r>
          <w:r>
            <w:fldChar w:fldCharType="separate"/>
          </w:r>
          <w:r>
            <w:t xml:space="preserve">4. </w:t>
          </w:r>
          <w:r>
            <w:rPr>
              <w:rFonts w:hint="eastAsia"/>
            </w:rPr>
            <w:t>采购内容</w:t>
          </w:r>
          <w:r>
            <w:tab/>
          </w:r>
          <w:r>
            <w:fldChar w:fldCharType="begin"/>
          </w:r>
          <w:r>
            <w:instrText xml:space="preserve"> PAGEREF _Toc1472963762 \h </w:instrText>
          </w:r>
          <w:r>
            <w:fldChar w:fldCharType="separate"/>
          </w:r>
          <w:r>
            <w:t>4</w:t>
          </w:r>
          <w:r>
            <w:fldChar w:fldCharType="end"/>
          </w:r>
          <w:r>
            <w:fldChar w:fldCharType="end"/>
          </w:r>
        </w:p>
        <w:p>
          <w:pPr>
            <w:pStyle w:val="27"/>
            <w:tabs>
              <w:tab w:val="right" w:leader="dot" w:pos="8306"/>
            </w:tabs>
          </w:pPr>
          <w:r>
            <w:fldChar w:fldCharType="begin"/>
          </w:r>
          <w:r>
            <w:instrText xml:space="preserve"> HYPERLINK \l "_Toc1437143496" </w:instrText>
          </w:r>
          <w:r>
            <w:fldChar w:fldCharType="separate"/>
          </w:r>
          <w:r>
            <w:t>5. 技术要求</w:t>
          </w:r>
          <w:r>
            <w:tab/>
          </w:r>
          <w:r>
            <w:fldChar w:fldCharType="begin"/>
          </w:r>
          <w:r>
            <w:instrText xml:space="preserve"> PAGEREF _Toc1437143496 \h </w:instrText>
          </w:r>
          <w:r>
            <w:fldChar w:fldCharType="separate"/>
          </w:r>
          <w:r>
            <w:t>4</w:t>
          </w:r>
          <w:r>
            <w:fldChar w:fldCharType="end"/>
          </w:r>
          <w:r>
            <w:fldChar w:fldCharType="end"/>
          </w:r>
        </w:p>
        <w:p>
          <w:pPr>
            <w:pStyle w:val="30"/>
            <w:tabs>
              <w:tab w:val="right" w:leader="dot" w:pos="8306"/>
            </w:tabs>
          </w:pPr>
          <w:r>
            <w:fldChar w:fldCharType="begin"/>
          </w:r>
          <w:r>
            <w:instrText xml:space="preserve"> HYPERLINK \l "_Toc270701944" </w:instrText>
          </w:r>
          <w:r>
            <w:fldChar w:fldCharType="separate"/>
          </w:r>
          <w:r>
            <w:rPr>
              <w:rFonts w:ascii="Times New Roman"/>
              <w:szCs w:val="21"/>
            </w:rPr>
            <w:t>5.1. 使用条件</w:t>
          </w:r>
          <w:r>
            <w:tab/>
          </w:r>
          <w:r>
            <w:fldChar w:fldCharType="begin"/>
          </w:r>
          <w:r>
            <w:instrText xml:space="preserve"> PAGEREF _Toc270701944 \h </w:instrText>
          </w:r>
          <w:r>
            <w:fldChar w:fldCharType="separate"/>
          </w:r>
          <w:r>
            <w:t>4</w:t>
          </w:r>
          <w:r>
            <w:fldChar w:fldCharType="end"/>
          </w:r>
          <w:r>
            <w:fldChar w:fldCharType="end"/>
          </w:r>
        </w:p>
        <w:p>
          <w:pPr>
            <w:pStyle w:val="19"/>
            <w:tabs>
              <w:tab w:val="right" w:leader="dot" w:pos="8306"/>
            </w:tabs>
            <w:rPr>
              <w:i w:val="0"/>
              <w:iCs w:val="0"/>
            </w:rPr>
          </w:pPr>
          <w:r>
            <w:fldChar w:fldCharType="begin"/>
          </w:r>
          <w:r>
            <w:instrText xml:space="preserve"> HYPERLINK \l "_Toc875673926" </w:instrText>
          </w:r>
          <w:r>
            <w:fldChar w:fldCharType="separate"/>
          </w:r>
          <w:r>
            <w:rPr>
              <w:rFonts w:ascii="Times New Roman"/>
              <w:i w:val="0"/>
              <w:iCs w:val="0"/>
              <w:szCs w:val="21"/>
            </w:rPr>
            <w:t>5.1.1. 正常使用条件</w:t>
          </w:r>
          <w:r>
            <w:rPr>
              <w:i w:val="0"/>
              <w:iCs w:val="0"/>
            </w:rPr>
            <w:tab/>
          </w:r>
          <w:r>
            <w:rPr>
              <w:i w:val="0"/>
              <w:iCs w:val="0"/>
            </w:rPr>
            <w:fldChar w:fldCharType="begin"/>
          </w:r>
          <w:r>
            <w:rPr>
              <w:i w:val="0"/>
              <w:iCs w:val="0"/>
            </w:rPr>
            <w:instrText xml:space="preserve"> PAGEREF _Toc875673926 \h </w:instrText>
          </w:r>
          <w:r>
            <w:rPr>
              <w:i w:val="0"/>
              <w:iCs w:val="0"/>
            </w:rPr>
            <w:fldChar w:fldCharType="separate"/>
          </w:r>
          <w:r>
            <w:rPr>
              <w:i w:val="0"/>
              <w:iCs w:val="0"/>
            </w:rPr>
            <w:t>4</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"_Toc1933409500" </w:instrText>
          </w:r>
          <w:r>
            <w:fldChar w:fldCharType="separate"/>
          </w:r>
          <w:r>
            <w:rPr>
              <w:rFonts w:ascii="Times New Roman"/>
              <w:i w:val="0"/>
              <w:iCs w:val="0"/>
              <w:szCs w:val="21"/>
            </w:rPr>
            <w:t>5.1.2. 特殊使用条件</w:t>
          </w:r>
          <w:r>
            <w:rPr>
              <w:i w:val="0"/>
              <w:iCs w:val="0"/>
            </w:rPr>
            <w:tab/>
          </w:r>
          <w:r>
            <w:rPr>
              <w:i w:val="0"/>
              <w:iCs w:val="0"/>
            </w:rPr>
            <w:fldChar w:fldCharType="begin"/>
          </w:r>
          <w:r>
            <w:rPr>
              <w:i w:val="0"/>
              <w:iCs w:val="0"/>
            </w:rPr>
            <w:instrText xml:space="preserve"> PAGEREF _Toc1933409500 \h </w:instrText>
          </w:r>
          <w:r>
            <w:rPr>
              <w:i w:val="0"/>
              <w:iCs w:val="0"/>
            </w:rPr>
            <w:fldChar w:fldCharType="separate"/>
          </w:r>
          <w:r>
            <w:rPr>
              <w:i w:val="0"/>
              <w:iCs w:val="0"/>
            </w:rPr>
            <w:t>4</w:t>
          </w:r>
          <w:r>
            <w:rPr>
              <w:i w:val="0"/>
              <w:iCs w:val="0"/>
            </w:rPr>
            <w:fldChar w:fldCharType="end"/>
          </w:r>
          <w:r>
            <w:rPr>
              <w:i w:val="0"/>
              <w:iCs w:val="0"/>
            </w:rPr>
            <w:fldChar w:fldCharType="end"/>
          </w:r>
        </w:p>
        <w:p>
          <w:pPr>
            <w:pStyle w:val="30"/>
            <w:tabs>
              <w:tab w:val="right" w:leader="dot" w:pos="8306"/>
            </w:tabs>
          </w:pPr>
          <w:r>
            <w:fldChar w:fldCharType="begin"/>
          </w:r>
          <w:r>
            <w:instrText xml:space="preserve"> HYPERLINK \l "_Toc1963119487" </w:instrText>
          </w:r>
          <w:r>
            <w:fldChar w:fldCharType="separate"/>
          </w:r>
          <w:r>
            <w:rPr>
              <w:rFonts w:ascii="Times New Roman"/>
              <w:szCs w:val="21"/>
            </w:rPr>
            <w:t xml:space="preserve">5.2. </w:t>
          </w:r>
          <w:r>
            <w:rPr>
              <w:rFonts w:hint="eastAsia" w:ascii="Times New Roman"/>
              <w:szCs w:val="21"/>
            </w:rPr>
            <w:t>基本功能</w:t>
          </w:r>
          <w:r>
            <w:rPr>
              <w:rFonts w:ascii="Times New Roman"/>
              <w:szCs w:val="21"/>
            </w:rPr>
            <w:t>要求</w:t>
          </w:r>
          <w:r>
            <w:tab/>
          </w:r>
          <w:r>
            <w:fldChar w:fldCharType="begin"/>
          </w:r>
          <w:r>
            <w:instrText xml:space="preserve"> PAGEREF _Toc1963119487 \h </w:instrText>
          </w:r>
          <w:r>
            <w:fldChar w:fldCharType="separate"/>
          </w:r>
          <w:r>
            <w:t>5</w:t>
          </w:r>
          <w:r>
            <w:fldChar w:fldCharType="end"/>
          </w:r>
          <w:r>
            <w:fldChar w:fldCharType="end"/>
          </w:r>
        </w:p>
        <w:p>
          <w:pPr>
            <w:pStyle w:val="19"/>
            <w:tabs>
              <w:tab w:val="right" w:leader="dot" w:pos="8306"/>
            </w:tabs>
            <w:rPr>
              <w:i w:val="0"/>
              <w:iCs w:val="0"/>
            </w:rPr>
          </w:pPr>
          <w:r>
            <w:fldChar w:fldCharType="begin"/>
          </w:r>
          <w:r>
            <w:instrText xml:space="preserve"> HYPERLINK \l "_Toc1196171892" </w:instrText>
          </w:r>
          <w:r>
            <w:fldChar w:fldCharType="separate"/>
          </w:r>
          <w:r>
            <w:rPr>
              <w:rFonts w:ascii="Times New Roman"/>
              <w:i w:val="0"/>
              <w:iCs w:val="0"/>
              <w:szCs w:val="21"/>
            </w:rPr>
            <w:t xml:space="preserve">5.2.1. </w:t>
          </w:r>
          <w:r>
            <w:rPr>
              <w:rFonts w:hint="eastAsia" w:ascii="Times New Roman"/>
              <w:i w:val="0"/>
              <w:iCs w:val="0"/>
              <w:szCs w:val="21"/>
            </w:rPr>
            <w:t>机械表计模组</w:t>
          </w:r>
          <w:r>
            <w:rPr>
              <w:i w:val="0"/>
              <w:iCs w:val="0"/>
            </w:rPr>
            <w:tab/>
          </w:r>
          <w:r>
            <w:rPr>
              <w:i w:val="0"/>
              <w:iCs w:val="0"/>
            </w:rPr>
            <w:fldChar w:fldCharType="begin"/>
          </w:r>
          <w:r>
            <w:rPr>
              <w:i w:val="0"/>
              <w:iCs w:val="0"/>
            </w:rPr>
            <w:instrText xml:space="preserve"> PAGEREF _Toc1196171892 \h </w:instrText>
          </w:r>
          <w:r>
            <w:rPr>
              <w:i w:val="0"/>
              <w:iCs w:val="0"/>
            </w:rPr>
            <w:fldChar w:fldCharType="separate"/>
          </w:r>
          <w:r>
            <w:rPr>
              <w:i w:val="0"/>
              <w:iCs w:val="0"/>
            </w:rPr>
            <w:t>5</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"_Toc1187678925" </w:instrText>
          </w:r>
          <w:r>
            <w:fldChar w:fldCharType="separate"/>
          </w:r>
          <w:r>
            <w:rPr>
              <w:rFonts w:ascii="Times New Roman"/>
              <w:i w:val="0"/>
              <w:iCs w:val="0"/>
              <w:szCs w:val="21"/>
            </w:rPr>
            <w:t xml:space="preserve">5.2.2. </w:t>
          </w:r>
          <w:r>
            <w:rPr>
              <w:rFonts w:hint="eastAsia" w:ascii="Times New Roman"/>
              <w:i w:val="0"/>
              <w:iCs w:val="0"/>
              <w:szCs w:val="21"/>
            </w:rPr>
            <w:t>微水传感模组</w:t>
          </w:r>
          <w:r>
            <w:rPr>
              <w:i w:val="0"/>
              <w:iCs w:val="0"/>
            </w:rPr>
            <w:tab/>
          </w:r>
          <w:r>
            <w:rPr>
              <w:i w:val="0"/>
              <w:iCs w:val="0"/>
            </w:rPr>
            <w:fldChar w:fldCharType="begin"/>
          </w:r>
          <w:r>
            <w:rPr>
              <w:i w:val="0"/>
              <w:iCs w:val="0"/>
            </w:rPr>
            <w:instrText xml:space="preserve"> PAGEREF _Toc1187678925 \h </w:instrText>
          </w:r>
          <w:r>
            <w:rPr>
              <w:i w:val="0"/>
              <w:iCs w:val="0"/>
            </w:rPr>
            <w:fldChar w:fldCharType="separate"/>
          </w:r>
          <w:r>
            <w:rPr>
              <w:i w:val="0"/>
              <w:iCs w:val="0"/>
            </w:rPr>
            <w:t>5</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"_Toc2083499953" </w:instrText>
          </w:r>
          <w:r>
            <w:fldChar w:fldCharType="separate"/>
          </w:r>
          <w:r>
            <w:rPr>
              <w:rFonts w:ascii="Times New Roman"/>
              <w:i w:val="0"/>
              <w:iCs w:val="0"/>
              <w:szCs w:val="21"/>
            </w:rPr>
            <w:t xml:space="preserve">5.2.3. </w:t>
          </w:r>
          <w:r>
            <w:rPr>
              <w:rFonts w:hint="eastAsia" w:ascii="Times New Roman"/>
              <w:i w:val="0"/>
              <w:iCs w:val="0"/>
              <w:szCs w:val="21"/>
            </w:rPr>
            <w:t>结构机箱</w:t>
          </w:r>
          <w:r>
            <w:rPr>
              <w:i w:val="0"/>
              <w:iCs w:val="0"/>
            </w:rPr>
            <w:tab/>
          </w:r>
          <w:r>
            <w:rPr>
              <w:i w:val="0"/>
              <w:iCs w:val="0"/>
            </w:rPr>
            <w:fldChar w:fldCharType="begin"/>
          </w:r>
          <w:r>
            <w:rPr>
              <w:i w:val="0"/>
              <w:iCs w:val="0"/>
            </w:rPr>
            <w:instrText xml:space="preserve"> PAGEREF _Toc2083499953 \h </w:instrText>
          </w:r>
          <w:r>
            <w:rPr>
              <w:i w:val="0"/>
              <w:iCs w:val="0"/>
            </w:rPr>
            <w:fldChar w:fldCharType="separate"/>
          </w:r>
          <w:r>
            <w:rPr>
              <w:i w:val="0"/>
              <w:iCs w:val="0"/>
            </w:rPr>
            <w:t>5</w:t>
          </w:r>
          <w:r>
            <w:rPr>
              <w:i w:val="0"/>
              <w:iCs w:val="0"/>
            </w:rPr>
            <w:fldChar w:fldCharType="end"/>
          </w:r>
          <w:r>
            <w:rPr>
              <w:i w:val="0"/>
              <w:iCs w:val="0"/>
            </w:rPr>
            <w:fldChar w:fldCharType="end"/>
          </w:r>
        </w:p>
        <w:p>
          <w:pPr>
            <w:pStyle w:val="30"/>
            <w:tabs>
              <w:tab w:val="right" w:leader="dot" w:pos="8306"/>
            </w:tabs>
          </w:pPr>
          <w:r>
            <w:fldChar w:fldCharType="begin"/>
          </w:r>
          <w:r>
            <w:instrText xml:space="preserve"> HYPERLINK \l "_Toc1534872593" </w:instrText>
          </w:r>
          <w:r>
            <w:fldChar w:fldCharType="separate"/>
          </w:r>
          <w:r>
            <w:rPr>
              <w:rFonts w:ascii="Times New Roman"/>
              <w:szCs w:val="21"/>
            </w:rPr>
            <w:t>5.3. 性能要求</w:t>
          </w:r>
          <w:r>
            <w:tab/>
          </w:r>
          <w:r>
            <w:fldChar w:fldCharType="begin"/>
          </w:r>
          <w:r>
            <w:instrText xml:space="preserve"> PAGEREF _Toc1534872593 \h </w:instrText>
          </w:r>
          <w:r>
            <w:fldChar w:fldCharType="separate"/>
          </w:r>
          <w:r>
            <w:t>6</w:t>
          </w:r>
          <w:r>
            <w:fldChar w:fldCharType="end"/>
          </w:r>
          <w:r>
            <w:fldChar w:fldCharType="end"/>
          </w:r>
        </w:p>
        <w:p>
          <w:pPr>
            <w:pStyle w:val="19"/>
            <w:tabs>
              <w:tab w:val="right" w:leader="dot" w:pos="8306"/>
            </w:tabs>
            <w:rPr>
              <w:i w:val="0"/>
              <w:iCs w:val="0"/>
            </w:rPr>
          </w:pPr>
          <w:r>
            <w:fldChar w:fldCharType="begin"/>
          </w:r>
          <w:r>
            <w:instrText xml:space="preserve"> HYPERLINK \l "_Toc32889011" </w:instrText>
          </w:r>
          <w:r>
            <w:fldChar w:fldCharType="separate"/>
          </w:r>
          <w:r>
            <w:rPr>
              <w:rFonts w:ascii="Times New Roman"/>
              <w:i w:val="0"/>
              <w:iCs w:val="0"/>
              <w:szCs w:val="21"/>
            </w:rPr>
            <w:t xml:space="preserve">5.3.1. </w:t>
          </w:r>
          <w:r>
            <w:rPr>
              <w:rFonts w:hint="eastAsia" w:ascii="Times New Roman"/>
              <w:i w:val="0"/>
              <w:iCs w:val="0"/>
              <w:szCs w:val="21"/>
            </w:rPr>
            <w:t>机械表计模组性能</w:t>
          </w:r>
          <w:r>
            <w:rPr>
              <w:rFonts w:ascii="Times New Roman"/>
              <w:i w:val="0"/>
              <w:iCs w:val="0"/>
              <w:szCs w:val="21"/>
            </w:rPr>
            <w:t>要求</w:t>
          </w:r>
          <w:r>
            <w:rPr>
              <w:i w:val="0"/>
              <w:iCs w:val="0"/>
            </w:rPr>
            <w:tab/>
          </w:r>
          <w:r>
            <w:rPr>
              <w:i w:val="0"/>
              <w:iCs w:val="0"/>
            </w:rPr>
            <w:fldChar w:fldCharType="begin"/>
          </w:r>
          <w:r>
            <w:rPr>
              <w:i w:val="0"/>
              <w:iCs w:val="0"/>
            </w:rPr>
            <w:instrText xml:space="preserve"> PAGEREF _Toc32889011 \h </w:instrText>
          </w:r>
          <w:r>
            <w:rPr>
              <w:i w:val="0"/>
              <w:iCs w:val="0"/>
            </w:rPr>
            <w:fldChar w:fldCharType="separate"/>
          </w:r>
          <w:r>
            <w:rPr>
              <w:i w:val="0"/>
              <w:iCs w:val="0"/>
            </w:rPr>
            <w:t>6</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"_Toc236235713" </w:instrText>
          </w:r>
          <w:r>
            <w:fldChar w:fldCharType="separate"/>
          </w:r>
          <w:r>
            <w:rPr>
              <w:rFonts w:ascii="Times New Roman"/>
              <w:i w:val="0"/>
              <w:iCs w:val="0"/>
              <w:szCs w:val="21"/>
            </w:rPr>
            <w:t xml:space="preserve">5.3.2. </w:t>
          </w:r>
          <w:r>
            <w:rPr>
              <w:rFonts w:hint="eastAsia" w:ascii="Times New Roman"/>
              <w:i w:val="0"/>
              <w:iCs w:val="0"/>
              <w:szCs w:val="21"/>
            </w:rPr>
            <w:t>微水传感模组性能</w:t>
          </w:r>
          <w:r>
            <w:rPr>
              <w:rFonts w:ascii="Times New Roman"/>
              <w:i w:val="0"/>
              <w:iCs w:val="0"/>
              <w:szCs w:val="21"/>
            </w:rPr>
            <w:t>要求</w:t>
          </w:r>
          <w:r>
            <w:rPr>
              <w:i w:val="0"/>
              <w:iCs w:val="0"/>
            </w:rPr>
            <w:tab/>
          </w:r>
          <w:r>
            <w:rPr>
              <w:i w:val="0"/>
              <w:iCs w:val="0"/>
            </w:rPr>
            <w:fldChar w:fldCharType="begin"/>
          </w:r>
          <w:r>
            <w:rPr>
              <w:i w:val="0"/>
              <w:iCs w:val="0"/>
            </w:rPr>
            <w:instrText xml:space="preserve"> PAGEREF _Toc236235713 \h </w:instrText>
          </w:r>
          <w:r>
            <w:rPr>
              <w:i w:val="0"/>
              <w:iCs w:val="0"/>
            </w:rPr>
            <w:fldChar w:fldCharType="separate"/>
          </w:r>
          <w:r>
            <w:rPr>
              <w:i w:val="0"/>
              <w:iCs w:val="0"/>
            </w:rPr>
            <w:t>6</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"_Toc668449248" </w:instrText>
          </w:r>
          <w:r>
            <w:fldChar w:fldCharType="separate"/>
          </w:r>
          <w:r>
            <w:rPr>
              <w:rFonts w:ascii="Times New Roman"/>
              <w:i w:val="0"/>
              <w:iCs w:val="0"/>
              <w:szCs w:val="21"/>
            </w:rPr>
            <w:t xml:space="preserve">5.3.3. </w:t>
          </w:r>
          <w:r>
            <w:rPr>
              <w:rFonts w:hint="eastAsia" w:ascii="Times New Roman"/>
              <w:i w:val="0"/>
              <w:iCs w:val="0"/>
              <w:szCs w:val="21"/>
            </w:rPr>
            <w:t>结构机箱</w:t>
          </w:r>
          <w:r>
            <w:rPr>
              <w:rFonts w:ascii="Times New Roman"/>
              <w:i w:val="0"/>
              <w:iCs w:val="0"/>
              <w:szCs w:val="21"/>
            </w:rPr>
            <w:t>要求</w:t>
          </w:r>
          <w:r>
            <w:rPr>
              <w:i w:val="0"/>
              <w:iCs w:val="0"/>
            </w:rPr>
            <w:tab/>
          </w:r>
          <w:r>
            <w:rPr>
              <w:i w:val="0"/>
              <w:iCs w:val="0"/>
            </w:rPr>
            <w:fldChar w:fldCharType="begin"/>
          </w:r>
          <w:r>
            <w:rPr>
              <w:i w:val="0"/>
              <w:iCs w:val="0"/>
            </w:rPr>
            <w:instrText xml:space="preserve"> PAGEREF _Toc668449248 \h </w:instrText>
          </w:r>
          <w:r>
            <w:rPr>
              <w:i w:val="0"/>
              <w:iCs w:val="0"/>
            </w:rPr>
            <w:fldChar w:fldCharType="separate"/>
          </w:r>
          <w:r>
            <w:rPr>
              <w:i w:val="0"/>
              <w:iCs w:val="0"/>
            </w:rPr>
            <w:t>7</w:t>
          </w:r>
          <w:r>
            <w:rPr>
              <w:i w:val="0"/>
              <w:iCs w:val="0"/>
            </w:rPr>
            <w:fldChar w:fldCharType="end"/>
          </w:r>
          <w:r>
            <w:rPr>
              <w:i w:val="0"/>
              <w:iCs w:val="0"/>
            </w:rPr>
            <w:fldChar w:fldCharType="end"/>
          </w:r>
        </w:p>
        <w:p>
          <w:pPr>
            <w:pStyle w:val="30"/>
            <w:tabs>
              <w:tab w:val="right" w:leader="dot" w:pos="8306"/>
            </w:tabs>
          </w:pPr>
          <w:r>
            <w:fldChar w:fldCharType="begin"/>
          </w:r>
          <w:r>
            <w:instrText xml:space="preserve"> HYPERLINK \l "_Toc593984940" </w:instrText>
          </w:r>
          <w:r>
            <w:fldChar w:fldCharType="separate"/>
          </w:r>
          <w:r>
            <w:rPr>
              <w:rFonts w:ascii="Times New Roman"/>
              <w:szCs w:val="21"/>
            </w:rPr>
            <w:t>5.4. 可靠性</w:t>
          </w:r>
          <w:r>
            <w:tab/>
          </w:r>
          <w:r>
            <w:fldChar w:fldCharType="begin"/>
          </w:r>
          <w:r>
            <w:instrText xml:space="preserve"> PAGEREF _Toc593984940 \h </w:instrText>
          </w:r>
          <w:r>
            <w:fldChar w:fldCharType="separate"/>
          </w:r>
          <w:r>
            <w:t>8</w:t>
          </w:r>
          <w:r>
            <w:fldChar w:fldCharType="end"/>
          </w:r>
          <w:r>
            <w:fldChar w:fldCharType="end"/>
          </w:r>
        </w:p>
        <w:p>
          <w:pPr>
            <w:pStyle w:val="30"/>
            <w:tabs>
              <w:tab w:val="right" w:leader="dot" w:pos="8306"/>
            </w:tabs>
          </w:pPr>
          <w:r>
            <w:fldChar w:fldCharType="begin"/>
          </w:r>
          <w:r>
            <w:instrText xml:space="preserve"> HYPERLINK \l "_Toc2132822974" </w:instrText>
          </w:r>
          <w:r>
            <w:fldChar w:fldCharType="separate"/>
          </w:r>
          <w:r>
            <w:rPr>
              <w:rFonts w:ascii="Times New Roman"/>
              <w:szCs w:val="21"/>
            </w:rPr>
            <w:t xml:space="preserve">5.5. </w:t>
          </w:r>
          <w:r>
            <w:rPr>
              <w:rFonts w:hint="eastAsia" w:ascii="Times New Roman"/>
              <w:szCs w:val="21"/>
            </w:rPr>
            <w:t>网络安全要求</w:t>
          </w:r>
          <w:r>
            <w:tab/>
          </w:r>
          <w:r>
            <w:fldChar w:fldCharType="begin"/>
          </w:r>
          <w:r>
            <w:instrText xml:space="preserve"> PAGEREF _Toc2132822974 \h </w:instrText>
          </w:r>
          <w:r>
            <w:fldChar w:fldCharType="separate"/>
          </w:r>
          <w:r>
            <w:t>8</w:t>
          </w:r>
          <w:r>
            <w:fldChar w:fldCharType="end"/>
          </w:r>
          <w:r>
            <w:fldChar w:fldCharType="end"/>
          </w:r>
        </w:p>
        <w:p>
          <w:pPr>
            <w:pStyle w:val="19"/>
            <w:tabs>
              <w:tab w:val="right" w:leader="dot" w:pos="8306"/>
            </w:tabs>
            <w:rPr>
              <w:i w:val="0"/>
              <w:iCs w:val="0"/>
            </w:rPr>
          </w:pPr>
          <w:r>
            <w:fldChar w:fldCharType="begin"/>
          </w:r>
          <w:r>
            <w:instrText xml:space="preserve"> HYPERLINK \l "_Toc691208879" </w:instrText>
          </w:r>
          <w:r>
            <w:fldChar w:fldCharType="separate"/>
          </w:r>
          <w:r>
            <w:rPr>
              <w:rFonts w:ascii="Times New Roman"/>
              <w:i w:val="0"/>
              <w:iCs w:val="0"/>
              <w:szCs w:val="21"/>
            </w:rPr>
            <w:t xml:space="preserve">5.5.1. </w:t>
          </w:r>
          <w:r>
            <w:rPr>
              <w:rFonts w:hint="eastAsia" w:ascii="Times New Roman"/>
              <w:i w:val="0"/>
              <w:iCs w:val="0"/>
              <w:szCs w:val="21"/>
            </w:rPr>
            <w:t>操作系统及通信端口要求</w:t>
          </w:r>
          <w:r>
            <w:rPr>
              <w:i w:val="0"/>
              <w:iCs w:val="0"/>
            </w:rPr>
            <w:tab/>
          </w:r>
          <w:r>
            <w:rPr>
              <w:i w:val="0"/>
              <w:iCs w:val="0"/>
            </w:rPr>
            <w:fldChar w:fldCharType="begin"/>
          </w:r>
          <w:r>
            <w:rPr>
              <w:i w:val="0"/>
              <w:iCs w:val="0"/>
            </w:rPr>
            <w:instrText xml:space="preserve"> PAGEREF _Toc691208879 \h </w:instrText>
          </w:r>
          <w:r>
            <w:rPr>
              <w:i w:val="0"/>
              <w:iCs w:val="0"/>
            </w:rPr>
            <w:fldChar w:fldCharType="separate"/>
          </w:r>
          <w:r>
            <w:rPr>
              <w:i w:val="0"/>
              <w:iCs w:val="0"/>
            </w:rPr>
            <w:t>8</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"_Toc2099199111" </w:instrText>
          </w:r>
          <w:r>
            <w:fldChar w:fldCharType="separate"/>
          </w:r>
          <w:r>
            <w:rPr>
              <w:rFonts w:ascii="Times New Roman"/>
              <w:i w:val="0"/>
              <w:iCs w:val="0"/>
              <w:szCs w:val="21"/>
            </w:rPr>
            <w:t xml:space="preserve">5.5.2. </w:t>
          </w:r>
          <w:r>
            <w:rPr>
              <w:rFonts w:hint="eastAsia" w:ascii="Times New Roman"/>
              <w:i w:val="0"/>
              <w:iCs w:val="0"/>
              <w:szCs w:val="21"/>
            </w:rPr>
            <w:t>网络安全责任</w:t>
          </w:r>
          <w:r>
            <w:rPr>
              <w:i w:val="0"/>
              <w:iCs w:val="0"/>
            </w:rPr>
            <w:tab/>
          </w:r>
          <w:r>
            <w:rPr>
              <w:i w:val="0"/>
              <w:iCs w:val="0"/>
            </w:rPr>
            <w:fldChar w:fldCharType="begin"/>
          </w:r>
          <w:r>
            <w:rPr>
              <w:i w:val="0"/>
              <w:iCs w:val="0"/>
            </w:rPr>
            <w:instrText xml:space="preserve"> PAGEREF _Toc2099199111 \h </w:instrText>
          </w:r>
          <w:r>
            <w:rPr>
              <w:i w:val="0"/>
              <w:iCs w:val="0"/>
            </w:rPr>
            <w:fldChar w:fldCharType="separate"/>
          </w:r>
          <w:r>
            <w:rPr>
              <w:i w:val="0"/>
              <w:iCs w:val="0"/>
            </w:rPr>
            <w:t>8</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"_Toc995098680" </w:instrText>
          </w:r>
          <w:r>
            <w:fldChar w:fldCharType="separate"/>
          </w:r>
          <w:r>
            <w:rPr>
              <w:rFonts w:ascii="Times New Roman"/>
              <w:i w:val="0"/>
              <w:iCs w:val="0"/>
              <w:szCs w:val="21"/>
            </w:rPr>
            <w:t xml:space="preserve">5.5.3. </w:t>
          </w:r>
          <w:r>
            <w:rPr>
              <w:rFonts w:hint="eastAsia" w:ascii="Times New Roman"/>
              <w:i w:val="0"/>
              <w:iCs w:val="0"/>
              <w:szCs w:val="21"/>
            </w:rPr>
            <w:t>网络安全测试</w:t>
          </w:r>
          <w:r>
            <w:rPr>
              <w:i w:val="0"/>
              <w:iCs w:val="0"/>
            </w:rPr>
            <w:tab/>
          </w:r>
          <w:r>
            <w:rPr>
              <w:i w:val="0"/>
              <w:iCs w:val="0"/>
            </w:rPr>
            <w:fldChar w:fldCharType="begin"/>
          </w:r>
          <w:r>
            <w:rPr>
              <w:i w:val="0"/>
              <w:iCs w:val="0"/>
            </w:rPr>
            <w:instrText xml:space="preserve"> PAGEREF _Toc995098680 \h </w:instrText>
          </w:r>
          <w:r>
            <w:rPr>
              <w:i w:val="0"/>
              <w:iCs w:val="0"/>
            </w:rPr>
            <w:fldChar w:fldCharType="separate"/>
          </w:r>
          <w:r>
            <w:rPr>
              <w:i w:val="0"/>
              <w:iCs w:val="0"/>
            </w:rPr>
            <w:t>9</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"_Toc1639098234" </w:instrText>
          </w:r>
          <w:r>
            <w:fldChar w:fldCharType="separate"/>
          </w:r>
          <w:r>
            <w:rPr>
              <w:rFonts w:ascii="Times New Roman"/>
              <w:i w:val="0"/>
              <w:iCs w:val="0"/>
              <w:szCs w:val="21"/>
            </w:rPr>
            <w:t xml:space="preserve">5.5.4. </w:t>
          </w:r>
          <w:r>
            <w:rPr>
              <w:rFonts w:hint="eastAsia" w:ascii="Times New Roman"/>
              <w:i w:val="0"/>
              <w:iCs w:val="0"/>
              <w:szCs w:val="21"/>
            </w:rPr>
            <w:t>网络安全服务</w:t>
          </w:r>
          <w:r>
            <w:rPr>
              <w:i w:val="0"/>
              <w:iCs w:val="0"/>
            </w:rPr>
            <w:tab/>
          </w:r>
          <w:r>
            <w:rPr>
              <w:i w:val="0"/>
              <w:iCs w:val="0"/>
            </w:rPr>
            <w:fldChar w:fldCharType="begin"/>
          </w:r>
          <w:r>
            <w:rPr>
              <w:i w:val="0"/>
              <w:iCs w:val="0"/>
            </w:rPr>
            <w:instrText xml:space="preserve"> PAGEREF _Toc1639098234 \h </w:instrText>
          </w:r>
          <w:r>
            <w:rPr>
              <w:i w:val="0"/>
              <w:iCs w:val="0"/>
            </w:rPr>
            <w:fldChar w:fldCharType="separate"/>
          </w:r>
          <w:r>
            <w:rPr>
              <w:i w:val="0"/>
              <w:iCs w:val="0"/>
            </w:rPr>
            <w:t>9</w:t>
          </w:r>
          <w:r>
            <w:rPr>
              <w:i w:val="0"/>
              <w:iCs w:val="0"/>
            </w:rPr>
            <w:fldChar w:fldCharType="end"/>
          </w:r>
          <w:r>
            <w:rPr>
              <w:i w:val="0"/>
              <w:iCs w:val="0"/>
            </w:rPr>
            <w:fldChar w:fldCharType="end"/>
          </w:r>
        </w:p>
        <w:p>
          <w:pPr>
            <w:pStyle w:val="30"/>
            <w:tabs>
              <w:tab w:val="right" w:leader="dot" w:pos="8306"/>
            </w:tabs>
          </w:pPr>
          <w:r>
            <w:fldChar w:fldCharType="begin"/>
          </w:r>
          <w:r>
            <w:instrText xml:space="preserve"> HYPERLINK \l "_Toc6737269" </w:instrText>
          </w:r>
          <w:r>
            <w:fldChar w:fldCharType="separate"/>
          </w:r>
          <w:r>
            <w:rPr>
              <w:rFonts w:ascii="Times New Roman"/>
              <w:szCs w:val="21"/>
            </w:rPr>
            <w:t>5.6. 交付物清单</w:t>
          </w:r>
          <w:r>
            <w:tab/>
          </w:r>
          <w:r>
            <w:fldChar w:fldCharType="begin"/>
          </w:r>
          <w:r>
            <w:instrText xml:space="preserve"> PAGEREF _Toc6737269 \h </w:instrText>
          </w:r>
          <w:r>
            <w:fldChar w:fldCharType="separate"/>
          </w:r>
          <w:r>
            <w:t>10</w:t>
          </w:r>
          <w:r>
            <w:fldChar w:fldCharType="end"/>
          </w:r>
          <w:r>
            <w:fldChar w:fldCharType="end"/>
          </w:r>
        </w:p>
        <w:p>
          <w:pPr>
            <w:pStyle w:val="27"/>
            <w:tabs>
              <w:tab w:val="right" w:leader="dot" w:pos="8306"/>
            </w:tabs>
          </w:pPr>
          <w:r>
            <w:fldChar w:fldCharType="begin"/>
          </w:r>
          <w:r>
            <w:instrText xml:space="preserve"> HYPERLINK \l "_Toc1146544329" </w:instrText>
          </w:r>
          <w:r>
            <w:fldChar w:fldCharType="separate"/>
          </w:r>
          <w:r>
            <w:t>6. 试验</w:t>
          </w:r>
          <w:r>
            <w:rPr>
              <w:rFonts w:hint="eastAsia"/>
            </w:rPr>
            <w:t>项目及要求</w:t>
          </w:r>
          <w:r>
            <w:tab/>
          </w:r>
          <w:r>
            <w:fldChar w:fldCharType="begin"/>
          </w:r>
          <w:r>
            <w:instrText xml:space="preserve"> PAGEREF _Toc1146544329 \h </w:instrText>
          </w:r>
          <w:r>
            <w:fldChar w:fldCharType="separate"/>
          </w:r>
          <w:r>
            <w:t>10</w:t>
          </w:r>
          <w:r>
            <w:fldChar w:fldCharType="end"/>
          </w:r>
          <w:r>
            <w:fldChar w:fldCharType="end"/>
          </w:r>
        </w:p>
        <w:p>
          <w:pPr>
            <w:pStyle w:val="30"/>
            <w:tabs>
              <w:tab w:val="right" w:leader="dot" w:pos="8306"/>
            </w:tabs>
          </w:pPr>
          <w:r>
            <w:fldChar w:fldCharType="begin"/>
          </w:r>
          <w:r>
            <w:instrText xml:space="preserve"> HYPERLINK \l "_Toc1848322490" </w:instrText>
          </w:r>
          <w:r>
            <w:fldChar w:fldCharType="separate"/>
          </w:r>
          <w:r>
            <w:rPr>
              <w:rFonts w:ascii="Times New Roman"/>
              <w:szCs w:val="21"/>
            </w:rPr>
            <w:t>6.1. 试验条件</w:t>
          </w:r>
          <w:r>
            <w:tab/>
          </w:r>
          <w:r>
            <w:fldChar w:fldCharType="begin"/>
          </w:r>
          <w:r>
            <w:instrText xml:space="preserve"> PAGEREF _Toc1848322490 \h </w:instrText>
          </w:r>
          <w:r>
            <w:fldChar w:fldCharType="separate"/>
          </w:r>
          <w:r>
            <w:t>10</w:t>
          </w:r>
          <w:r>
            <w:fldChar w:fldCharType="end"/>
          </w:r>
          <w:r>
            <w:fldChar w:fldCharType="end"/>
          </w:r>
        </w:p>
        <w:p>
          <w:pPr>
            <w:pStyle w:val="30"/>
            <w:tabs>
              <w:tab w:val="right" w:leader="dot" w:pos="8306"/>
            </w:tabs>
          </w:pPr>
          <w:r>
            <w:fldChar w:fldCharType="begin"/>
          </w:r>
          <w:r>
            <w:instrText xml:space="preserve"> HYPERLINK \l "_Toc250679336" </w:instrText>
          </w:r>
          <w:r>
            <w:fldChar w:fldCharType="separate"/>
          </w:r>
          <w:r>
            <w:rPr>
              <w:rFonts w:ascii="Times New Roman"/>
              <w:szCs w:val="21"/>
            </w:rPr>
            <w:t>6.2. 基本功能试验</w:t>
          </w:r>
          <w:r>
            <w:tab/>
          </w:r>
          <w:r>
            <w:fldChar w:fldCharType="begin"/>
          </w:r>
          <w:r>
            <w:instrText xml:space="preserve"> PAGEREF _Toc250679336 \h </w:instrText>
          </w:r>
          <w:r>
            <w:fldChar w:fldCharType="separate"/>
          </w:r>
          <w:r>
            <w:t>11</w:t>
          </w:r>
          <w:r>
            <w:fldChar w:fldCharType="end"/>
          </w:r>
          <w:r>
            <w:fldChar w:fldCharType="end"/>
          </w:r>
        </w:p>
        <w:p>
          <w:pPr>
            <w:pStyle w:val="30"/>
            <w:tabs>
              <w:tab w:val="right" w:leader="dot" w:pos="8306"/>
            </w:tabs>
          </w:pPr>
          <w:r>
            <w:fldChar w:fldCharType="begin"/>
          </w:r>
          <w:r>
            <w:instrText xml:space="preserve"> HYPERLINK \l "_Toc2084862757" </w:instrText>
          </w:r>
          <w:r>
            <w:fldChar w:fldCharType="separate"/>
          </w:r>
          <w:r>
            <w:rPr>
              <w:rFonts w:ascii="Times New Roman"/>
              <w:szCs w:val="21"/>
            </w:rPr>
            <w:t xml:space="preserve">6.3. </w:t>
          </w:r>
          <w:r>
            <w:rPr>
              <w:rFonts w:hint="eastAsia" w:ascii="Times New Roman"/>
              <w:szCs w:val="21"/>
            </w:rPr>
            <w:t>性能试验</w:t>
          </w:r>
          <w:r>
            <w:tab/>
          </w:r>
          <w:r>
            <w:fldChar w:fldCharType="begin"/>
          </w:r>
          <w:r>
            <w:instrText xml:space="preserve"> PAGEREF _Toc2084862757 \h </w:instrText>
          </w:r>
          <w:r>
            <w:fldChar w:fldCharType="separate"/>
          </w:r>
          <w:r>
            <w:t>11</w:t>
          </w:r>
          <w:r>
            <w:fldChar w:fldCharType="end"/>
          </w:r>
          <w:r>
            <w:fldChar w:fldCharType="end"/>
          </w:r>
        </w:p>
        <w:p>
          <w:pPr>
            <w:pStyle w:val="19"/>
            <w:tabs>
              <w:tab w:val="right" w:leader="dot" w:pos="8306"/>
            </w:tabs>
            <w:rPr>
              <w:i w:val="0"/>
              <w:iCs w:val="0"/>
            </w:rPr>
          </w:pPr>
          <w:r>
            <w:fldChar w:fldCharType="begin"/>
          </w:r>
          <w:r>
            <w:instrText xml:space="preserve"> HYPERLINK \l "_Toc567361960" </w:instrText>
          </w:r>
          <w:r>
            <w:fldChar w:fldCharType="separate"/>
          </w:r>
          <w:r>
            <w:rPr>
              <w:rFonts w:ascii="Times New Roman"/>
              <w:i w:val="0"/>
              <w:iCs w:val="0"/>
              <w:szCs w:val="21"/>
            </w:rPr>
            <w:t xml:space="preserve">6.3.1. </w:t>
          </w:r>
          <w:r>
            <w:rPr>
              <w:rFonts w:hint="eastAsia" w:ascii="Times New Roman"/>
              <w:i w:val="0"/>
              <w:iCs w:val="0"/>
              <w:szCs w:val="21"/>
            </w:rPr>
            <w:t>机械表计模组</w:t>
          </w:r>
          <w:r>
            <w:rPr>
              <w:rFonts w:ascii="Times New Roman"/>
              <w:i w:val="0"/>
              <w:iCs w:val="0"/>
              <w:szCs w:val="21"/>
            </w:rPr>
            <w:t>测量试验</w:t>
          </w:r>
          <w:r>
            <w:rPr>
              <w:i w:val="0"/>
              <w:iCs w:val="0"/>
            </w:rPr>
            <w:tab/>
          </w:r>
          <w:r>
            <w:rPr>
              <w:i w:val="0"/>
              <w:iCs w:val="0"/>
            </w:rPr>
            <w:fldChar w:fldCharType="begin"/>
          </w:r>
          <w:r>
            <w:rPr>
              <w:i w:val="0"/>
              <w:iCs w:val="0"/>
            </w:rPr>
            <w:instrText xml:space="preserve"> PAGEREF _Toc567361960 \h </w:instrText>
          </w:r>
          <w:r>
            <w:rPr>
              <w:i w:val="0"/>
              <w:iCs w:val="0"/>
            </w:rPr>
            <w:fldChar w:fldCharType="separate"/>
          </w:r>
          <w:r>
            <w:rPr>
              <w:i w:val="0"/>
              <w:iCs w:val="0"/>
            </w:rPr>
            <w:t>11</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"_Toc1091348055" </w:instrText>
          </w:r>
          <w:r>
            <w:fldChar w:fldCharType="separate"/>
          </w:r>
          <w:r>
            <w:rPr>
              <w:rFonts w:ascii="Times New Roman"/>
              <w:i w:val="0"/>
              <w:iCs w:val="0"/>
              <w:szCs w:val="21"/>
            </w:rPr>
            <w:t xml:space="preserve">6.3.2. </w:t>
          </w:r>
          <w:r>
            <w:rPr>
              <w:rFonts w:hint="eastAsia" w:ascii="Times New Roman"/>
              <w:i w:val="0"/>
              <w:iCs w:val="0"/>
              <w:szCs w:val="21"/>
            </w:rPr>
            <w:t>微水传感模组</w:t>
          </w:r>
          <w:r>
            <w:rPr>
              <w:rFonts w:ascii="Times New Roman"/>
              <w:i w:val="0"/>
              <w:iCs w:val="0"/>
              <w:szCs w:val="21"/>
            </w:rPr>
            <w:t>测量试验</w:t>
          </w:r>
          <w:r>
            <w:rPr>
              <w:i w:val="0"/>
              <w:iCs w:val="0"/>
            </w:rPr>
            <w:tab/>
          </w:r>
          <w:r>
            <w:rPr>
              <w:i w:val="0"/>
              <w:iCs w:val="0"/>
            </w:rPr>
            <w:fldChar w:fldCharType="begin"/>
          </w:r>
          <w:r>
            <w:rPr>
              <w:i w:val="0"/>
              <w:iCs w:val="0"/>
            </w:rPr>
            <w:instrText xml:space="preserve"> PAGEREF _Toc1091348055 \h </w:instrText>
          </w:r>
          <w:r>
            <w:rPr>
              <w:i w:val="0"/>
              <w:iCs w:val="0"/>
            </w:rPr>
            <w:fldChar w:fldCharType="separate"/>
          </w:r>
          <w:r>
            <w:rPr>
              <w:i w:val="0"/>
              <w:iCs w:val="0"/>
            </w:rPr>
            <w:t>12</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"_Toc1809234654" </w:instrText>
          </w:r>
          <w:r>
            <w:fldChar w:fldCharType="separate"/>
          </w:r>
          <w:r>
            <w:rPr>
              <w:rFonts w:ascii="Times New Roman"/>
              <w:i w:val="0"/>
              <w:iCs w:val="0"/>
              <w:szCs w:val="21"/>
            </w:rPr>
            <w:t>6.3.3. 密封性试验</w:t>
          </w:r>
          <w:r>
            <w:rPr>
              <w:i w:val="0"/>
              <w:iCs w:val="0"/>
            </w:rPr>
            <w:tab/>
          </w:r>
          <w:r>
            <w:rPr>
              <w:i w:val="0"/>
              <w:iCs w:val="0"/>
            </w:rPr>
            <w:fldChar w:fldCharType="begin"/>
          </w:r>
          <w:r>
            <w:rPr>
              <w:i w:val="0"/>
              <w:iCs w:val="0"/>
            </w:rPr>
            <w:instrText xml:space="preserve"> PAGEREF _Toc1809234654 \h </w:instrText>
          </w:r>
          <w:r>
            <w:rPr>
              <w:i w:val="0"/>
              <w:iCs w:val="0"/>
            </w:rPr>
            <w:fldChar w:fldCharType="separate"/>
          </w:r>
          <w:r>
            <w:rPr>
              <w:i w:val="0"/>
              <w:iCs w:val="0"/>
            </w:rPr>
            <w:t>13</w:t>
          </w:r>
          <w:r>
            <w:rPr>
              <w:i w:val="0"/>
              <w:iCs w:val="0"/>
            </w:rPr>
            <w:fldChar w:fldCharType="end"/>
          </w:r>
          <w:r>
            <w:rPr>
              <w:i w:val="0"/>
              <w:iCs w:val="0"/>
            </w:rPr>
            <w:fldChar w:fldCharType="end"/>
          </w:r>
        </w:p>
        <w:p>
          <w:pPr>
            <w:pStyle w:val="30"/>
            <w:tabs>
              <w:tab w:val="right" w:leader="dot" w:pos="8306"/>
            </w:tabs>
          </w:pPr>
          <w:r>
            <w:fldChar w:fldCharType="begin"/>
          </w:r>
          <w:r>
            <w:instrText xml:space="preserve"> HYPERLINK \l "_Toc707594409" </w:instrText>
          </w:r>
          <w:r>
            <w:fldChar w:fldCharType="separate"/>
          </w:r>
          <w:r>
            <w:rPr>
              <w:rFonts w:ascii="Times New Roman"/>
              <w:szCs w:val="21"/>
            </w:rPr>
            <w:t>6.4. 通信</w:t>
          </w:r>
          <w:r>
            <w:rPr>
              <w:rFonts w:hint="eastAsia" w:ascii="Times New Roman"/>
              <w:szCs w:val="21"/>
            </w:rPr>
            <w:t>方式及一致性试验</w:t>
          </w:r>
          <w:r>
            <w:tab/>
          </w:r>
          <w:r>
            <w:fldChar w:fldCharType="begin"/>
          </w:r>
          <w:r>
            <w:instrText xml:space="preserve"> PAGEREF _Toc707594409 \h </w:instrText>
          </w:r>
          <w:r>
            <w:fldChar w:fldCharType="separate"/>
          </w:r>
          <w:r>
            <w:t>13</w:t>
          </w:r>
          <w:r>
            <w:fldChar w:fldCharType="end"/>
          </w:r>
          <w:r>
            <w:fldChar w:fldCharType="end"/>
          </w:r>
        </w:p>
        <w:p>
          <w:pPr>
            <w:pStyle w:val="19"/>
            <w:tabs>
              <w:tab w:val="right" w:leader="dot" w:pos="8306"/>
            </w:tabs>
            <w:rPr>
              <w:i w:val="0"/>
              <w:iCs w:val="0"/>
            </w:rPr>
          </w:pPr>
          <w:r>
            <w:fldChar w:fldCharType="begin"/>
          </w:r>
          <w:r>
            <w:instrText xml:space="preserve"> HYPERLINK \l "_Toc2096256833" </w:instrText>
          </w:r>
          <w:r>
            <w:fldChar w:fldCharType="separate"/>
          </w:r>
          <w:r>
            <w:rPr>
              <w:rFonts w:ascii="Times New Roman"/>
              <w:i w:val="0"/>
              <w:iCs w:val="0"/>
              <w:szCs w:val="21"/>
            </w:rPr>
            <w:t>6.4.1. 有线通信协议检测</w:t>
          </w:r>
          <w:r>
            <w:rPr>
              <w:i w:val="0"/>
              <w:iCs w:val="0"/>
            </w:rPr>
            <w:tab/>
          </w:r>
          <w:r>
            <w:rPr>
              <w:i w:val="0"/>
              <w:iCs w:val="0"/>
            </w:rPr>
            <w:fldChar w:fldCharType="begin"/>
          </w:r>
          <w:r>
            <w:rPr>
              <w:i w:val="0"/>
              <w:iCs w:val="0"/>
            </w:rPr>
            <w:instrText xml:space="preserve"> PAGEREF _Toc2096256833 \h </w:instrText>
          </w:r>
          <w:r>
            <w:rPr>
              <w:i w:val="0"/>
              <w:iCs w:val="0"/>
            </w:rPr>
            <w:fldChar w:fldCharType="separate"/>
          </w:r>
          <w:r>
            <w:rPr>
              <w:i w:val="0"/>
              <w:iCs w:val="0"/>
            </w:rPr>
            <w:t>13</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"_Toc925466693" </w:instrText>
          </w:r>
          <w:r>
            <w:fldChar w:fldCharType="separate"/>
          </w:r>
          <w:r>
            <w:rPr>
              <w:rFonts w:ascii="Times New Roman"/>
              <w:i w:val="0"/>
              <w:iCs w:val="0"/>
              <w:szCs w:val="21"/>
            </w:rPr>
            <w:t>6.4.2. 通信</w:t>
          </w:r>
          <w:r>
            <w:rPr>
              <w:rFonts w:hint="eastAsia" w:ascii="Times New Roman"/>
              <w:i w:val="0"/>
              <w:iCs w:val="0"/>
              <w:szCs w:val="21"/>
            </w:rPr>
            <w:t>自恢复能力检测</w:t>
          </w:r>
          <w:r>
            <w:rPr>
              <w:i w:val="0"/>
              <w:iCs w:val="0"/>
            </w:rPr>
            <w:tab/>
          </w:r>
          <w:r>
            <w:rPr>
              <w:i w:val="0"/>
              <w:iCs w:val="0"/>
            </w:rPr>
            <w:fldChar w:fldCharType="begin"/>
          </w:r>
          <w:r>
            <w:rPr>
              <w:i w:val="0"/>
              <w:iCs w:val="0"/>
            </w:rPr>
            <w:instrText xml:space="preserve"> PAGEREF _Toc925466693 \h </w:instrText>
          </w:r>
          <w:r>
            <w:rPr>
              <w:i w:val="0"/>
              <w:iCs w:val="0"/>
            </w:rPr>
            <w:fldChar w:fldCharType="separate"/>
          </w:r>
          <w:r>
            <w:rPr>
              <w:i w:val="0"/>
              <w:iCs w:val="0"/>
            </w:rPr>
            <w:t>13</w:t>
          </w:r>
          <w:r>
            <w:rPr>
              <w:i w:val="0"/>
              <w:iCs w:val="0"/>
            </w:rPr>
            <w:fldChar w:fldCharType="end"/>
          </w:r>
          <w:r>
            <w:rPr>
              <w:i w:val="0"/>
              <w:iCs w:val="0"/>
            </w:rPr>
            <w:fldChar w:fldCharType="end"/>
          </w:r>
        </w:p>
        <w:p>
          <w:pPr>
            <w:pStyle w:val="27"/>
            <w:tabs>
              <w:tab w:val="right" w:leader="dot" w:pos="8306"/>
            </w:tabs>
          </w:pPr>
          <w:r>
            <w:fldChar w:fldCharType="begin"/>
          </w:r>
          <w:r>
            <w:instrText xml:space="preserve"> HYPERLINK \l "_Toc1576445200" </w:instrText>
          </w:r>
          <w:r>
            <w:fldChar w:fldCharType="separate"/>
          </w:r>
          <w:r>
            <w:t xml:space="preserve">7. </w:t>
          </w:r>
          <w:r>
            <w:rPr>
              <w:rFonts w:hint="eastAsia"/>
            </w:rPr>
            <w:t>检验规则</w:t>
          </w:r>
          <w:r>
            <w:tab/>
          </w:r>
          <w:r>
            <w:fldChar w:fldCharType="begin"/>
          </w:r>
          <w:r>
            <w:instrText xml:space="preserve"> PAGEREF _Toc1576445200 \h </w:instrText>
          </w:r>
          <w:r>
            <w:fldChar w:fldCharType="separate"/>
          </w:r>
          <w:r>
            <w:t>13</w:t>
          </w:r>
          <w:r>
            <w:fldChar w:fldCharType="end"/>
          </w:r>
          <w:r>
            <w:fldChar w:fldCharType="end"/>
          </w:r>
        </w:p>
        <w:p>
          <w:pPr>
            <w:pStyle w:val="30"/>
            <w:tabs>
              <w:tab w:val="right" w:leader="dot" w:pos="8306"/>
            </w:tabs>
          </w:pPr>
          <w:r>
            <w:fldChar w:fldCharType="begin"/>
          </w:r>
          <w:r>
            <w:instrText xml:space="preserve"> HYPERLINK \l "_Toc1421736948" </w:instrText>
          </w:r>
          <w:r>
            <w:fldChar w:fldCharType="separate"/>
          </w:r>
          <w:r>
            <w:rPr>
              <w:rFonts w:ascii="Times New Roman"/>
              <w:szCs w:val="21"/>
            </w:rPr>
            <w:t>7.1. 出厂试验</w:t>
          </w:r>
          <w:r>
            <w:tab/>
          </w:r>
          <w:r>
            <w:fldChar w:fldCharType="begin"/>
          </w:r>
          <w:r>
            <w:instrText xml:space="preserve"> PAGEREF _Toc1421736948 \h </w:instrText>
          </w:r>
          <w:r>
            <w:fldChar w:fldCharType="separate"/>
          </w:r>
          <w:r>
            <w:t>14</w:t>
          </w:r>
          <w:r>
            <w:fldChar w:fldCharType="end"/>
          </w:r>
          <w:r>
            <w:fldChar w:fldCharType="end"/>
          </w:r>
        </w:p>
        <w:p>
          <w:pPr>
            <w:pStyle w:val="30"/>
            <w:tabs>
              <w:tab w:val="right" w:leader="dot" w:pos="8306"/>
            </w:tabs>
          </w:pPr>
          <w:r>
            <w:fldChar w:fldCharType="begin"/>
          </w:r>
          <w:r>
            <w:instrText xml:space="preserve"> HYPERLINK \l "_Toc215126541" </w:instrText>
          </w:r>
          <w:r>
            <w:fldChar w:fldCharType="separate"/>
          </w:r>
          <w:r>
            <w:rPr>
              <w:rFonts w:ascii="Times New Roman"/>
              <w:szCs w:val="21"/>
            </w:rPr>
            <w:t>7.2. 交接试验</w:t>
          </w:r>
          <w:r>
            <w:tab/>
          </w:r>
          <w:r>
            <w:fldChar w:fldCharType="begin"/>
          </w:r>
          <w:r>
            <w:instrText xml:space="preserve"> PAGEREF _Toc215126541 \h </w:instrText>
          </w:r>
          <w:r>
            <w:fldChar w:fldCharType="separate"/>
          </w:r>
          <w:r>
            <w:t>14</w:t>
          </w:r>
          <w:r>
            <w:fldChar w:fldCharType="end"/>
          </w:r>
          <w:r>
            <w:fldChar w:fldCharType="end"/>
          </w:r>
        </w:p>
        <w:p>
          <w:pPr>
            <w:pStyle w:val="27"/>
            <w:tabs>
              <w:tab w:val="right" w:leader="dot" w:pos="8306"/>
            </w:tabs>
          </w:pPr>
          <w:r>
            <w:fldChar w:fldCharType="begin"/>
          </w:r>
          <w:r>
            <w:instrText xml:space="preserve"> HYPERLINK \l "_Toc1847147144" </w:instrText>
          </w:r>
          <w:r>
            <w:fldChar w:fldCharType="separate"/>
          </w:r>
          <w:r>
            <w:t>8. 标志、包装、运输、安装及质量保证、支持服务</w:t>
          </w:r>
          <w:r>
            <w:tab/>
          </w:r>
          <w:r>
            <w:fldChar w:fldCharType="begin"/>
          </w:r>
          <w:r>
            <w:instrText xml:space="preserve"> PAGEREF _Toc1847147144 \h </w:instrText>
          </w:r>
          <w:r>
            <w:fldChar w:fldCharType="separate"/>
          </w:r>
          <w:r>
            <w:t>14</w:t>
          </w:r>
          <w:r>
            <w:fldChar w:fldCharType="end"/>
          </w:r>
          <w:r>
            <w:fldChar w:fldCharType="end"/>
          </w:r>
        </w:p>
        <w:p>
          <w:pPr>
            <w:pStyle w:val="30"/>
            <w:tabs>
              <w:tab w:val="right" w:leader="dot" w:pos="8306"/>
            </w:tabs>
          </w:pPr>
          <w:r>
            <w:fldChar w:fldCharType="begin"/>
          </w:r>
          <w:r>
            <w:instrText xml:space="preserve"> HYPERLINK \l "_Toc149927226" </w:instrText>
          </w:r>
          <w:r>
            <w:fldChar w:fldCharType="separate"/>
          </w:r>
          <w:r>
            <w:rPr>
              <w:rFonts w:ascii="Times New Roman"/>
              <w:szCs w:val="21"/>
            </w:rPr>
            <w:t>8.1. 标志</w:t>
          </w:r>
          <w:r>
            <w:tab/>
          </w:r>
          <w:r>
            <w:fldChar w:fldCharType="begin"/>
          </w:r>
          <w:r>
            <w:instrText xml:space="preserve"> PAGEREF _Toc149927226 \h </w:instrText>
          </w:r>
          <w:r>
            <w:fldChar w:fldCharType="separate"/>
          </w:r>
          <w:r>
            <w:t>14</w:t>
          </w:r>
          <w:r>
            <w:fldChar w:fldCharType="end"/>
          </w:r>
          <w:r>
            <w:fldChar w:fldCharType="end"/>
          </w:r>
        </w:p>
        <w:p>
          <w:pPr>
            <w:pStyle w:val="19"/>
            <w:tabs>
              <w:tab w:val="right" w:leader="dot" w:pos="8306"/>
            </w:tabs>
            <w:rPr>
              <w:i w:val="0"/>
              <w:iCs w:val="0"/>
            </w:rPr>
          </w:pPr>
          <w:r>
            <w:fldChar w:fldCharType="begin"/>
          </w:r>
          <w:r>
            <w:instrText xml:space="preserve"> HYPERLINK \l "_Toc1052393" </w:instrText>
          </w:r>
          <w:r>
            <w:fldChar w:fldCharType="separate"/>
          </w:r>
          <w:r>
            <w:rPr>
              <w:rFonts w:ascii="Times New Roman"/>
              <w:i w:val="0"/>
              <w:iCs w:val="0"/>
              <w:szCs w:val="21"/>
            </w:rPr>
            <w:t>8.1.1. 铭牌</w:t>
          </w:r>
          <w:r>
            <w:rPr>
              <w:i w:val="0"/>
              <w:iCs w:val="0"/>
            </w:rPr>
            <w:tab/>
          </w:r>
          <w:r>
            <w:rPr>
              <w:i w:val="0"/>
              <w:iCs w:val="0"/>
            </w:rPr>
            <w:fldChar w:fldCharType="begin"/>
          </w:r>
          <w:r>
            <w:rPr>
              <w:i w:val="0"/>
              <w:iCs w:val="0"/>
            </w:rPr>
            <w:instrText xml:space="preserve"> PAGEREF _Toc1052393 \h </w:instrText>
          </w:r>
          <w:r>
            <w:rPr>
              <w:i w:val="0"/>
              <w:iCs w:val="0"/>
            </w:rPr>
            <w:fldChar w:fldCharType="separate"/>
          </w:r>
          <w:r>
            <w:rPr>
              <w:i w:val="0"/>
              <w:iCs w:val="0"/>
            </w:rPr>
            <w:t>14</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"_Toc1662782983" </w:instrText>
          </w:r>
          <w:r>
            <w:fldChar w:fldCharType="separate"/>
          </w:r>
          <w:r>
            <w:rPr>
              <w:rFonts w:ascii="Times New Roman"/>
              <w:i w:val="0"/>
              <w:iCs w:val="0"/>
              <w:szCs w:val="21"/>
            </w:rPr>
            <w:t>8.1.2. 包装标志</w:t>
          </w:r>
          <w:r>
            <w:rPr>
              <w:i w:val="0"/>
              <w:iCs w:val="0"/>
            </w:rPr>
            <w:tab/>
          </w:r>
          <w:r>
            <w:rPr>
              <w:i w:val="0"/>
              <w:iCs w:val="0"/>
            </w:rPr>
            <w:fldChar w:fldCharType="begin"/>
          </w:r>
          <w:r>
            <w:rPr>
              <w:i w:val="0"/>
              <w:iCs w:val="0"/>
            </w:rPr>
            <w:instrText xml:space="preserve"> PAGEREF _Toc1662782983 \h </w:instrText>
          </w:r>
          <w:r>
            <w:rPr>
              <w:i w:val="0"/>
              <w:iCs w:val="0"/>
            </w:rPr>
            <w:fldChar w:fldCharType="separate"/>
          </w:r>
          <w:r>
            <w:rPr>
              <w:i w:val="0"/>
              <w:iCs w:val="0"/>
            </w:rPr>
            <w:t>15</w:t>
          </w:r>
          <w:r>
            <w:rPr>
              <w:i w:val="0"/>
              <w:iCs w:val="0"/>
            </w:rPr>
            <w:fldChar w:fldCharType="end"/>
          </w:r>
          <w:r>
            <w:rPr>
              <w:i w:val="0"/>
              <w:iCs w:val="0"/>
            </w:rPr>
            <w:fldChar w:fldCharType="end"/>
          </w:r>
        </w:p>
        <w:p>
          <w:pPr>
            <w:pStyle w:val="30"/>
            <w:tabs>
              <w:tab w:val="right" w:leader="dot" w:pos="8306"/>
            </w:tabs>
          </w:pPr>
          <w:r>
            <w:fldChar w:fldCharType="begin"/>
          </w:r>
          <w:r>
            <w:instrText xml:space="preserve"> HYPERLINK \l "_Toc1346099118" </w:instrText>
          </w:r>
          <w:r>
            <w:fldChar w:fldCharType="separate"/>
          </w:r>
          <w:r>
            <w:rPr>
              <w:rFonts w:ascii="Times New Roman"/>
              <w:szCs w:val="21"/>
            </w:rPr>
            <w:t>8.2. 包装</w:t>
          </w:r>
          <w:r>
            <w:tab/>
          </w:r>
          <w:r>
            <w:fldChar w:fldCharType="begin"/>
          </w:r>
          <w:r>
            <w:instrText xml:space="preserve"> PAGEREF _Toc1346099118 \h </w:instrText>
          </w:r>
          <w:r>
            <w:fldChar w:fldCharType="separate"/>
          </w:r>
          <w:r>
            <w:t>15</w:t>
          </w:r>
          <w:r>
            <w:fldChar w:fldCharType="end"/>
          </w:r>
          <w:r>
            <w:fldChar w:fldCharType="end"/>
          </w:r>
        </w:p>
        <w:p>
          <w:pPr>
            <w:pStyle w:val="30"/>
            <w:tabs>
              <w:tab w:val="right" w:leader="dot" w:pos="8306"/>
            </w:tabs>
          </w:pPr>
          <w:r>
            <w:fldChar w:fldCharType="begin"/>
          </w:r>
          <w:r>
            <w:instrText xml:space="preserve"> HYPERLINK \l "_Toc1188731318" </w:instrText>
          </w:r>
          <w:r>
            <w:fldChar w:fldCharType="separate"/>
          </w:r>
          <w:r>
            <w:rPr>
              <w:rFonts w:ascii="Times New Roman"/>
              <w:szCs w:val="21"/>
            </w:rPr>
            <w:t>8.3. 运输</w:t>
          </w:r>
          <w:r>
            <w:tab/>
          </w:r>
          <w:r>
            <w:fldChar w:fldCharType="begin"/>
          </w:r>
          <w:r>
            <w:instrText xml:space="preserve"> PAGEREF _Toc1188731318 \h </w:instrText>
          </w:r>
          <w:r>
            <w:fldChar w:fldCharType="separate"/>
          </w:r>
          <w:r>
            <w:t>15</w:t>
          </w:r>
          <w:r>
            <w:fldChar w:fldCharType="end"/>
          </w:r>
          <w:r>
            <w:fldChar w:fldCharType="end"/>
          </w:r>
        </w:p>
        <w:p>
          <w:pPr>
            <w:pStyle w:val="30"/>
            <w:tabs>
              <w:tab w:val="right" w:leader="dot" w:pos="8306"/>
            </w:tabs>
          </w:pPr>
          <w:r>
            <w:fldChar w:fldCharType="begin"/>
          </w:r>
          <w:r>
            <w:instrText xml:space="preserve"> HYPERLINK \l "_Toc1598799288" </w:instrText>
          </w:r>
          <w:r>
            <w:fldChar w:fldCharType="separate"/>
          </w:r>
          <w:r>
            <w:rPr>
              <w:rFonts w:ascii="Times New Roman"/>
              <w:szCs w:val="21"/>
            </w:rPr>
            <w:t>8.4. 质量保证</w:t>
          </w:r>
          <w:r>
            <w:tab/>
          </w:r>
          <w:r>
            <w:fldChar w:fldCharType="begin"/>
          </w:r>
          <w:r>
            <w:instrText xml:space="preserve"> PAGEREF _Toc1598799288 \h </w:instrText>
          </w:r>
          <w:r>
            <w:fldChar w:fldCharType="separate"/>
          </w:r>
          <w:r>
            <w:t>15</w:t>
          </w:r>
          <w:r>
            <w:fldChar w:fldCharType="end"/>
          </w:r>
          <w:r>
            <w:fldChar w:fldCharType="end"/>
          </w:r>
        </w:p>
        <w:p>
          <w:pPr>
            <w:pStyle w:val="30"/>
            <w:tabs>
              <w:tab w:val="right" w:leader="dot" w:pos="8306"/>
            </w:tabs>
          </w:pPr>
          <w:r>
            <w:fldChar w:fldCharType="begin"/>
          </w:r>
          <w:r>
            <w:instrText xml:space="preserve"> HYPERLINK \l "_Toc733488064" </w:instrText>
          </w:r>
          <w:r>
            <w:fldChar w:fldCharType="separate"/>
          </w:r>
          <w:r>
            <w:rPr>
              <w:rFonts w:ascii="Times New Roman"/>
              <w:szCs w:val="21"/>
            </w:rPr>
            <w:t>8.5. 交货期要求</w:t>
          </w:r>
          <w:r>
            <w:tab/>
          </w:r>
          <w:r>
            <w:fldChar w:fldCharType="begin"/>
          </w:r>
          <w:r>
            <w:instrText xml:space="preserve"> PAGEREF _Toc733488064 \h </w:instrText>
          </w:r>
          <w:r>
            <w:fldChar w:fldCharType="separate"/>
          </w:r>
          <w:r>
            <w:t>16</w:t>
          </w:r>
          <w:r>
            <w:fldChar w:fldCharType="end"/>
          </w:r>
          <w:r>
            <w:fldChar w:fldCharType="end"/>
          </w:r>
        </w:p>
        <w:p>
          <w:pPr>
            <w:pStyle w:val="30"/>
            <w:tabs>
              <w:tab w:val="right" w:leader="dot" w:pos="8306"/>
            </w:tabs>
          </w:pPr>
          <w:r>
            <w:fldChar w:fldCharType="begin"/>
          </w:r>
          <w:r>
            <w:instrText xml:space="preserve"> HYPERLINK \l "_Toc1221620329" </w:instrText>
          </w:r>
          <w:r>
            <w:fldChar w:fldCharType="separate"/>
          </w:r>
          <w:r>
            <w:rPr>
              <w:rFonts w:ascii="Times New Roman"/>
              <w:szCs w:val="21"/>
            </w:rPr>
            <w:t>8.6. 支持服务</w:t>
          </w:r>
          <w:r>
            <w:tab/>
          </w:r>
          <w:r>
            <w:fldChar w:fldCharType="begin"/>
          </w:r>
          <w:r>
            <w:instrText xml:space="preserve"> PAGEREF _Toc1221620329 \h </w:instrText>
          </w:r>
          <w:r>
            <w:fldChar w:fldCharType="separate"/>
          </w:r>
          <w:r>
            <w:t>16</w:t>
          </w:r>
          <w:r>
            <w:fldChar w:fldCharType="end"/>
          </w:r>
          <w:r>
            <w:fldChar w:fldCharType="end"/>
          </w:r>
        </w:p>
        <w:p>
          <w:pPr>
            <w:pStyle w:val="19"/>
            <w:tabs>
              <w:tab w:val="right" w:leader="dot" w:pos="8306"/>
            </w:tabs>
            <w:rPr>
              <w:i w:val="0"/>
              <w:iCs w:val="0"/>
            </w:rPr>
          </w:pPr>
          <w:r>
            <w:fldChar w:fldCharType="begin"/>
          </w:r>
          <w:r>
            <w:instrText xml:space="preserve"> HYPERLINK \l "_Toc1835035001" </w:instrText>
          </w:r>
          <w:r>
            <w:fldChar w:fldCharType="separate"/>
          </w:r>
          <w:r>
            <w:rPr>
              <w:rFonts w:ascii="Times New Roman"/>
              <w:i w:val="0"/>
              <w:iCs w:val="0"/>
              <w:szCs w:val="21"/>
            </w:rPr>
            <w:t xml:space="preserve">8.6.1. </w:t>
          </w:r>
          <w:r>
            <w:rPr>
              <w:rFonts w:hint="eastAsia" w:ascii="Times New Roman"/>
              <w:i w:val="0"/>
              <w:iCs w:val="0"/>
              <w:szCs w:val="21"/>
            </w:rPr>
            <w:t>报价人</w:t>
          </w:r>
          <w:r>
            <w:rPr>
              <w:rFonts w:ascii="Times New Roman"/>
              <w:i w:val="0"/>
              <w:iCs w:val="0"/>
              <w:szCs w:val="21"/>
            </w:rPr>
            <w:t>应提供下列支持服务：</w:t>
          </w:r>
          <w:r>
            <w:rPr>
              <w:i w:val="0"/>
              <w:iCs w:val="0"/>
            </w:rPr>
            <w:tab/>
          </w:r>
          <w:r>
            <w:rPr>
              <w:i w:val="0"/>
              <w:iCs w:val="0"/>
            </w:rPr>
            <w:fldChar w:fldCharType="begin"/>
          </w:r>
          <w:r>
            <w:rPr>
              <w:i w:val="0"/>
              <w:iCs w:val="0"/>
            </w:rPr>
            <w:instrText xml:space="preserve"> PAGEREF _Toc1835035001 \h </w:instrText>
          </w:r>
          <w:r>
            <w:rPr>
              <w:i w:val="0"/>
              <w:iCs w:val="0"/>
            </w:rPr>
            <w:fldChar w:fldCharType="separate"/>
          </w:r>
          <w:r>
            <w:rPr>
              <w:i w:val="0"/>
              <w:iCs w:val="0"/>
            </w:rPr>
            <w:t>16</w:t>
          </w:r>
          <w:r>
            <w:rPr>
              <w:i w:val="0"/>
              <w:iCs w:val="0"/>
            </w:rPr>
            <w:fldChar w:fldCharType="end"/>
          </w:r>
          <w:r>
            <w:rPr>
              <w:i w:val="0"/>
              <w:iCs w:val="0"/>
            </w:rPr>
            <w:fldChar w:fldCharType="end"/>
          </w:r>
        </w:p>
        <w:p>
          <w:pPr>
            <w:pStyle w:val="19"/>
            <w:tabs>
              <w:tab w:val="right" w:leader="dot" w:pos="8306"/>
            </w:tabs>
            <w:rPr>
              <w:i w:val="0"/>
              <w:iCs w:val="0"/>
            </w:rPr>
          </w:pPr>
          <w:r>
            <w:fldChar w:fldCharType="begin"/>
          </w:r>
          <w:r>
            <w:instrText xml:space="preserve"> HYPERLINK \l "_Toc1401937312" </w:instrText>
          </w:r>
          <w:r>
            <w:fldChar w:fldCharType="separate"/>
          </w:r>
          <w:r>
            <w:rPr>
              <w:rFonts w:ascii="Times New Roman"/>
              <w:i w:val="0"/>
              <w:iCs w:val="0"/>
              <w:szCs w:val="21"/>
            </w:rPr>
            <w:t>8.6.2. 培训（如需要时由</w:t>
          </w:r>
          <w:r>
            <w:rPr>
              <w:rFonts w:hint="eastAsia" w:ascii="Times New Roman"/>
              <w:i w:val="0"/>
              <w:iCs w:val="0"/>
              <w:szCs w:val="21"/>
            </w:rPr>
            <w:t>采购人</w:t>
          </w:r>
          <w:r>
            <w:rPr>
              <w:rFonts w:ascii="Times New Roman"/>
              <w:i w:val="0"/>
              <w:iCs w:val="0"/>
              <w:szCs w:val="21"/>
            </w:rPr>
            <w:t>与</w:t>
          </w:r>
          <w:r>
            <w:rPr>
              <w:rFonts w:hint="eastAsia" w:ascii="Times New Roman"/>
              <w:i w:val="0"/>
              <w:iCs w:val="0"/>
              <w:szCs w:val="21"/>
            </w:rPr>
            <w:t>报价人</w:t>
          </w:r>
          <w:r>
            <w:rPr>
              <w:rFonts w:ascii="Times New Roman"/>
              <w:i w:val="0"/>
              <w:iCs w:val="0"/>
              <w:szCs w:val="21"/>
            </w:rPr>
            <w:t>协商）</w:t>
          </w:r>
          <w:r>
            <w:rPr>
              <w:i w:val="0"/>
              <w:iCs w:val="0"/>
            </w:rPr>
            <w:tab/>
          </w:r>
          <w:r>
            <w:rPr>
              <w:i w:val="0"/>
              <w:iCs w:val="0"/>
            </w:rPr>
            <w:fldChar w:fldCharType="begin"/>
          </w:r>
          <w:r>
            <w:rPr>
              <w:i w:val="0"/>
              <w:iCs w:val="0"/>
            </w:rPr>
            <w:instrText xml:space="preserve"> PAGEREF _Toc1401937312 \h </w:instrText>
          </w:r>
          <w:r>
            <w:rPr>
              <w:i w:val="0"/>
              <w:iCs w:val="0"/>
            </w:rPr>
            <w:fldChar w:fldCharType="separate"/>
          </w:r>
          <w:r>
            <w:rPr>
              <w:i w:val="0"/>
              <w:iCs w:val="0"/>
            </w:rPr>
            <w:t>16</w:t>
          </w:r>
          <w:r>
            <w:rPr>
              <w:i w:val="0"/>
              <w:iCs w:val="0"/>
            </w:rPr>
            <w:fldChar w:fldCharType="end"/>
          </w:r>
          <w:r>
            <w:rPr>
              <w:i w:val="0"/>
              <w:iCs w:val="0"/>
            </w:rPr>
            <w:fldChar w:fldCharType="end"/>
          </w:r>
        </w:p>
        <w:p>
          <w:pPr>
            <w:pStyle w:val="19"/>
            <w:tabs>
              <w:tab w:val="right" w:leader="dot" w:pos="8306"/>
            </w:tabs>
          </w:pPr>
          <w:r>
            <w:fldChar w:fldCharType="begin"/>
          </w:r>
          <w:r>
            <w:instrText xml:space="preserve"> HYPERLINK \l "_Toc1815605269" </w:instrText>
          </w:r>
          <w:r>
            <w:fldChar w:fldCharType="separate"/>
          </w:r>
          <w:r>
            <w:rPr>
              <w:rFonts w:ascii="Times New Roman"/>
              <w:i w:val="0"/>
              <w:iCs w:val="0"/>
              <w:szCs w:val="21"/>
            </w:rPr>
            <w:t>8.6.3. 售后服务（如需要时由</w:t>
          </w:r>
          <w:r>
            <w:rPr>
              <w:rFonts w:hint="eastAsia" w:ascii="Times New Roman"/>
              <w:i w:val="0"/>
              <w:iCs w:val="0"/>
              <w:szCs w:val="21"/>
            </w:rPr>
            <w:t>采购人</w:t>
          </w:r>
          <w:r>
            <w:rPr>
              <w:rFonts w:ascii="Times New Roman"/>
              <w:i w:val="0"/>
              <w:iCs w:val="0"/>
              <w:szCs w:val="21"/>
            </w:rPr>
            <w:t>与</w:t>
          </w:r>
          <w:r>
            <w:rPr>
              <w:rFonts w:hint="eastAsia" w:ascii="Times New Roman"/>
              <w:i w:val="0"/>
              <w:iCs w:val="0"/>
              <w:szCs w:val="21"/>
            </w:rPr>
            <w:t>报价人</w:t>
          </w:r>
          <w:r>
            <w:rPr>
              <w:rFonts w:ascii="Times New Roman"/>
              <w:i w:val="0"/>
              <w:iCs w:val="0"/>
              <w:szCs w:val="21"/>
            </w:rPr>
            <w:t>协商）</w:t>
          </w:r>
          <w:r>
            <w:rPr>
              <w:i w:val="0"/>
              <w:iCs w:val="0"/>
            </w:rPr>
            <w:tab/>
          </w:r>
          <w:r>
            <w:rPr>
              <w:i w:val="0"/>
              <w:iCs w:val="0"/>
            </w:rPr>
            <w:fldChar w:fldCharType="begin"/>
          </w:r>
          <w:r>
            <w:rPr>
              <w:i w:val="0"/>
              <w:iCs w:val="0"/>
            </w:rPr>
            <w:instrText xml:space="preserve"> PAGEREF _Toc1815605269 \h </w:instrText>
          </w:r>
          <w:r>
            <w:rPr>
              <w:i w:val="0"/>
              <w:iCs w:val="0"/>
            </w:rPr>
            <w:fldChar w:fldCharType="separate"/>
          </w:r>
          <w:r>
            <w:rPr>
              <w:i w:val="0"/>
              <w:iCs w:val="0"/>
            </w:rPr>
            <w:t>16</w:t>
          </w:r>
          <w:r>
            <w:rPr>
              <w:i w:val="0"/>
              <w:iCs w:val="0"/>
            </w:rPr>
            <w:fldChar w:fldCharType="end"/>
          </w:r>
          <w:r>
            <w:rPr>
              <w:i w:val="0"/>
              <w:iCs w:val="0"/>
            </w:rPr>
            <w:fldChar w:fldCharType="end"/>
          </w:r>
        </w:p>
        <w:p>
          <w:pPr>
            <w:pStyle w:val="27"/>
            <w:tabs>
              <w:tab w:val="right" w:leader="dot" w:pos="8306"/>
            </w:tabs>
          </w:pPr>
          <w:r>
            <w:fldChar w:fldCharType="begin"/>
          </w:r>
          <w:r>
            <w:instrText xml:space="preserve"> HYPERLINK \l "_Toc1820374327" </w:instrText>
          </w:r>
          <w:r>
            <w:fldChar w:fldCharType="separate"/>
          </w:r>
          <w:r>
            <w:t>9. 技术差异表</w:t>
          </w:r>
          <w:r>
            <w:tab/>
          </w:r>
          <w:r>
            <w:fldChar w:fldCharType="begin"/>
          </w:r>
          <w:r>
            <w:instrText xml:space="preserve"> PAGEREF _Toc1820374327 \h </w:instrText>
          </w:r>
          <w:r>
            <w:fldChar w:fldCharType="separate"/>
          </w:r>
          <w:r>
            <w:t>17</w:t>
          </w:r>
          <w:r>
            <w:fldChar w:fldCharType="end"/>
          </w:r>
          <w:r>
            <w:fldChar w:fldCharType="end"/>
          </w:r>
        </w:p>
        <w:p>
          <w:pPr>
            <w:pStyle w:val="27"/>
            <w:tabs>
              <w:tab w:val="right" w:leader="dot" w:pos="8306"/>
            </w:tabs>
          </w:pPr>
          <w:r>
            <w:fldChar w:fldCharType="begin"/>
          </w:r>
          <w:r>
            <w:instrText xml:space="preserve"> HYPERLINK \l "_Toc2093146191" </w:instrText>
          </w:r>
          <w:r>
            <w:fldChar w:fldCharType="separate"/>
          </w:r>
          <w:r>
            <w:t xml:space="preserve">10. </w:t>
          </w:r>
          <w:r>
            <w:rPr>
              <w:rFonts w:hint="eastAsia"/>
            </w:rPr>
            <w:t>报价人</w:t>
          </w:r>
          <w:r>
            <w:t>需说明的其他问题</w:t>
          </w:r>
          <w:r>
            <w:tab/>
          </w:r>
          <w:r>
            <w:fldChar w:fldCharType="begin"/>
          </w:r>
          <w:r>
            <w:instrText xml:space="preserve"> PAGEREF _Toc2093146191 \h </w:instrText>
          </w:r>
          <w:r>
            <w:fldChar w:fldCharType="separate"/>
          </w:r>
          <w:r>
            <w:t>18</w:t>
          </w:r>
          <w:r>
            <w:fldChar w:fldCharType="end"/>
          </w:r>
          <w:r>
            <w:fldChar w:fldCharType="end"/>
          </w:r>
        </w:p>
        <w:p>
          <w:pPr>
            <w:pStyle w:val="27"/>
            <w:tabs>
              <w:tab w:val="right" w:leader="dot" w:pos="8306"/>
            </w:tabs>
          </w:pPr>
          <w:r>
            <w:fldChar w:fldCharType="begin"/>
          </w:r>
          <w:r>
            <w:instrText xml:space="preserve"> HYPERLINK \l "_Toc667989360" </w:instrText>
          </w:r>
          <w:r>
            <w:fldChar w:fldCharType="separate"/>
          </w:r>
          <w:r>
            <w:t>11. 双方职责</w:t>
          </w:r>
          <w:r>
            <w:tab/>
          </w:r>
          <w:r>
            <w:fldChar w:fldCharType="begin"/>
          </w:r>
          <w:r>
            <w:instrText xml:space="preserve"> PAGEREF _Toc667989360 \h </w:instrText>
          </w:r>
          <w:r>
            <w:fldChar w:fldCharType="separate"/>
          </w:r>
          <w:r>
            <w:t>19</w:t>
          </w:r>
          <w:r>
            <w:fldChar w:fldCharType="end"/>
          </w:r>
          <w:r>
            <w:fldChar w:fldCharType="end"/>
          </w:r>
        </w:p>
        <w:p>
          <w:pPr>
            <w:pStyle w:val="30"/>
            <w:tabs>
              <w:tab w:val="right" w:leader="dot" w:pos="8306"/>
            </w:tabs>
          </w:pPr>
          <w:r>
            <w:fldChar w:fldCharType="begin"/>
          </w:r>
          <w:r>
            <w:instrText xml:space="preserve"> HYPERLINK \l "_Toc1584760777" </w:instrText>
          </w:r>
          <w:r>
            <w:fldChar w:fldCharType="separate"/>
          </w:r>
          <w:r>
            <w:rPr>
              <w:rFonts w:ascii="Times New Roman"/>
              <w:szCs w:val="21"/>
            </w:rPr>
            <w:t xml:space="preserve">11.1. </w:t>
          </w:r>
          <w:r>
            <w:rPr>
              <w:rFonts w:hint="eastAsia" w:ascii="Times New Roman"/>
              <w:szCs w:val="21"/>
            </w:rPr>
            <w:t>采购人</w:t>
          </w:r>
          <w:r>
            <w:rPr>
              <w:rFonts w:ascii="Times New Roman"/>
              <w:szCs w:val="21"/>
            </w:rPr>
            <w:t>职责</w:t>
          </w:r>
          <w:r>
            <w:tab/>
          </w:r>
          <w:r>
            <w:fldChar w:fldCharType="begin"/>
          </w:r>
          <w:r>
            <w:instrText xml:space="preserve"> PAGEREF _Toc1584760777 \h </w:instrText>
          </w:r>
          <w:r>
            <w:fldChar w:fldCharType="separate"/>
          </w:r>
          <w:r>
            <w:t>19</w:t>
          </w:r>
          <w:r>
            <w:fldChar w:fldCharType="end"/>
          </w:r>
          <w:r>
            <w:fldChar w:fldCharType="end"/>
          </w:r>
        </w:p>
        <w:p>
          <w:pPr>
            <w:pStyle w:val="30"/>
            <w:tabs>
              <w:tab w:val="right" w:leader="dot" w:pos="8306"/>
            </w:tabs>
          </w:pPr>
          <w:r>
            <w:fldChar w:fldCharType="begin"/>
          </w:r>
          <w:r>
            <w:instrText xml:space="preserve"> HYPERLINK \l "_Toc1774058002" </w:instrText>
          </w:r>
          <w:r>
            <w:fldChar w:fldCharType="separate"/>
          </w:r>
          <w:r>
            <w:rPr>
              <w:rFonts w:ascii="Times New Roman"/>
              <w:szCs w:val="21"/>
            </w:rPr>
            <w:t>11.2. 中标方职责</w:t>
          </w:r>
          <w:r>
            <w:tab/>
          </w:r>
          <w:r>
            <w:fldChar w:fldCharType="begin"/>
          </w:r>
          <w:r>
            <w:instrText xml:space="preserve"> PAGEREF _Toc1774058002 \h </w:instrText>
          </w:r>
          <w:r>
            <w:fldChar w:fldCharType="separate"/>
          </w:r>
          <w:r>
            <w:t>19</w:t>
          </w:r>
          <w:r>
            <w:fldChar w:fldCharType="end"/>
          </w:r>
          <w:r>
            <w:fldChar w:fldCharType="end"/>
          </w:r>
        </w:p>
        <w:p>
          <w:pPr>
            <w:pStyle w:val="27"/>
            <w:tabs>
              <w:tab w:val="right" w:leader="dot" w:pos="8306"/>
            </w:tabs>
          </w:pPr>
          <w:r>
            <w:fldChar w:fldCharType="begin"/>
          </w:r>
          <w:r>
            <w:instrText xml:space="preserve"> HYPERLINK \l "_Toc1814533689" </w:instrText>
          </w:r>
          <w:r>
            <w:fldChar w:fldCharType="separate"/>
          </w:r>
          <w:r>
            <w:t>附  录  A  有线RS485通信方案</w:t>
          </w:r>
          <w:r>
            <w:tab/>
          </w:r>
          <w:r>
            <w:fldChar w:fldCharType="begin"/>
          </w:r>
          <w:r>
            <w:instrText xml:space="preserve"> PAGEREF _Toc1814533689 \h </w:instrText>
          </w:r>
          <w:r>
            <w:fldChar w:fldCharType="separate"/>
          </w:r>
          <w:r>
            <w:t>20</w:t>
          </w:r>
          <w:r>
            <w:fldChar w:fldCharType="end"/>
          </w:r>
          <w:r>
            <w:fldChar w:fldCharType="end"/>
          </w:r>
        </w:p>
        <w:p>
          <w:pPr>
            <w:spacing w:line="360" w:lineRule="auto"/>
            <w:rPr>
              <w:b/>
              <w:bCs/>
              <w:szCs w:val="21"/>
              <w:lang w:val="zh-CN"/>
            </w:rPr>
          </w:pPr>
          <w:r>
            <w:rPr>
              <w:bCs/>
              <w:szCs w:val="21"/>
              <w:lang w:val="zh-CN"/>
            </w:rPr>
            <w:fldChar w:fldCharType="end"/>
          </w:r>
        </w:p>
      </w:sdtContent>
    </w:sdt>
    <w:p>
      <w:pPr>
        <w:pStyle w:val="2"/>
        <w:sectPr>
          <w:pgSz w:w="11906" w:h="16838"/>
          <w:pgMar w:top="1440" w:right="1800" w:bottom="1440" w:left="1800" w:header="851" w:footer="992" w:gutter="0"/>
          <w:pgNumType w:start="1"/>
          <w:cols w:space="425" w:num="1"/>
          <w:docGrid w:type="lines" w:linePitch="312" w:charSpace="0"/>
        </w:sectPr>
      </w:pPr>
      <w:bookmarkStart w:id="3" w:name="_Toc79156661"/>
    </w:p>
    <w:p>
      <w:pPr>
        <w:pStyle w:val="2"/>
      </w:pPr>
      <w:bookmarkStart w:id="4" w:name="_Toc840668719"/>
      <w:bookmarkStart w:id="5" w:name="_Toc29848"/>
      <w:r>
        <w:t>总则</w:t>
      </w:r>
      <w:bookmarkEnd w:id="1"/>
      <w:bookmarkEnd w:id="2"/>
      <w:bookmarkEnd w:id="3"/>
      <w:bookmarkEnd w:id="4"/>
      <w:bookmarkEnd w:id="5"/>
    </w:p>
    <w:p>
      <w:pPr>
        <w:pStyle w:val="20"/>
        <w:spacing w:line="360" w:lineRule="auto"/>
        <w:ind w:firstLine="420" w:firstLineChars="200"/>
        <w:rPr>
          <w:rFonts w:ascii="Times New Roman" w:hAnsi="Times New Roman"/>
          <w:kern w:val="0"/>
          <w:szCs w:val="21"/>
        </w:rPr>
      </w:pPr>
      <w:bookmarkStart w:id="6" w:name="_Toc6735974"/>
      <w:bookmarkStart w:id="7" w:name="_Toc79155057"/>
      <w:bookmarkStart w:id="8" w:name="_Toc79156662"/>
      <w:r>
        <w:rPr>
          <w:rFonts w:hint="eastAsia" w:ascii="Times New Roman" w:hAnsi="Times New Roman"/>
          <w:kern w:val="0"/>
          <w:szCs w:val="21"/>
        </w:rPr>
        <w:t>1、</w:t>
      </w:r>
      <w:r>
        <w:rPr>
          <w:rFonts w:ascii="Times New Roman" w:hAnsi="Times New Roman"/>
          <w:kern w:val="0"/>
          <w:szCs w:val="21"/>
        </w:rPr>
        <w:t>本技术规范书适用于</w:t>
      </w:r>
      <w:r>
        <w:rPr>
          <w:rFonts w:hint="eastAsia" w:ascii="Times New Roman" w:hAnsi="Times New Roman"/>
          <w:kern w:val="0"/>
          <w:szCs w:val="21"/>
        </w:rPr>
        <w:t>南方电网传感科技（广东）有限公司</w:t>
      </w:r>
      <w:r>
        <w:rPr>
          <w:rFonts w:ascii="Times New Roman" w:hAnsi="Times New Roman"/>
          <w:kern w:val="0"/>
          <w:szCs w:val="21"/>
        </w:rPr>
        <w:t>智慧变电多物理量气体监测传感模组</w:t>
      </w:r>
      <w:r>
        <w:rPr>
          <w:rFonts w:hint="eastAsia" w:ascii="Times New Roman" w:hAnsi="Times New Roman"/>
          <w:kern w:val="0"/>
          <w:szCs w:val="21"/>
        </w:rPr>
        <w:t>采购</w:t>
      </w:r>
      <w:r>
        <w:rPr>
          <w:rFonts w:ascii="Times New Roman" w:hAnsi="Times New Roman"/>
          <w:kern w:val="0"/>
          <w:szCs w:val="21"/>
        </w:rPr>
        <w:t>，提出了该</w:t>
      </w:r>
      <w:r>
        <w:rPr>
          <w:rFonts w:hint="eastAsia" w:ascii="Times New Roman" w:hAnsi="Times New Roman"/>
          <w:kern w:val="0"/>
          <w:szCs w:val="21"/>
        </w:rPr>
        <w:t>模组</w:t>
      </w:r>
      <w:r>
        <w:rPr>
          <w:rFonts w:ascii="Times New Roman" w:hAnsi="Times New Roman"/>
          <w:kern w:val="0"/>
          <w:szCs w:val="21"/>
        </w:rPr>
        <w:t>的功能设计、结构、性能、安装和试验等方面的技术要求。</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rPr>
        <w:t>2、</w:t>
      </w:r>
      <w:r>
        <w:rPr>
          <w:rFonts w:ascii="Times New Roman" w:hAnsi="Times New Roman"/>
          <w:kern w:val="0"/>
          <w:szCs w:val="21"/>
        </w:rPr>
        <w:t>本技术条件提出的是最低限度的技术要求。凡本技术条件中未规定，但在相关设备的国家标准或IEC标准中有规定的规范条文，</w:t>
      </w:r>
      <w:r>
        <w:rPr>
          <w:rFonts w:hint="eastAsia" w:ascii="Times New Roman" w:hAnsi="Times New Roman"/>
          <w:kern w:val="0"/>
          <w:szCs w:val="21"/>
        </w:rPr>
        <w:t>报价人</w:t>
      </w:r>
      <w:r>
        <w:rPr>
          <w:rFonts w:ascii="Times New Roman" w:hAnsi="Times New Roman"/>
          <w:kern w:val="0"/>
          <w:szCs w:val="21"/>
        </w:rPr>
        <w:t>应按相应标准的条文进行设备设计、制造、试验和安装。对国家有关安全、环保等强制性标准，必须满足其要求。</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rPr>
        <w:t>3、</w:t>
      </w:r>
      <w:r>
        <w:rPr>
          <w:rFonts w:ascii="Times New Roman" w:hAnsi="Times New Roman"/>
          <w:kern w:val="0"/>
          <w:szCs w:val="21"/>
        </w:rPr>
        <w:t>如果</w:t>
      </w:r>
      <w:r>
        <w:rPr>
          <w:rFonts w:hint="eastAsia" w:ascii="Times New Roman" w:hAnsi="Times New Roman"/>
          <w:kern w:val="0"/>
          <w:szCs w:val="21"/>
        </w:rPr>
        <w:t>报价人</w:t>
      </w:r>
      <w:r>
        <w:rPr>
          <w:rFonts w:ascii="Times New Roman" w:hAnsi="Times New Roman"/>
          <w:kern w:val="0"/>
          <w:szCs w:val="21"/>
        </w:rPr>
        <w:t>没有以书面形式对本规范书的条文提出异议，则意味着</w:t>
      </w:r>
      <w:r>
        <w:rPr>
          <w:rFonts w:hint="eastAsia" w:ascii="Times New Roman" w:hAnsi="Times New Roman"/>
          <w:kern w:val="0"/>
          <w:szCs w:val="21"/>
        </w:rPr>
        <w:t>报价人</w:t>
      </w:r>
      <w:r>
        <w:rPr>
          <w:rFonts w:ascii="Times New Roman" w:hAnsi="Times New Roman"/>
          <w:kern w:val="0"/>
          <w:szCs w:val="21"/>
        </w:rPr>
        <w:t>提供的设备完全符合本规范书的要求。如有异议，不管多么微小，都应在报价书中以“对规范书的意见和同规范书的差异”为标题的专门章节中加以详细描述。</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rPr>
        <w:t>4、</w:t>
      </w:r>
      <w:r>
        <w:rPr>
          <w:rFonts w:ascii="Times New Roman" w:hAnsi="Times New Roman"/>
          <w:kern w:val="0"/>
          <w:szCs w:val="21"/>
        </w:rPr>
        <w:t>本技术规范书所使用的标准如遇与</w:t>
      </w:r>
      <w:r>
        <w:rPr>
          <w:rFonts w:hint="eastAsia" w:ascii="Times New Roman" w:hAnsi="Times New Roman"/>
          <w:kern w:val="0"/>
          <w:szCs w:val="21"/>
        </w:rPr>
        <w:t>报价人</w:t>
      </w:r>
      <w:r>
        <w:rPr>
          <w:rFonts w:ascii="Times New Roman" w:hAnsi="Times New Roman"/>
          <w:kern w:val="0"/>
          <w:szCs w:val="21"/>
        </w:rPr>
        <w:t>所执行的标准不一致时，按较高标准执行。</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rPr>
        <w:t>5、</w:t>
      </w:r>
      <w:r>
        <w:rPr>
          <w:rFonts w:ascii="Times New Roman" w:hAnsi="Times New Roman"/>
          <w:kern w:val="0"/>
          <w:szCs w:val="21"/>
        </w:rPr>
        <w:t>本技术规范书经买、卖双方确认后作为订货合同的技术附件，与合同正文具有同等的法律效力。</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rPr>
        <w:t>6、报价人</w:t>
      </w:r>
      <w:r>
        <w:rPr>
          <w:rFonts w:ascii="Times New Roman" w:hAnsi="Times New Roman"/>
          <w:kern w:val="0"/>
          <w:szCs w:val="21"/>
        </w:rPr>
        <w:t>在应标技术条件中应如实反映应标产品与本技术条件的技术差异。如果</w:t>
      </w:r>
      <w:r>
        <w:rPr>
          <w:rFonts w:hint="eastAsia" w:ascii="Times New Roman" w:hAnsi="Times New Roman"/>
          <w:kern w:val="0"/>
          <w:szCs w:val="21"/>
        </w:rPr>
        <w:t>报价人</w:t>
      </w:r>
      <w:r>
        <w:rPr>
          <w:rFonts w:ascii="Times New Roman" w:hAnsi="Times New Roman"/>
          <w:kern w:val="0"/>
          <w:szCs w:val="21"/>
        </w:rPr>
        <w:t>没有提出技术差异，而在执行合同的过程中，</w:t>
      </w:r>
      <w:r>
        <w:rPr>
          <w:rFonts w:hint="eastAsia" w:ascii="Times New Roman" w:hAnsi="Times New Roman"/>
          <w:kern w:val="0"/>
          <w:szCs w:val="21"/>
        </w:rPr>
        <w:t>采购人</w:t>
      </w:r>
      <w:r>
        <w:rPr>
          <w:rFonts w:ascii="Times New Roman" w:hAnsi="Times New Roman"/>
          <w:kern w:val="0"/>
          <w:szCs w:val="21"/>
        </w:rPr>
        <w:t>发现</w:t>
      </w:r>
      <w:r>
        <w:rPr>
          <w:rFonts w:hint="eastAsia" w:ascii="Times New Roman" w:hAnsi="Times New Roman"/>
          <w:kern w:val="0"/>
          <w:szCs w:val="21"/>
        </w:rPr>
        <w:t>报价人</w:t>
      </w:r>
      <w:r>
        <w:rPr>
          <w:rFonts w:ascii="Times New Roman" w:hAnsi="Times New Roman"/>
          <w:kern w:val="0"/>
          <w:szCs w:val="21"/>
        </w:rPr>
        <w:t>提供的产品与其应标技术规范的条文存在差异，</w:t>
      </w:r>
      <w:r>
        <w:rPr>
          <w:rFonts w:hint="eastAsia" w:ascii="Times New Roman" w:hAnsi="Times New Roman"/>
          <w:kern w:val="0"/>
          <w:szCs w:val="21"/>
        </w:rPr>
        <w:t>采购人</w:t>
      </w:r>
      <w:r>
        <w:rPr>
          <w:rFonts w:ascii="Times New Roman" w:hAnsi="Times New Roman"/>
          <w:kern w:val="0"/>
          <w:szCs w:val="21"/>
        </w:rPr>
        <w:t>有权利要求退货。</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lang w:val="en-US" w:eastAsia="zh-CN"/>
        </w:rPr>
        <w:t>7</w:t>
      </w:r>
      <w:r>
        <w:rPr>
          <w:rFonts w:hint="eastAsia" w:ascii="Times New Roman" w:hAnsi="Times New Roman"/>
          <w:kern w:val="0"/>
          <w:szCs w:val="21"/>
        </w:rPr>
        <w:t>、报价人</w:t>
      </w:r>
      <w:r>
        <w:rPr>
          <w:rFonts w:ascii="Times New Roman" w:hAnsi="Times New Roman"/>
          <w:kern w:val="0"/>
          <w:szCs w:val="21"/>
        </w:rPr>
        <w:t>应充分理解本技术条件并按本技术条件的具体条款、格式要求填写应标的技术文件。</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lang w:val="en-US" w:eastAsia="zh-CN"/>
        </w:rPr>
        <w:t>8</w:t>
      </w:r>
      <w:r>
        <w:rPr>
          <w:rFonts w:hint="eastAsia" w:ascii="Times New Roman" w:hAnsi="Times New Roman"/>
          <w:kern w:val="0"/>
          <w:szCs w:val="21"/>
        </w:rPr>
        <w:t>、</w:t>
      </w:r>
      <w:r>
        <w:rPr>
          <w:rFonts w:ascii="Times New Roman" w:hAnsi="Times New Roman"/>
          <w:kern w:val="0"/>
          <w:szCs w:val="21"/>
        </w:rPr>
        <w:t>本技术规范书未尽事宜，由买、卖双方协商确定。</w:t>
      </w:r>
    </w:p>
    <w:p>
      <w:pPr>
        <w:pStyle w:val="20"/>
        <w:spacing w:line="360" w:lineRule="auto"/>
        <w:ind w:firstLine="420" w:firstLineChars="200"/>
        <w:rPr>
          <w:rFonts w:ascii="Times New Roman" w:hAnsi="Times New Roman"/>
          <w:kern w:val="0"/>
          <w:szCs w:val="21"/>
        </w:rPr>
      </w:pPr>
      <w:r>
        <w:rPr>
          <w:rFonts w:hint="eastAsia" w:ascii="Times New Roman" w:hAnsi="Times New Roman"/>
          <w:kern w:val="0"/>
          <w:szCs w:val="21"/>
          <w:lang w:val="en-US" w:eastAsia="zh-CN"/>
        </w:rPr>
        <w:t>9</w:t>
      </w:r>
      <w:r>
        <w:rPr>
          <w:rFonts w:hint="eastAsia" w:ascii="Times New Roman" w:hAnsi="Times New Roman"/>
          <w:kern w:val="0"/>
          <w:szCs w:val="21"/>
        </w:rPr>
        <w:t>、报价人应提供机械表计模组、微水传感模组、结构机箱不少于</w:t>
      </w:r>
      <w:r>
        <w:rPr>
          <w:rFonts w:hint="eastAsia" w:ascii="Times New Roman" w:hAnsi="Times New Roman"/>
          <w:kern w:val="0"/>
          <w:szCs w:val="21"/>
          <w:lang w:val="en-US" w:eastAsia="zh-CN"/>
        </w:rPr>
        <w:t>5</w:t>
      </w:r>
      <w:r>
        <w:rPr>
          <w:rFonts w:hint="eastAsia" w:ascii="Times New Roman" w:hAnsi="Times New Roman"/>
          <w:kern w:val="0"/>
          <w:szCs w:val="21"/>
        </w:rPr>
        <w:t>年的产品质量保证期。</w:t>
      </w:r>
    </w:p>
    <w:p>
      <w:pPr>
        <w:pStyle w:val="2"/>
      </w:pPr>
      <w:bookmarkStart w:id="9" w:name="_Toc1871855544"/>
      <w:bookmarkStart w:id="10" w:name="_Toc24060"/>
      <w:bookmarkStart w:id="11" w:name="_Toc8248"/>
      <w:bookmarkStart w:id="12" w:name="_Toc4372"/>
      <w:r>
        <w:t>工作范围</w:t>
      </w:r>
      <w:bookmarkEnd w:id="9"/>
      <w:bookmarkEnd w:id="10"/>
      <w:bookmarkEnd w:id="11"/>
      <w:bookmarkEnd w:id="12"/>
    </w:p>
    <w:p>
      <w:pPr>
        <w:pStyle w:val="3"/>
        <w:numPr>
          <w:ilvl w:val="1"/>
          <w:numId w:val="0"/>
        </w:numPr>
      </w:pPr>
      <w:bookmarkStart w:id="13" w:name="_Toc31960"/>
      <w:bookmarkStart w:id="14" w:name="_Toc10501"/>
      <w:bookmarkStart w:id="15" w:name="_Toc29068"/>
      <w:bookmarkStart w:id="16" w:name="_Toc140232449"/>
      <w:r>
        <w:rPr>
          <w:rFonts w:hint="eastAsia" w:ascii="Times New Roman" w:hAnsi="Times New Roman" w:eastAsia="黑体"/>
        </w:rPr>
        <w:t xml:space="preserve">2.1 </w:t>
      </w:r>
      <w:r>
        <w:rPr>
          <w:rFonts w:ascii="Times New Roman" w:hAnsi="Times New Roman" w:eastAsia="黑体"/>
        </w:rPr>
        <w:t>供货范围</w:t>
      </w:r>
      <w:bookmarkEnd w:id="13"/>
      <w:bookmarkEnd w:id="14"/>
      <w:bookmarkEnd w:id="15"/>
      <w:bookmarkEnd w:id="16"/>
    </w:p>
    <w:p>
      <w:pPr>
        <w:spacing w:line="360" w:lineRule="auto"/>
        <w:ind w:left="210" w:firstLine="210"/>
        <w:rPr>
          <w:szCs w:val="21"/>
        </w:rPr>
      </w:pPr>
      <w:r>
        <w:rPr>
          <w:szCs w:val="21"/>
        </w:rPr>
        <w:t>合同供货范围为智慧变电多物理量气体监测传感模组，详见</w:t>
      </w:r>
      <w:r>
        <w:rPr>
          <w:rFonts w:hint="eastAsia"/>
          <w:szCs w:val="21"/>
        </w:rPr>
        <w:t>5.6交付物清单</w:t>
      </w:r>
      <w:r>
        <w:rPr>
          <w:szCs w:val="21"/>
        </w:rPr>
        <w:t>。</w:t>
      </w:r>
    </w:p>
    <w:p>
      <w:pPr>
        <w:pStyle w:val="3"/>
        <w:numPr>
          <w:ilvl w:val="1"/>
          <w:numId w:val="0"/>
        </w:numPr>
        <w:rPr>
          <w:rFonts w:ascii="Times New Roman" w:hAnsi="Times New Roman" w:eastAsia="黑体"/>
        </w:rPr>
      </w:pPr>
      <w:bookmarkStart w:id="17" w:name="_Toc1440"/>
      <w:bookmarkStart w:id="18" w:name="_Toc1004908778"/>
      <w:bookmarkStart w:id="19" w:name="_Toc31424"/>
      <w:bookmarkStart w:id="20" w:name="_Toc7158"/>
      <w:r>
        <w:rPr>
          <w:rFonts w:ascii="Times New Roman" w:hAnsi="Times New Roman" w:eastAsia="黑体"/>
        </w:rPr>
        <w:t>2.2 服务界限</w:t>
      </w:r>
      <w:bookmarkEnd w:id="17"/>
      <w:bookmarkEnd w:id="18"/>
      <w:bookmarkEnd w:id="19"/>
      <w:bookmarkEnd w:id="20"/>
    </w:p>
    <w:p>
      <w:pPr>
        <w:spacing w:line="360" w:lineRule="auto"/>
        <w:ind w:firstLine="420" w:firstLineChars="200"/>
        <w:rPr>
          <w:szCs w:val="21"/>
        </w:rPr>
      </w:pPr>
      <w:r>
        <w:rPr>
          <w:rFonts w:hint="eastAsia"/>
          <w:szCs w:val="21"/>
        </w:rPr>
        <w:t>1、</w:t>
      </w:r>
      <w:r>
        <w:rPr>
          <w:szCs w:val="21"/>
        </w:rPr>
        <w:t>装置</w:t>
      </w:r>
      <w:r>
        <w:rPr>
          <w:rFonts w:hint="eastAsia"/>
          <w:szCs w:val="21"/>
          <w:lang w:eastAsia="zh-CN"/>
        </w:rPr>
        <w:t>从报价</w:t>
      </w:r>
      <w:r>
        <w:rPr>
          <w:rFonts w:hint="eastAsia"/>
          <w:szCs w:val="21"/>
        </w:rPr>
        <w:t>人</w:t>
      </w:r>
      <w:r>
        <w:rPr>
          <w:szCs w:val="21"/>
        </w:rPr>
        <w:t>至</w:t>
      </w:r>
      <w:r>
        <w:rPr>
          <w:rFonts w:hint="eastAsia"/>
          <w:szCs w:val="21"/>
        </w:rPr>
        <w:t>采购人</w:t>
      </w:r>
      <w:r>
        <w:rPr>
          <w:szCs w:val="21"/>
        </w:rPr>
        <w:t>的运输全部由</w:t>
      </w:r>
      <w:r>
        <w:rPr>
          <w:rFonts w:hint="eastAsia"/>
          <w:szCs w:val="21"/>
        </w:rPr>
        <w:t>报价人</w:t>
      </w:r>
      <w:r>
        <w:rPr>
          <w:szCs w:val="21"/>
        </w:rPr>
        <w:t>完成。</w:t>
      </w:r>
    </w:p>
    <w:p>
      <w:pPr>
        <w:spacing w:line="360" w:lineRule="auto"/>
        <w:ind w:firstLine="420" w:firstLineChars="200"/>
        <w:rPr>
          <w:szCs w:val="21"/>
        </w:rPr>
      </w:pPr>
      <w:r>
        <w:rPr>
          <w:rFonts w:hint="eastAsia"/>
          <w:szCs w:val="21"/>
        </w:rPr>
        <w:t>2、报价人应完成</w:t>
      </w:r>
      <w:r>
        <w:rPr>
          <w:rFonts w:hint="eastAsia" w:ascii="宋体" w:hAnsi="宋体" w:cs="宋体"/>
          <w:szCs w:val="21"/>
        </w:rPr>
        <w:t>智能传感模组与元器件的生产并完成出厂测试。</w:t>
      </w:r>
    </w:p>
    <w:p>
      <w:pPr>
        <w:spacing w:line="360" w:lineRule="auto"/>
        <w:ind w:firstLine="420" w:firstLineChars="200"/>
        <w:rPr>
          <w:szCs w:val="21"/>
        </w:rPr>
      </w:pPr>
      <w:r>
        <w:rPr>
          <w:rFonts w:hint="eastAsia"/>
          <w:szCs w:val="21"/>
        </w:rPr>
        <w:t>3、报价人应根据</w:t>
      </w:r>
      <w:r>
        <w:rPr>
          <w:rFonts w:hint="eastAsia"/>
          <w:szCs w:val="21"/>
          <w:lang w:eastAsia="zh-CN"/>
        </w:rPr>
        <w:t>采购人</w:t>
      </w:r>
      <w:r>
        <w:rPr>
          <w:rFonts w:hint="eastAsia"/>
          <w:szCs w:val="21"/>
        </w:rPr>
        <w:t>要求完成设备代管理或存储。</w:t>
      </w:r>
    </w:p>
    <w:p>
      <w:pPr>
        <w:spacing w:line="360" w:lineRule="auto"/>
        <w:ind w:firstLine="420" w:firstLineChars="200"/>
        <w:rPr>
          <w:szCs w:val="21"/>
        </w:rPr>
      </w:pPr>
      <w:r>
        <w:rPr>
          <w:rFonts w:hint="eastAsia"/>
          <w:szCs w:val="21"/>
        </w:rPr>
        <w:t>4、报价人应根据</w:t>
      </w:r>
      <w:r>
        <w:rPr>
          <w:rFonts w:hint="eastAsia"/>
          <w:szCs w:val="21"/>
          <w:lang w:eastAsia="zh-CN"/>
        </w:rPr>
        <w:t>采购人</w:t>
      </w:r>
      <w:r>
        <w:rPr>
          <w:rFonts w:hint="eastAsia"/>
          <w:szCs w:val="21"/>
        </w:rPr>
        <w:t>要求完成调试、测试，并提供必要的操作指引</w:t>
      </w:r>
      <w:r>
        <w:rPr>
          <w:szCs w:val="21"/>
        </w:rPr>
        <w:t>。</w:t>
      </w:r>
    </w:p>
    <w:p>
      <w:pPr>
        <w:spacing w:line="360" w:lineRule="auto"/>
        <w:ind w:firstLine="420" w:firstLineChars="200"/>
        <w:rPr>
          <w:rStyle w:val="43"/>
        </w:rPr>
      </w:pPr>
      <w:r>
        <w:rPr>
          <w:rFonts w:hint="eastAsia"/>
          <w:szCs w:val="21"/>
        </w:rPr>
        <w:t>5、报价人应负责元器件模组的维保工作，</w:t>
      </w:r>
      <w:r>
        <w:rPr>
          <w:rFonts w:hint="eastAsia"/>
          <w:kern w:val="0"/>
          <w:szCs w:val="21"/>
        </w:rPr>
        <w:t>并提供机械表计模组、微水传感模组、结构机箱不少于</w:t>
      </w:r>
      <w:r>
        <w:rPr>
          <w:rFonts w:hint="eastAsia"/>
          <w:kern w:val="0"/>
          <w:szCs w:val="21"/>
          <w:lang w:val="en-US" w:eastAsia="zh-CN"/>
        </w:rPr>
        <w:t>5</w:t>
      </w:r>
      <w:bookmarkStart w:id="232" w:name="_GoBack"/>
      <w:bookmarkEnd w:id="232"/>
      <w:r>
        <w:rPr>
          <w:rFonts w:hint="eastAsia"/>
          <w:kern w:val="0"/>
          <w:szCs w:val="21"/>
        </w:rPr>
        <w:t>年的产品质量保证期</w:t>
      </w:r>
      <w:r>
        <w:rPr>
          <w:szCs w:val="21"/>
        </w:rPr>
        <w:t>。</w:t>
      </w:r>
    </w:p>
    <w:p>
      <w:pPr>
        <w:pStyle w:val="3"/>
        <w:numPr>
          <w:ilvl w:val="1"/>
          <w:numId w:val="0"/>
        </w:numPr>
        <w:rPr>
          <w:rFonts w:ascii="Times New Roman" w:hAnsi="Times New Roman" w:eastAsia="黑体"/>
        </w:rPr>
      </w:pPr>
      <w:bookmarkStart w:id="21" w:name="_Toc13557"/>
      <w:bookmarkStart w:id="22" w:name="_Toc1263715687"/>
      <w:bookmarkStart w:id="23" w:name="_Toc1079941472"/>
      <w:bookmarkStart w:id="24" w:name="_Toc325124333"/>
      <w:bookmarkStart w:id="25" w:name="_Toc1253"/>
      <w:r>
        <w:rPr>
          <w:rFonts w:ascii="Times New Roman" w:hAnsi="Times New Roman" w:eastAsia="黑体"/>
        </w:rPr>
        <w:t>2.3 技术文件</w:t>
      </w:r>
      <w:bookmarkEnd w:id="21"/>
      <w:bookmarkEnd w:id="22"/>
      <w:bookmarkEnd w:id="23"/>
      <w:bookmarkEnd w:id="24"/>
      <w:bookmarkEnd w:id="25"/>
    </w:p>
    <w:p>
      <w:r>
        <w:rPr>
          <w:rFonts w:hint="eastAsia"/>
        </w:rPr>
        <w:t>1、</w:t>
      </w:r>
      <w:r>
        <w:rPr>
          <w:rFonts w:hint="eastAsia"/>
          <w:lang w:eastAsia="zh-CN"/>
        </w:rPr>
        <w:t>报价人</w:t>
      </w:r>
      <w:r>
        <w:rPr>
          <w:rFonts w:hint="eastAsia"/>
        </w:rPr>
        <w:t>应向采购人提供一般性资料，如鉴定证书、报价书、典型说明书和主要技术参数。</w:t>
      </w:r>
    </w:p>
    <w:p>
      <w:pPr>
        <w:spacing w:line="360" w:lineRule="auto"/>
        <w:rPr>
          <w:szCs w:val="21"/>
        </w:rPr>
      </w:pPr>
      <w:r>
        <w:rPr>
          <w:rFonts w:hint="eastAsia"/>
          <w:bCs/>
          <w:szCs w:val="21"/>
        </w:rPr>
        <w:t>2</w:t>
      </w:r>
      <w:r>
        <w:rPr>
          <w:rFonts w:hint="eastAsia"/>
          <w:b/>
          <w:szCs w:val="21"/>
        </w:rPr>
        <w:t>、</w:t>
      </w:r>
      <w:r>
        <w:rPr>
          <w:szCs w:val="21"/>
        </w:rPr>
        <w:t>在技术协议签订</w:t>
      </w:r>
      <w:r>
        <w:rPr>
          <w:rFonts w:hint="eastAsia"/>
          <w:szCs w:val="21"/>
        </w:rPr>
        <w:t>2</w:t>
      </w:r>
      <w:r>
        <w:rPr>
          <w:szCs w:val="21"/>
        </w:rPr>
        <w:t>0天内，</w:t>
      </w:r>
      <w:r>
        <w:rPr>
          <w:rFonts w:hint="eastAsia"/>
          <w:szCs w:val="21"/>
        </w:rPr>
        <w:t>报价人</w:t>
      </w:r>
      <w:r>
        <w:rPr>
          <w:szCs w:val="21"/>
        </w:rPr>
        <w:t>向</w:t>
      </w:r>
      <w:r>
        <w:rPr>
          <w:rFonts w:hint="eastAsia"/>
          <w:szCs w:val="21"/>
        </w:rPr>
        <w:t>采购人</w:t>
      </w:r>
      <w:r>
        <w:rPr>
          <w:szCs w:val="21"/>
        </w:rPr>
        <w:t>提供下列图纸资料及拷贝光盘2份。</w:t>
      </w:r>
    </w:p>
    <w:p>
      <w:pPr>
        <w:spacing w:line="360" w:lineRule="auto"/>
        <w:ind w:left="210" w:firstLine="210"/>
        <w:rPr>
          <w:szCs w:val="21"/>
        </w:rPr>
      </w:pPr>
      <w:r>
        <w:rPr>
          <w:szCs w:val="21"/>
        </w:rPr>
        <w:t>（a）接线配置图；</w:t>
      </w:r>
    </w:p>
    <w:p>
      <w:pPr>
        <w:spacing w:line="360" w:lineRule="auto"/>
        <w:ind w:left="210" w:firstLine="210"/>
        <w:rPr>
          <w:szCs w:val="21"/>
        </w:rPr>
      </w:pPr>
      <w:r>
        <w:rPr>
          <w:szCs w:val="21"/>
        </w:rPr>
        <w:t>（b）外形图、安装尺寸基础图；</w:t>
      </w:r>
    </w:p>
    <w:p>
      <w:pPr>
        <w:spacing w:line="360" w:lineRule="auto"/>
        <w:ind w:left="210" w:firstLine="210"/>
        <w:rPr>
          <w:szCs w:val="21"/>
        </w:rPr>
      </w:pPr>
      <w:r>
        <w:rPr>
          <w:szCs w:val="21"/>
        </w:rPr>
        <w:t>（c）装置使用说明书。</w:t>
      </w:r>
    </w:p>
    <w:p>
      <w:pPr>
        <w:spacing w:line="360" w:lineRule="auto"/>
        <w:rPr>
          <w:szCs w:val="21"/>
        </w:rPr>
      </w:pPr>
      <w:bookmarkStart w:id="26" w:name="_Toc240364367"/>
      <w:bookmarkStart w:id="27" w:name="_Toc240363504"/>
      <w:bookmarkStart w:id="28" w:name="_Toc240363364"/>
      <w:r>
        <w:rPr>
          <w:rFonts w:hint="eastAsia"/>
          <w:bCs/>
          <w:szCs w:val="21"/>
        </w:rPr>
        <w:t>3</w:t>
      </w:r>
      <w:r>
        <w:rPr>
          <w:rFonts w:hint="eastAsia"/>
          <w:b/>
          <w:szCs w:val="21"/>
        </w:rPr>
        <w:t>、</w:t>
      </w:r>
      <w:r>
        <w:rPr>
          <w:szCs w:val="21"/>
        </w:rPr>
        <w:t>装置供货时提供下列资料: 装置的开箱资料除了</w:t>
      </w:r>
      <w:r>
        <w:rPr>
          <w:rFonts w:hint="eastAsia"/>
          <w:szCs w:val="21"/>
        </w:rPr>
        <w:t>上诉第2</w:t>
      </w:r>
      <w:r>
        <w:rPr>
          <w:szCs w:val="21"/>
        </w:rPr>
        <w:t>条所述图纸资料外，还应包括安装、运行、维护、修理说明书(中文或中英文对照)，部件清单，易损件的清单，工厂试验报告，产品合格证等。</w:t>
      </w:r>
      <w:bookmarkEnd w:id="26"/>
      <w:bookmarkEnd w:id="27"/>
      <w:bookmarkEnd w:id="28"/>
    </w:p>
    <w:p>
      <w:pPr>
        <w:spacing w:line="360" w:lineRule="auto"/>
        <w:rPr>
          <w:szCs w:val="21"/>
        </w:rPr>
      </w:pPr>
      <w:r>
        <w:rPr>
          <w:rFonts w:hint="eastAsia"/>
          <w:bCs/>
          <w:szCs w:val="21"/>
        </w:rPr>
        <w:t>4</w:t>
      </w:r>
      <w:r>
        <w:rPr>
          <w:rFonts w:hint="eastAsia"/>
          <w:b/>
          <w:szCs w:val="21"/>
        </w:rPr>
        <w:t>、</w:t>
      </w:r>
      <w:r>
        <w:rPr>
          <w:rFonts w:hint="eastAsia"/>
          <w:szCs w:val="21"/>
        </w:rPr>
        <w:t>报价人</w:t>
      </w:r>
      <w:r>
        <w:rPr>
          <w:szCs w:val="21"/>
        </w:rPr>
        <w:t>应提供上述资料的电子版本2份。</w:t>
      </w:r>
    </w:p>
    <w:p>
      <w:pPr>
        <w:pStyle w:val="2"/>
      </w:pPr>
      <w:bookmarkStart w:id="29" w:name="_Toc868850791"/>
      <w:bookmarkStart w:id="30" w:name="_Toc18950"/>
      <w:r>
        <w:t>应遵循的主要标准</w:t>
      </w:r>
      <w:bookmarkEnd w:id="6"/>
      <w:bookmarkEnd w:id="7"/>
      <w:bookmarkEnd w:id="8"/>
      <w:bookmarkEnd w:id="29"/>
      <w:bookmarkEnd w:id="30"/>
    </w:p>
    <w:p>
      <w:pPr>
        <w:spacing w:line="360" w:lineRule="auto"/>
        <w:ind w:firstLine="420"/>
        <w:rPr>
          <w:szCs w:val="21"/>
        </w:rPr>
      </w:pPr>
      <w:bookmarkStart w:id="31" w:name="_Toc279769035"/>
      <w:r>
        <w:rPr>
          <w:szCs w:val="21"/>
        </w:rPr>
        <w:t>除本技术规范特殊规定外，</w:t>
      </w:r>
      <w:r>
        <w:rPr>
          <w:rFonts w:hint="eastAsia"/>
          <w:szCs w:val="21"/>
        </w:rPr>
        <w:t>报价人</w:t>
      </w:r>
      <w:r>
        <w:rPr>
          <w:szCs w:val="21"/>
        </w:rPr>
        <w:t>所提供的设备及服务均按规定的标准和规程的最新版本进行生产、制造、试验和安装。如果这些标准内容有矛盾时，应按技术要求最高的条款执行或按双方商定的标准执行。如果</w:t>
      </w:r>
      <w:r>
        <w:rPr>
          <w:rFonts w:hint="eastAsia"/>
          <w:szCs w:val="21"/>
        </w:rPr>
        <w:t>报价人</w:t>
      </w:r>
      <w:r>
        <w:rPr>
          <w:szCs w:val="21"/>
        </w:rPr>
        <w:t>选用本技术规范书规定以外的标准时，则需提交这种替换标准供审查和分析。仅在</w:t>
      </w:r>
      <w:r>
        <w:rPr>
          <w:rFonts w:hint="eastAsia"/>
          <w:szCs w:val="21"/>
        </w:rPr>
        <w:t>报价人</w:t>
      </w:r>
      <w:r>
        <w:rPr>
          <w:szCs w:val="21"/>
        </w:rPr>
        <w:t>已证明替换标准相当或优于技术规范书规定的标准，并从</w:t>
      </w:r>
      <w:r>
        <w:rPr>
          <w:rFonts w:hint="eastAsia"/>
          <w:szCs w:val="21"/>
        </w:rPr>
        <w:t>采购人</w:t>
      </w:r>
      <w:r>
        <w:rPr>
          <w:szCs w:val="21"/>
        </w:rPr>
        <w:t>处获得书面的认可才能使用。提交供审查的标准应为中文版本。</w:t>
      </w:r>
    </w:p>
    <w:p>
      <w:pPr>
        <w:spacing w:line="360" w:lineRule="auto"/>
        <w:ind w:firstLine="420"/>
        <w:rPr>
          <w:szCs w:val="21"/>
        </w:rPr>
      </w:pPr>
      <w:r>
        <w:rPr>
          <w:szCs w:val="21"/>
        </w:rPr>
        <w:t>下列文件对于本技术规范书的应用是必不可少。凡是注日期的引用文件，仅注日期的版本适用于本技术规范书。凡是不注日期的引用文件，其最新版本（包括所有的修改单）适用于本技术规范书：</w:t>
      </w:r>
    </w:p>
    <w:bookmarkEnd w:id="31"/>
    <w:p>
      <w:pPr>
        <w:spacing w:line="360" w:lineRule="auto"/>
        <w:ind w:firstLine="420" w:firstLineChars="200"/>
        <w:rPr>
          <w:szCs w:val="21"/>
        </w:rPr>
      </w:pPr>
      <w:bookmarkStart w:id="32" w:name="_Toc79155058"/>
      <w:bookmarkStart w:id="33" w:name="_Toc6735975"/>
      <w:bookmarkStart w:id="34" w:name="_Toc79156663"/>
      <w:r>
        <w:rPr>
          <w:szCs w:val="21"/>
        </w:rPr>
        <w:t>GB2312信息交换用汉字编码字符集基本集</w:t>
      </w:r>
    </w:p>
    <w:p>
      <w:pPr>
        <w:spacing w:line="360" w:lineRule="auto"/>
        <w:ind w:firstLine="420" w:firstLineChars="200"/>
        <w:rPr>
          <w:szCs w:val="21"/>
        </w:rPr>
      </w:pPr>
      <w:r>
        <w:rPr>
          <w:szCs w:val="21"/>
        </w:rPr>
        <w:t>GB4943.1信息技术设备安全第1部分：通用要求</w:t>
      </w:r>
    </w:p>
    <w:p>
      <w:pPr>
        <w:spacing w:line="360" w:lineRule="auto"/>
        <w:ind w:firstLine="420" w:firstLineChars="200"/>
        <w:rPr>
          <w:szCs w:val="21"/>
        </w:rPr>
      </w:pPr>
      <w:r>
        <w:rPr>
          <w:szCs w:val="21"/>
        </w:rPr>
        <w:t>GB/T11023—2018高压开关设备六氟化硫气体密封试验导则</w:t>
      </w:r>
    </w:p>
    <w:p>
      <w:pPr>
        <w:spacing w:line="360" w:lineRule="auto"/>
        <w:ind w:firstLine="420" w:firstLineChars="200"/>
        <w:rPr>
          <w:szCs w:val="21"/>
        </w:rPr>
      </w:pPr>
      <w:r>
        <w:rPr>
          <w:szCs w:val="21"/>
        </w:rPr>
        <w:t>GB/T14537量度继电器和保护装置的冲击与碰撞试验</w:t>
      </w:r>
    </w:p>
    <w:p>
      <w:pPr>
        <w:spacing w:line="360" w:lineRule="auto"/>
        <w:ind w:firstLine="420" w:firstLineChars="200"/>
        <w:rPr>
          <w:szCs w:val="21"/>
        </w:rPr>
      </w:pPr>
      <w:r>
        <w:rPr>
          <w:szCs w:val="21"/>
        </w:rPr>
        <w:t>GB/T17626.10电磁兼容试验和测量技术阻尼振荡磁场抗扰度试验</w:t>
      </w:r>
    </w:p>
    <w:p>
      <w:pPr>
        <w:spacing w:line="360" w:lineRule="auto"/>
        <w:ind w:firstLine="420" w:firstLineChars="200"/>
        <w:rPr>
          <w:szCs w:val="21"/>
        </w:rPr>
      </w:pPr>
      <w:r>
        <w:rPr>
          <w:szCs w:val="21"/>
        </w:rPr>
        <w:t>GB/T17626.11电磁兼容试验和测量技术电压暂降、短时中断和电压变化的抗扰度试验</w:t>
      </w:r>
    </w:p>
    <w:p>
      <w:pPr>
        <w:spacing w:line="360" w:lineRule="auto"/>
        <w:ind w:firstLine="420" w:firstLineChars="200"/>
        <w:rPr>
          <w:szCs w:val="21"/>
        </w:rPr>
      </w:pPr>
      <w:r>
        <w:rPr>
          <w:szCs w:val="21"/>
        </w:rPr>
        <w:t>GB/T17626.2电磁兼容试验和测量技术静电放电抗扰度试验</w:t>
      </w:r>
    </w:p>
    <w:p>
      <w:pPr>
        <w:spacing w:line="360" w:lineRule="auto"/>
        <w:ind w:firstLine="420" w:firstLineChars="200"/>
        <w:rPr>
          <w:szCs w:val="21"/>
        </w:rPr>
      </w:pPr>
      <w:r>
        <w:rPr>
          <w:szCs w:val="21"/>
        </w:rPr>
        <w:t>GB/T17626.3电磁兼容试验和测量技术射频电磁场辐射抗扰度试验</w:t>
      </w:r>
    </w:p>
    <w:p>
      <w:pPr>
        <w:spacing w:line="360" w:lineRule="auto"/>
        <w:ind w:firstLine="420" w:firstLineChars="200"/>
        <w:rPr>
          <w:szCs w:val="21"/>
        </w:rPr>
      </w:pPr>
      <w:r>
        <w:rPr>
          <w:szCs w:val="21"/>
        </w:rPr>
        <w:t>GB/T17626.4电磁兼容试验和测量技术电快速瞬变脉冲群抗扰度试验</w:t>
      </w:r>
    </w:p>
    <w:p>
      <w:pPr>
        <w:spacing w:line="360" w:lineRule="auto"/>
        <w:ind w:firstLine="420" w:firstLineChars="200"/>
        <w:rPr>
          <w:szCs w:val="21"/>
        </w:rPr>
      </w:pPr>
      <w:r>
        <w:rPr>
          <w:szCs w:val="21"/>
        </w:rPr>
        <w:t>GB/T17626.5电磁兼容试验和测量技术浪涌（冲击）抗扰度试验</w:t>
      </w:r>
    </w:p>
    <w:p>
      <w:pPr>
        <w:spacing w:line="360" w:lineRule="auto"/>
        <w:ind w:firstLine="420" w:firstLineChars="200"/>
        <w:rPr>
          <w:szCs w:val="21"/>
        </w:rPr>
      </w:pPr>
      <w:r>
        <w:rPr>
          <w:szCs w:val="21"/>
        </w:rPr>
        <w:t>GB/T17626.6电磁兼容试验和测量技术射频场感应的传导骚扰抗扰度试验</w:t>
      </w:r>
    </w:p>
    <w:p>
      <w:pPr>
        <w:spacing w:line="360" w:lineRule="auto"/>
        <w:ind w:firstLine="420" w:firstLineChars="200"/>
        <w:rPr>
          <w:szCs w:val="21"/>
        </w:rPr>
      </w:pPr>
      <w:r>
        <w:rPr>
          <w:szCs w:val="21"/>
        </w:rPr>
        <w:t>GB/T17626.8电磁兼容试验和测量技术工频磁场抗扰度试验</w:t>
      </w:r>
    </w:p>
    <w:p>
      <w:pPr>
        <w:spacing w:line="360" w:lineRule="auto"/>
        <w:ind w:firstLine="420" w:firstLineChars="200"/>
        <w:rPr>
          <w:szCs w:val="21"/>
        </w:rPr>
      </w:pPr>
      <w:r>
        <w:rPr>
          <w:szCs w:val="21"/>
        </w:rPr>
        <w:t>GB/T17626.9电磁兼容试验和测量技术脉冲磁场抗扰度试验</w:t>
      </w:r>
    </w:p>
    <w:p>
      <w:pPr>
        <w:spacing w:line="360" w:lineRule="auto"/>
        <w:ind w:firstLine="420" w:firstLineChars="200"/>
        <w:rPr>
          <w:szCs w:val="21"/>
        </w:rPr>
      </w:pPr>
      <w:r>
        <w:rPr>
          <w:szCs w:val="21"/>
        </w:rPr>
        <w:t>GB/T22065压力式六氟化硫气体密度控制器</w:t>
      </w:r>
    </w:p>
    <w:p>
      <w:pPr>
        <w:spacing w:line="360" w:lineRule="auto"/>
        <w:ind w:firstLine="420" w:firstLineChars="200"/>
        <w:rPr>
          <w:szCs w:val="21"/>
        </w:rPr>
      </w:pPr>
      <w:r>
        <w:rPr>
          <w:szCs w:val="21"/>
        </w:rPr>
        <w:t>GB/T2423.1电工电子产品环境试验第2部分：试验方法试验A：低温</w:t>
      </w:r>
    </w:p>
    <w:p>
      <w:pPr>
        <w:spacing w:line="360" w:lineRule="auto"/>
        <w:ind w:firstLine="420" w:firstLineChars="200"/>
        <w:rPr>
          <w:szCs w:val="21"/>
        </w:rPr>
      </w:pPr>
      <w:r>
        <w:rPr>
          <w:szCs w:val="21"/>
        </w:rPr>
        <w:t>GB/T2423.2电工电子产品环境试验第2部分：试验方法试验B：高温</w:t>
      </w:r>
    </w:p>
    <w:p>
      <w:pPr>
        <w:spacing w:line="360" w:lineRule="auto"/>
        <w:ind w:firstLine="420" w:firstLineChars="200"/>
        <w:rPr>
          <w:szCs w:val="21"/>
        </w:rPr>
      </w:pPr>
      <w:r>
        <w:rPr>
          <w:szCs w:val="21"/>
        </w:rPr>
        <w:t>GB/T2423.3电工电子产品环境试验第2部分：试验方法试验Cab：恒定湿热试验</w:t>
      </w:r>
    </w:p>
    <w:p>
      <w:pPr>
        <w:spacing w:line="360" w:lineRule="auto"/>
        <w:ind w:firstLine="420" w:firstLineChars="200"/>
        <w:rPr>
          <w:szCs w:val="21"/>
        </w:rPr>
      </w:pPr>
      <w:r>
        <w:rPr>
          <w:szCs w:val="21"/>
        </w:rPr>
        <w:t>GB/T2423.4电工电子产品环境试验第2部分：试验方法试验Db：交变湿热（12h+12h循环）</w:t>
      </w:r>
    </w:p>
    <w:p>
      <w:pPr>
        <w:spacing w:line="360" w:lineRule="auto"/>
        <w:ind w:firstLine="420" w:firstLineChars="200"/>
        <w:rPr>
          <w:szCs w:val="21"/>
        </w:rPr>
      </w:pPr>
      <w:r>
        <w:rPr>
          <w:szCs w:val="21"/>
        </w:rPr>
        <w:t>GB/T34986产品加速试验方法</w:t>
      </w:r>
    </w:p>
    <w:p>
      <w:pPr>
        <w:spacing w:line="360" w:lineRule="auto"/>
        <w:ind w:firstLine="420" w:firstLineChars="200"/>
        <w:rPr>
          <w:szCs w:val="21"/>
        </w:rPr>
      </w:pPr>
      <w:r>
        <w:rPr>
          <w:szCs w:val="21"/>
        </w:rPr>
        <w:t>GB/T4208外壳防护等级（IP代码）</w:t>
      </w:r>
    </w:p>
    <w:p>
      <w:pPr>
        <w:spacing w:line="360" w:lineRule="auto"/>
        <w:ind w:firstLine="420" w:firstLineChars="200"/>
        <w:rPr>
          <w:szCs w:val="21"/>
        </w:rPr>
      </w:pPr>
      <w:r>
        <w:rPr>
          <w:szCs w:val="21"/>
        </w:rPr>
        <w:t>GB/T11287电气继电器第21部分:量度继电器和保护装置的振动、冲击、碰撞和地震试验第1篇:振动试验（正弦）</w:t>
      </w:r>
    </w:p>
    <w:p>
      <w:pPr>
        <w:spacing w:line="360" w:lineRule="auto"/>
        <w:ind w:firstLine="420" w:firstLineChars="200"/>
        <w:rPr>
          <w:szCs w:val="21"/>
        </w:rPr>
      </w:pPr>
      <w:r>
        <w:rPr>
          <w:szCs w:val="21"/>
        </w:rPr>
        <w:t>GB∕T34073物联网压力变送器规范</w:t>
      </w:r>
    </w:p>
    <w:p>
      <w:pPr>
        <w:spacing w:line="360" w:lineRule="auto"/>
        <w:ind w:firstLine="420" w:firstLineChars="200"/>
        <w:rPr>
          <w:szCs w:val="21"/>
        </w:rPr>
      </w:pPr>
      <w:r>
        <w:rPr>
          <w:szCs w:val="21"/>
        </w:rPr>
        <w:t>DL/T1498.1—2016变电设备在线监测装置技术规范第1部分：通则</w:t>
      </w:r>
    </w:p>
    <w:p>
      <w:pPr>
        <w:spacing w:line="360" w:lineRule="auto"/>
        <w:ind w:firstLine="420" w:firstLineChars="200"/>
        <w:rPr>
          <w:szCs w:val="21"/>
        </w:rPr>
      </w:pPr>
      <w:r>
        <w:rPr>
          <w:szCs w:val="21"/>
        </w:rPr>
        <w:t>DL/T634.5104远动设备及系统第5—104部分：传输规约采用标准传输协议集的IEC60870—5—101网络访问</w:t>
      </w:r>
    </w:p>
    <w:p>
      <w:pPr>
        <w:spacing w:line="360" w:lineRule="auto"/>
        <w:ind w:firstLine="420" w:firstLineChars="200"/>
        <w:rPr>
          <w:szCs w:val="21"/>
        </w:rPr>
      </w:pPr>
      <w:r>
        <w:rPr>
          <w:szCs w:val="21"/>
        </w:rPr>
        <w:t>DL/T860变电站通信网络和系统</w:t>
      </w:r>
    </w:p>
    <w:p>
      <w:pPr>
        <w:spacing w:line="360" w:lineRule="auto"/>
        <w:ind w:firstLine="420" w:firstLineChars="200"/>
        <w:rPr>
          <w:szCs w:val="21"/>
        </w:rPr>
      </w:pPr>
      <w:r>
        <w:rPr>
          <w:szCs w:val="21"/>
        </w:rPr>
        <w:t>JB/T9647变压器用气体继电器</w:t>
      </w:r>
    </w:p>
    <w:p>
      <w:pPr>
        <w:spacing w:line="360" w:lineRule="auto"/>
        <w:ind w:firstLine="420" w:firstLineChars="200"/>
        <w:rPr>
          <w:szCs w:val="21"/>
        </w:rPr>
      </w:pPr>
      <w:r>
        <w:rPr>
          <w:szCs w:val="21"/>
        </w:rPr>
        <w:t>Q/GDW11921.3—2018额定电压72.5kV及以上SF6/N</w:t>
      </w:r>
      <w:r>
        <w:rPr>
          <w:szCs w:val="21"/>
          <w:vertAlign w:val="subscript"/>
        </w:rPr>
        <w:t>2</w:t>
      </w:r>
      <w:r>
        <w:rPr>
          <w:szCs w:val="21"/>
        </w:rPr>
        <w:t>混合气体绝缘金属封闭开关设备第3部分：密度表技术规范</w:t>
      </w:r>
    </w:p>
    <w:p>
      <w:pPr>
        <w:spacing w:line="360" w:lineRule="auto"/>
        <w:ind w:firstLine="420" w:firstLineChars="200"/>
        <w:rPr>
          <w:szCs w:val="21"/>
        </w:rPr>
      </w:pPr>
      <w:r>
        <w:rPr>
          <w:szCs w:val="21"/>
        </w:rPr>
        <w:t>Q/GDW12020输变电设备物联网微功率无线网通信协议</w:t>
      </w:r>
    </w:p>
    <w:p>
      <w:pPr>
        <w:spacing w:line="360" w:lineRule="auto"/>
        <w:ind w:firstLine="420" w:firstLineChars="200"/>
        <w:rPr>
          <w:szCs w:val="21"/>
        </w:rPr>
      </w:pPr>
      <w:r>
        <w:rPr>
          <w:szCs w:val="21"/>
        </w:rPr>
        <w:t>Q/GDW12021输变电设备物联网节点设备无线组网协议</w:t>
      </w:r>
    </w:p>
    <w:p>
      <w:pPr>
        <w:spacing w:line="360" w:lineRule="auto"/>
        <w:ind w:firstLine="420" w:firstLineChars="200"/>
        <w:rPr>
          <w:szCs w:val="21"/>
        </w:rPr>
      </w:pPr>
      <w:r>
        <w:rPr>
          <w:szCs w:val="21"/>
        </w:rPr>
        <w:t>Q/GDW12082输变电设备物联网无线传感器通用技术规范</w:t>
      </w:r>
    </w:p>
    <w:p>
      <w:pPr>
        <w:spacing w:line="360" w:lineRule="auto"/>
        <w:ind w:firstLine="420" w:firstLineChars="200"/>
        <w:rPr>
          <w:szCs w:val="21"/>
        </w:rPr>
      </w:pPr>
      <w:r>
        <w:rPr>
          <w:szCs w:val="21"/>
        </w:rPr>
        <w:t>Q/GDW12083—2021输变电设备物联网无线节点设备技术规范</w:t>
      </w:r>
    </w:p>
    <w:p>
      <w:pPr>
        <w:spacing w:line="360" w:lineRule="auto"/>
        <w:ind w:firstLine="420" w:firstLineChars="200"/>
        <w:rPr>
          <w:szCs w:val="21"/>
        </w:rPr>
      </w:pPr>
      <w:r>
        <w:rPr>
          <w:szCs w:val="21"/>
        </w:rPr>
        <w:t>Q/GDW12184输变电设备物联网传感器数据规范</w:t>
      </w:r>
    </w:p>
    <w:p>
      <w:pPr>
        <w:spacing w:line="360" w:lineRule="auto"/>
        <w:ind w:firstLine="420" w:firstLineChars="200"/>
        <w:rPr>
          <w:szCs w:val="21"/>
        </w:rPr>
      </w:pPr>
      <w:r>
        <w:rPr>
          <w:szCs w:val="21"/>
        </w:rPr>
        <w:t>Q/GDW12186输变电设备物联网通信安全规范</w:t>
      </w:r>
    </w:p>
    <w:p>
      <w:pPr>
        <w:pStyle w:val="2"/>
      </w:pPr>
      <w:bookmarkStart w:id="35" w:name="_Toc1472963762"/>
      <w:bookmarkStart w:id="36" w:name="_Toc17819"/>
      <w:r>
        <w:rPr>
          <w:rFonts w:hint="eastAsia"/>
        </w:rPr>
        <w:t>采购内容</w:t>
      </w:r>
      <w:bookmarkEnd w:id="35"/>
    </w:p>
    <w:p>
      <w:pPr>
        <w:pStyle w:val="200"/>
        <w:numPr>
          <w:ilvl w:val="0"/>
          <w:numId w:val="7"/>
        </w:numPr>
        <w:ind w:firstLineChars="0"/>
        <w:jc w:val="center"/>
      </w:pPr>
      <w:r>
        <w:rPr>
          <w:rFonts w:hint="eastAsia"/>
        </w:rPr>
        <w:t>采购模组内容</w:t>
      </w:r>
    </w:p>
    <w:tbl>
      <w:tblPr>
        <w:tblStyle w:val="209"/>
        <w:tblW w:w="502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978"/>
        <w:gridCol w:w="1200"/>
        <w:gridCol w:w="41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1784" w:type="pct"/>
            <w:tcBorders>
              <w:righ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采购内容</w:t>
            </w:r>
          </w:p>
        </w:tc>
        <w:tc>
          <w:tcPr>
            <w:tcW w:w="719" w:type="pct"/>
            <w:tcBorders>
              <w:lef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数量/套</w:t>
            </w:r>
          </w:p>
        </w:tc>
        <w:tc>
          <w:tcPr>
            <w:tcW w:w="2496" w:type="pct"/>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 w:hRule="atLeast"/>
        </w:trPr>
        <w:tc>
          <w:tcPr>
            <w:tcW w:w="1784" w:type="pct"/>
            <w:tcBorders>
              <w:righ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机械表计模组</w:t>
            </w:r>
          </w:p>
        </w:tc>
        <w:tc>
          <w:tcPr>
            <w:tcW w:w="719" w:type="pct"/>
            <w:tcBorders>
              <w:lef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3</w:t>
            </w:r>
          </w:p>
        </w:tc>
        <w:tc>
          <w:tcPr>
            <w:tcW w:w="2496" w:type="pct"/>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每套包括机械表计、数显和辅材，具备本技术规范书5.2.1要求功能，5.3.1要求性能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trPr>
        <w:tc>
          <w:tcPr>
            <w:tcW w:w="1784" w:type="pct"/>
            <w:tcBorders>
              <w:righ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微水模组</w:t>
            </w:r>
          </w:p>
        </w:tc>
        <w:tc>
          <w:tcPr>
            <w:tcW w:w="719" w:type="pct"/>
            <w:tcBorders>
              <w:lef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3</w:t>
            </w:r>
          </w:p>
        </w:tc>
        <w:tc>
          <w:tcPr>
            <w:tcW w:w="2496" w:type="pct"/>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每套包括 1个探头、辅材，具备本技术规范书5.2.2要求功能，5.3.2要求性能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 w:hRule="atLeast"/>
        </w:trPr>
        <w:tc>
          <w:tcPr>
            <w:tcW w:w="1784" w:type="pct"/>
            <w:tcBorders>
              <w:righ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结构机箱</w:t>
            </w:r>
          </w:p>
        </w:tc>
        <w:tc>
          <w:tcPr>
            <w:tcW w:w="719" w:type="pct"/>
            <w:tcBorders>
              <w:left w:val="single" w:color="auto" w:sz="4" w:space="0"/>
            </w:tcBorders>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3</w:t>
            </w:r>
          </w:p>
        </w:tc>
        <w:tc>
          <w:tcPr>
            <w:tcW w:w="2496" w:type="pct"/>
          </w:tcPr>
          <w:p>
            <w:pPr>
              <w:pStyle w:val="208"/>
              <w:spacing w:before="59" w:line="360" w:lineRule="auto"/>
              <w:jc w:val="center"/>
              <w:rPr>
                <w:rFonts w:ascii="Times New Roman" w:hAnsi="Times New Roman" w:cs="Times New Roman"/>
                <w:spacing w:val="-2"/>
                <w:lang w:eastAsia="zh-CN"/>
              </w:rPr>
            </w:pPr>
            <w:r>
              <w:rPr>
                <w:rFonts w:hint="eastAsia" w:ascii="Times New Roman" w:hAnsi="Times New Roman" w:cs="Times New Roman"/>
                <w:spacing w:val="-2"/>
                <w:lang w:eastAsia="zh-CN"/>
              </w:rPr>
              <w:t>每套应具备本技术规范书5.2.3要求功能、5.3.3要求性能</w:t>
            </w:r>
          </w:p>
        </w:tc>
      </w:tr>
    </w:tbl>
    <w:p/>
    <w:p>
      <w:pPr>
        <w:pStyle w:val="2"/>
      </w:pPr>
      <w:bookmarkStart w:id="37" w:name="_Toc1437143496"/>
      <w:r>
        <w:t>技术要求</w:t>
      </w:r>
      <w:bookmarkEnd w:id="32"/>
      <w:bookmarkEnd w:id="33"/>
      <w:bookmarkEnd w:id="34"/>
      <w:bookmarkEnd w:id="36"/>
      <w:bookmarkEnd w:id="37"/>
    </w:p>
    <w:p>
      <w:pPr>
        <w:pStyle w:val="3"/>
        <w:rPr>
          <w:rFonts w:ascii="Times New Roman" w:hAnsi="Times New Roman"/>
          <w:b/>
          <w:bCs w:val="0"/>
          <w:sz w:val="21"/>
          <w:szCs w:val="21"/>
        </w:rPr>
      </w:pPr>
      <w:bookmarkStart w:id="38" w:name="_Toc270701944"/>
      <w:r>
        <w:rPr>
          <w:rFonts w:ascii="Times New Roman" w:hAnsi="Times New Roman"/>
          <w:b/>
          <w:bCs w:val="0"/>
          <w:sz w:val="21"/>
          <w:szCs w:val="21"/>
        </w:rPr>
        <w:t>使用条件</w:t>
      </w:r>
      <w:bookmarkEnd w:id="38"/>
    </w:p>
    <w:p>
      <w:pPr>
        <w:spacing w:line="360" w:lineRule="auto"/>
        <w:ind w:firstLine="420" w:firstLineChars="200"/>
        <w:rPr>
          <w:szCs w:val="21"/>
        </w:rPr>
      </w:pPr>
      <w:r>
        <w:rPr>
          <w:color w:val="000000" w:themeColor="text1"/>
          <w:szCs w:val="21"/>
          <w14:textFill>
            <w14:solidFill>
              <w14:schemeClr w14:val="tx1"/>
            </w14:solidFill>
          </w14:textFill>
        </w:rPr>
        <w:t>委托</w:t>
      </w:r>
      <w:r>
        <w:rPr>
          <w:rFonts w:hint="eastAsia"/>
          <w:color w:val="000000" w:themeColor="text1"/>
          <w:szCs w:val="21"/>
          <w14:textFill>
            <w14:solidFill>
              <w14:schemeClr w14:val="tx1"/>
            </w14:solidFill>
          </w14:textFill>
        </w:rPr>
        <w:t>报价人</w:t>
      </w:r>
      <w:r>
        <w:rPr>
          <w:color w:val="000000" w:themeColor="text1"/>
          <w:szCs w:val="21"/>
          <w14:textFill>
            <w14:solidFill>
              <w14:schemeClr w14:val="tx1"/>
            </w14:solidFill>
          </w14:textFill>
        </w:rPr>
        <w:t>生产的</w:t>
      </w:r>
      <w:r>
        <w:rPr>
          <w:rFonts w:hint="eastAsia"/>
          <w:szCs w:val="21"/>
        </w:rPr>
        <w:t>智能传感模组</w:t>
      </w:r>
      <w:r>
        <w:rPr>
          <w:szCs w:val="21"/>
        </w:rPr>
        <w:t>应满足本技术规范要求，相关性能参数还应按实际安装地点的外部条件要求进行校验、核对，使所供设备满足实际外部条件要求及全工况运行要求。</w:t>
      </w:r>
    </w:p>
    <w:p>
      <w:pPr>
        <w:pStyle w:val="4"/>
        <w:rPr>
          <w:rFonts w:ascii="Times New Roman" w:hAnsi="Times New Roman"/>
          <w:b/>
          <w:bCs w:val="0"/>
          <w:sz w:val="21"/>
          <w:szCs w:val="21"/>
        </w:rPr>
      </w:pPr>
      <w:bookmarkStart w:id="39" w:name="_Toc875673926"/>
      <w:r>
        <w:rPr>
          <w:rFonts w:ascii="Times New Roman" w:hAnsi="Times New Roman"/>
          <w:b/>
          <w:bCs w:val="0"/>
          <w:sz w:val="21"/>
          <w:szCs w:val="21"/>
        </w:rPr>
        <w:t>正常使用条件</w:t>
      </w:r>
      <w:bookmarkEnd w:id="39"/>
    </w:p>
    <w:p>
      <w:pPr>
        <w:numPr>
          <w:ilvl w:val="0"/>
          <w:numId w:val="8"/>
        </w:numPr>
        <w:tabs>
          <w:tab w:val="left" w:pos="851"/>
          <w:tab w:val="clear" w:pos="840"/>
        </w:tabs>
        <w:adjustRightInd w:val="0"/>
        <w:spacing w:line="360" w:lineRule="auto"/>
        <w:ind w:left="210" w:firstLine="420" w:firstLineChars="200"/>
        <w:rPr>
          <w:szCs w:val="21"/>
        </w:rPr>
      </w:pPr>
      <w:r>
        <w:rPr>
          <w:szCs w:val="21"/>
        </w:rPr>
        <w:t>环境温度：</w:t>
      </w:r>
      <w:r>
        <w:rPr>
          <w:szCs w:val="21"/>
        </w:rPr>
        <w:sym w:font="Symbol" w:char="F02D"/>
      </w:r>
      <w:r>
        <w:rPr>
          <w:szCs w:val="21"/>
        </w:rPr>
        <w:t>40℃～</w:t>
      </w:r>
      <w:r>
        <w:rPr>
          <w:rFonts w:hint="eastAsia"/>
          <w:szCs w:val="21"/>
        </w:rPr>
        <w:t>6</w:t>
      </w:r>
      <w:r>
        <w:rPr>
          <w:szCs w:val="21"/>
        </w:rPr>
        <w:t>0℃</w:t>
      </w:r>
      <w:r>
        <w:rPr>
          <w:rFonts w:hint="eastAsia"/>
          <w:szCs w:val="21"/>
        </w:rPr>
        <w:t>或-30℃~70℃</w:t>
      </w:r>
      <w:r>
        <w:rPr>
          <w:szCs w:val="21"/>
        </w:rPr>
        <w:t>；</w:t>
      </w:r>
    </w:p>
    <w:p>
      <w:pPr>
        <w:numPr>
          <w:ilvl w:val="0"/>
          <w:numId w:val="8"/>
        </w:numPr>
        <w:tabs>
          <w:tab w:val="left" w:pos="851"/>
          <w:tab w:val="clear" w:pos="840"/>
        </w:tabs>
        <w:adjustRightInd w:val="0"/>
        <w:spacing w:line="360" w:lineRule="auto"/>
        <w:ind w:left="210" w:firstLine="420" w:firstLineChars="200"/>
        <w:rPr>
          <w:szCs w:val="21"/>
        </w:rPr>
      </w:pPr>
      <w:r>
        <w:rPr>
          <w:szCs w:val="21"/>
        </w:rPr>
        <w:t>环境相对湿度：5％～95％（产品内部既不应凝露，也不应结冰）；</w:t>
      </w:r>
    </w:p>
    <w:p>
      <w:pPr>
        <w:numPr>
          <w:ilvl w:val="0"/>
          <w:numId w:val="8"/>
        </w:numPr>
        <w:tabs>
          <w:tab w:val="left" w:pos="851"/>
          <w:tab w:val="clear" w:pos="840"/>
        </w:tabs>
        <w:adjustRightInd w:val="0"/>
        <w:spacing w:line="360" w:lineRule="auto"/>
        <w:ind w:left="210" w:firstLine="420" w:firstLineChars="200"/>
        <w:rPr>
          <w:szCs w:val="21"/>
        </w:rPr>
      </w:pPr>
      <w:r>
        <w:rPr>
          <w:szCs w:val="21"/>
        </w:rPr>
        <w:t>大气压力：80kPa～110kPa；</w:t>
      </w:r>
    </w:p>
    <w:p>
      <w:pPr>
        <w:pStyle w:val="4"/>
        <w:rPr>
          <w:rFonts w:ascii="Times New Roman" w:hAnsi="Times New Roman"/>
          <w:b/>
          <w:bCs w:val="0"/>
          <w:sz w:val="21"/>
          <w:szCs w:val="21"/>
        </w:rPr>
      </w:pPr>
      <w:bookmarkStart w:id="40" w:name="_Toc1933409500"/>
      <w:r>
        <w:rPr>
          <w:rFonts w:ascii="Times New Roman" w:hAnsi="Times New Roman"/>
          <w:b/>
          <w:bCs w:val="0"/>
          <w:sz w:val="21"/>
          <w:szCs w:val="21"/>
        </w:rPr>
        <w:t>特殊使用条件</w:t>
      </w:r>
      <w:bookmarkEnd w:id="40"/>
    </w:p>
    <w:p>
      <w:pPr>
        <w:pStyle w:val="90"/>
        <w:snapToGrid w:val="0"/>
        <w:spacing w:line="360" w:lineRule="auto"/>
        <w:rPr>
          <w:rFonts w:eastAsia="宋体" w:cs="Times New Roman"/>
          <w:szCs w:val="21"/>
        </w:rPr>
      </w:pPr>
      <w:r>
        <w:rPr>
          <w:rFonts w:hint="eastAsia" w:eastAsia="宋体" w:cs="Times New Roman"/>
          <w:szCs w:val="21"/>
        </w:rPr>
        <w:t>智能传感模组或元器件</w:t>
      </w:r>
      <w:r>
        <w:rPr>
          <w:rFonts w:eastAsia="宋体" w:cs="Times New Roman"/>
          <w:szCs w:val="21"/>
        </w:rPr>
        <w:t>针对具体工程，用户根据实际需求提出特殊工作条件。当超出正常与特殊工作条件时，由用户与供应商协商确定。</w:t>
      </w:r>
    </w:p>
    <w:p>
      <w:pPr>
        <w:pStyle w:val="3"/>
        <w:rPr>
          <w:rFonts w:ascii="Times New Roman" w:hAnsi="Times New Roman"/>
          <w:b/>
          <w:bCs w:val="0"/>
          <w:sz w:val="21"/>
          <w:szCs w:val="21"/>
        </w:rPr>
      </w:pPr>
      <w:bookmarkStart w:id="41" w:name="_Toc1963119487"/>
      <w:bookmarkStart w:id="42" w:name="_Toc12864"/>
      <w:r>
        <w:rPr>
          <w:rFonts w:hint="eastAsia" w:ascii="Times New Roman" w:hAnsi="Times New Roman"/>
          <w:b/>
          <w:bCs w:val="0"/>
          <w:sz w:val="21"/>
          <w:szCs w:val="21"/>
        </w:rPr>
        <w:t>基本功能</w:t>
      </w:r>
      <w:r>
        <w:rPr>
          <w:rFonts w:ascii="Times New Roman" w:hAnsi="Times New Roman"/>
          <w:b/>
          <w:bCs w:val="0"/>
          <w:sz w:val="21"/>
          <w:szCs w:val="21"/>
        </w:rPr>
        <w:t>要求</w:t>
      </w:r>
      <w:bookmarkEnd w:id="41"/>
      <w:bookmarkEnd w:id="42"/>
    </w:p>
    <w:p>
      <w:pPr>
        <w:adjustRightInd w:val="0"/>
        <w:spacing w:line="360" w:lineRule="auto"/>
        <w:ind w:firstLine="420" w:firstLineChars="200"/>
        <w:rPr>
          <w:szCs w:val="21"/>
        </w:rPr>
      </w:pPr>
      <w:bookmarkStart w:id="43" w:name="_Toc21690"/>
      <w:r>
        <w:rPr>
          <w:rFonts w:hint="eastAsia"/>
          <w:szCs w:val="21"/>
        </w:rPr>
        <w:t>智能传感模组与元器件可对机械表计和数显、微水、气体组分和无线远传等进行综合监测，支持监测功能选配。</w:t>
      </w:r>
    </w:p>
    <w:p>
      <w:pPr>
        <w:adjustRightInd w:val="0"/>
        <w:spacing w:line="360" w:lineRule="auto"/>
        <w:ind w:firstLine="420" w:firstLineChars="200"/>
        <w:rPr>
          <w:szCs w:val="21"/>
        </w:rPr>
      </w:pPr>
      <w:r>
        <w:rPr>
          <w:rFonts w:hint="eastAsia"/>
          <w:szCs w:val="21"/>
        </w:rPr>
        <w:t>智能传感模组与元器件完成设备生产所需的原材料采购</w:t>
      </w:r>
      <w:r>
        <w:rPr>
          <w:rFonts w:hint="eastAsia"/>
        </w:rPr>
        <w:t>。</w:t>
      </w:r>
    </w:p>
    <w:bookmarkEnd w:id="43"/>
    <w:p>
      <w:pPr>
        <w:pStyle w:val="4"/>
        <w:rPr>
          <w:rFonts w:ascii="Times New Roman" w:hAnsi="Times New Roman"/>
          <w:b/>
          <w:bCs w:val="0"/>
          <w:sz w:val="21"/>
          <w:szCs w:val="21"/>
        </w:rPr>
      </w:pPr>
      <w:bookmarkStart w:id="44" w:name="_Toc1196171892"/>
      <w:r>
        <w:rPr>
          <w:rFonts w:hint="eastAsia" w:ascii="Times New Roman" w:hAnsi="Times New Roman"/>
          <w:b/>
          <w:bCs w:val="0"/>
          <w:sz w:val="21"/>
          <w:szCs w:val="21"/>
        </w:rPr>
        <w:t>机械表计模组</w:t>
      </w:r>
      <w:bookmarkEnd w:id="44"/>
    </w:p>
    <w:p>
      <w:pPr>
        <w:numPr>
          <w:ilvl w:val="0"/>
          <w:numId w:val="9"/>
        </w:numPr>
        <w:adjustRightInd w:val="0"/>
        <w:spacing w:line="360" w:lineRule="auto"/>
        <w:ind w:firstLine="420" w:firstLineChars="200"/>
        <w:rPr>
          <w:szCs w:val="21"/>
        </w:rPr>
      </w:pPr>
      <w:r>
        <w:rPr>
          <w:szCs w:val="21"/>
        </w:rPr>
        <w:t>应具备实时监测压力、气体温度并计算SF6气体密度（P</w:t>
      </w:r>
      <w:r>
        <w:rPr>
          <w:szCs w:val="21"/>
          <w:vertAlign w:val="subscript"/>
        </w:rPr>
        <w:t>20</w:t>
      </w:r>
      <w:r>
        <w:rPr>
          <w:szCs w:val="21"/>
        </w:rPr>
        <w:t>）的功能</w:t>
      </w:r>
      <w:r>
        <w:rPr>
          <w:rFonts w:hint="eastAsia"/>
          <w:szCs w:val="21"/>
        </w:rPr>
        <w:t>；</w:t>
      </w:r>
    </w:p>
    <w:p>
      <w:pPr>
        <w:numPr>
          <w:ilvl w:val="0"/>
          <w:numId w:val="9"/>
        </w:numPr>
        <w:adjustRightInd w:val="0"/>
        <w:spacing w:line="360" w:lineRule="auto"/>
        <w:ind w:firstLine="420" w:firstLineChars="200"/>
      </w:pPr>
      <w:r>
        <w:rPr>
          <w:rFonts w:hint="eastAsia"/>
        </w:rPr>
        <w:t>应同时具备数字显示和机械显示功能；</w:t>
      </w:r>
    </w:p>
    <w:p>
      <w:pPr>
        <w:numPr>
          <w:ilvl w:val="0"/>
          <w:numId w:val="9"/>
        </w:numPr>
        <w:adjustRightInd w:val="0"/>
        <w:spacing w:line="360" w:lineRule="auto"/>
        <w:ind w:firstLine="420" w:firstLineChars="200"/>
        <w:rPr>
          <w:szCs w:val="21"/>
        </w:rPr>
      </w:pPr>
      <w:r>
        <w:rPr>
          <w:szCs w:val="21"/>
        </w:rPr>
        <w:t>应具备低压、闭锁、超压报警功能，宜具备密度下降、液化、异常等报警功能；</w:t>
      </w:r>
    </w:p>
    <w:p>
      <w:pPr>
        <w:numPr>
          <w:ilvl w:val="0"/>
          <w:numId w:val="9"/>
        </w:numPr>
        <w:adjustRightInd w:val="0"/>
        <w:spacing w:line="360" w:lineRule="auto"/>
        <w:ind w:firstLine="420" w:firstLineChars="200"/>
        <w:rPr>
          <w:szCs w:val="21"/>
        </w:rPr>
      </w:pPr>
      <w:r>
        <w:rPr>
          <w:szCs w:val="21"/>
        </w:rPr>
        <w:t>应具</w:t>
      </w:r>
      <w:r>
        <w:rPr>
          <w:rFonts w:hint="eastAsia"/>
          <w:szCs w:val="21"/>
        </w:rPr>
        <w:t>备</w:t>
      </w:r>
      <w:r>
        <w:rPr>
          <w:szCs w:val="21"/>
        </w:rPr>
        <w:t>数据</w:t>
      </w:r>
      <w:r>
        <w:rPr>
          <w:rFonts w:hint="eastAsia"/>
          <w:szCs w:val="21"/>
        </w:rPr>
        <w:t>有线和无线</w:t>
      </w:r>
      <w:r>
        <w:rPr>
          <w:szCs w:val="21"/>
        </w:rPr>
        <w:t>远传功能，数据通信应满足通信功能的要求；</w:t>
      </w:r>
    </w:p>
    <w:p>
      <w:pPr>
        <w:numPr>
          <w:ilvl w:val="0"/>
          <w:numId w:val="9"/>
        </w:numPr>
        <w:adjustRightInd w:val="0"/>
        <w:spacing w:line="360" w:lineRule="auto"/>
        <w:ind w:firstLine="420" w:firstLineChars="200"/>
        <w:rPr>
          <w:szCs w:val="21"/>
        </w:rPr>
      </w:pPr>
      <w:r>
        <w:rPr>
          <w:szCs w:val="21"/>
        </w:rPr>
        <w:t>应具备SF6监测数据本地存储、密度（P</w:t>
      </w:r>
      <w:r>
        <w:rPr>
          <w:szCs w:val="21"/>
          <w:vertAlign w:val="subscript"/>
        </w:rPr>
        <w:t>20</w:t>
      </w:r>
      <w:r>
        <w:rPr>
          <w:szCs w:val="21"/>
        </w:rPr>
        <w:t>）就地显示（在失电时，仍可通过人工方式获取并直接抄录数据）、信号远传等功能，宜</w:t>
      </w:r>
      <w:r>
        <w:rPr>
          <w:rFonts w:hint="eastAsia"/>
          <w:szCs w:val="21"/>
        </w:rPr>
        <w:t>具备表计本体存储不少于10000条测量</w:t>
      </w:r>
      <w:r>
        <w:rPr>
          <w:szCs w:val="21"/>
        </w:rPr>
        <w:t>记录</w:t>
      </w:r>
      <w:r>
        <w:rPr>
          <w:rFonts w:hint="eastAsia"/>
          <w:szCs w:val="21"/>
        </w:rPr>
        <w:t>（内容至少包括：月日时分、压力、温度、密度、报警信息）</w:t>
      </w:r>
      <w:r>
        <w:rPr>
          <w:szCs w:val="21"/>
        </w:rPr>
        <w:t>并可导出功能</w:t>
      </w:r>
      <w:r>
        <w:rPr>
          <w:rFonts w:hint="eastAsia"/>
          <w:szCs w:val="21"/>
        </w:rPr>
        <w:t>；</w:t>
      </w:r>
    </w:p>
    <w:p>
      <w:pPr>
        <w:numPr>
          <w:ilvl w:val="0"/>
          <w:numId w:val="9"/>
        </w:numPr>
        <w:adjustRightInd w:val="0"/>
        <w:spacing w:line="360" w:lineRule="auto"/>
        <w:ind w:firstLine="420" w:firstLineChars="200"/>
        <w:rPr>
          <w:szCs w:val="21"/>
        </w:rPr>
      </w:pPr>
      <w:r>
        <w:rPr>
          <w:rFonts w:hint="eastAsia"/>
          <w:szCs w:val="21"/>
        </w:rPr>
        <w:t>应具备运用机器学习、深度学习等先进技术，构建基于多参数融合的微水监测算法模型，对微水含量进行精准预测和实时监测</w:t>
      </w:r>
    </w:p>
    <w:p>
      <w:pPr>
        <w:numPr>
          <w:ilvl w:val="0"/>
          <w:numId w:val="9"/>
        </w:numPr>
        <w:adjustRightInd w:val="0"/>
        <w:spacing w:line="360" w:lineRule="auto"/>
        <w:ind w:firstLine="420" w:firstLineChars="200"/>
        <w:rPr>
          <w:szCs w:val="21"/>
        </w:rPr>
      </w:pPr>
      <w:r>
        <w:rPr>
          <w:szCs w:val="21"/>
        </w:rPr>
        <w:t>宜具备通信异常、自检故障等本地指示功能；</w:t>
      </w:r>
    </w:p>
    <w:p>
      <w:pPr>
        <w:numPr>
          <w:ilvl w:val="0"/>
          <w:numId w:val="9"/>
        </w:numPr>
        <w:adjustRightInd w:val="0"/>
        <w:spacing w:line="360" w:lineRule="auto"/>
        <w:ind w:firstLine="420" w:firstLineChars="200"/>
        <w:rPr>
          <w:szCs w:val="21"/>
        </w:rPr>
      </w:pPr>
      <w:r>
        <w:rPr>
          <w:szCs w:val="21"/>
        </w:rPr>
        <w:t>应具备长期稳定工作能力，具有断电不丢失存储数据和复电自恢复、自复位的功能，宜具备自校验功能；</w:t>
      </w:r>
    </w:p>
    <w:p>
      <w:pPr>
        <w:pStyle w:val="4"/>
        <w:rPr>
          <w:rFonts w:ascii="Times New Roman" w:hAnsi="Times New Roman"/>
          <w:b/>
          <w:bCs w:val="0"/>
          <w:sz w:val="21"/>
          <w:szCs w:val="21"/>
        </w:rPr>
      </w:pPr>
      <w:bookmarkStart w:id="45" w:name="_Toc1187678925"/>
      <w:r>
        <w:rPr>
          <w:rFonts w:hint="eastAsia" w:ascii="Times New Roman" w:hAnsi="Times New Roman"/>
          <w:b/>
          <w:bCs w:val="0"/>
          <w:sz w:val="21"/>
          <w:szCs w:val="21"/>
        </w:rPr>
        <w:t>微水传感模组</w:t>
      </w:r>
      <w:bookmarkEnd w:id="45"/>
    </w:p>
    <w:p>
      <w:pPr>
        <w:numPr>
          <w:ilvl w:val="0"/>
          <w:numId w:val="10"/>
        </w:numPr>
        <w:adjustRightInd w:val="0"/>
        <w:spacing w:line="360" w:lineRule="auto"/>
        <w:ind w:firstLine="420" w:firstLineChars="200"/>
        <w:rPr>
          <w:szCs w:val="21"/>
        </w:rPr>
      </w:pPr>
      <w:r>
        <w:rPr>
          <w:szCs w:val="21"/>
        </w:rPr>
        <w:t>应具备微水检测功能；</w:t>
      </w:r>
    </w:p>
    <w:p>
      <w:pPr>
        <w:numPr>
          <w:ilvl w:val="0"/>
          <w:numId w:val="10"/>
        </w:numPr>
        <w:adjustRightInd w:val="0"/>
        <w:spacing w:line="360" w:lineRule="auto"/>
        <w:ind w:firstLine="420" w:firstLineChars="200"/>
        <w:rPr>
          <w:szCs w:val="21"/>
        </w:rPr>
      </w:pPr>
      <w:r>
        <w:rPr>
          <w:rFonts w:hint="eastAsia"/>
          <w:szCs w:val="21"/>
        </w:rPr>
        <w:t>报警功能：应具有监测数据超标、监测功能故障和通信中断等异常情况的自动报警功能；</w:t>
      </w:r>
    </w:p>
    <w:p>
      <w:pPr>
        <w:numPr>
          <w:ilvl w:val="0"/>
          <w:numId w:val="10"/>
        </w:numPr>
        <w:adjustRightInd w:val="0"/>
        <w:spacing w:line="360" w:lineRule="auto"/>
        <w:ind w:firstLine="420" w:firstLineChars="200"/>
        <w:rPr>
          <w:szCs w:val="21"/>
        </w:rPr>
      </w:pPr>
      <w:r>
        <w:rPr>
          <w:szCs w:val="21"/>
        </w:rPr>
        <w:t>应配备三通阀，具备免拆卸校验条件，充气接口、表计接口主要参数应符合Q/GDW12355.4-2023相关要求，一次设备接口以一次设备为准。充气接口应采用黄铜材质，气体组分检测与微水检测功能可在三通阀处实现。</w:t>
      </w:r>
    </w:p>
    <w:p>
      <w:pPr>
        <w:pStyle w:val="4"/>
        <w:rPr>
          <w:rFonts w:ascii="Times New Roman" w:hAnsi="Times New Roman"/>
          <w:b/>
          <w:bCs w:val="0"/>
          <w:sz w:val="21"/>
          <w:szCs w:val="21"/>
        </w:rPr>
      </w:pPr>
      <w:bookmarkStart w:id="46" w:name="_Toc2083499953"/>
      <w:r>
        <w:rPr>
          <w:rFonts w:hint="eastAsia" w:ascii="Times New Roman" w:hAnsi="Times New Roman"/>
          <w:b/>
          <w:bCs w:val="0"/>
          <w:sz w:val="21"/>
          <w:szCs w:val="21"/>
        </w:rPr>
        <w:t>结构机箱</w:t>
      </w:r>
      <w:bookmarkEnd w:id="46"/>
    </w:p>
    <w:p>
      <w:pPr>
        <w:tabs>
          <w:tab w:val="left" w:pos="709"/>
        </w:tabs>
        <w:spacing w:line="360" w:lineRule="auto"/>
        <w:ind w:firstLine="420" w:firstLineChars="200"/>
        <w:rPr>
          <w:szCs w:val="21"/>
        </w:rPr>
      </w:pPr>
      <w:r>
        <w:rPr>
          <w:szCs w:val="21"/>
        </w:rPr>
        <w:t>a）外表涂敷、电镀层应牢固均匀、光洁，不应有脱落、锈蚀、裂纹、孔洞等缺陷；</w:t>
      </w:r>
    </w:p>
    <w:p>
      <w:pPr>
        <w:tabs>
          <w:tab w:val="left" w:pos="709"/>
        </w:tabs>
        <w:spacing w:line="360" w:lineRule="auto"/>
        <w:ind w:firstLine="420" w:firstLineChars="200"/>
        <w:rPr>
          <w:szCs w:val="21"/>
        </w:rPr>
      </w:pPr>
      <w:r>
        <w:rPr>
          <w:szCs w:val="21"/>
        </w:rPr>
        <w:t>b）各部件应装配牢固，无松动现象，各部件及相应连线应有防松动措施；</w:t>
      </w:r>
    </w:p>
    <w:p>
      <w:pPr>
        <w:tabs>
          <w:tab w:val="left" w:pos="709"/>
        </w:tabs>
        <w:spacing w:line="360" w:lineRule="auto"/>
        <w:ind w:firstLine="420" w:firstLineChars="200"/>
        <w:rPr>
          <w:szCs w:val="21"/>
        </w:rPr>
      </w:pPr>
      <w:r>
        <w:rPr>
          <w:szCs w:val="21"/>
        </w:rPr>
        <w:t>c）输出接点端子应能牢靠地与外部接线</w:t>
      </w:r>
      <w:r>
        <w:rPr>
          <w:rFonts w:hint="eastAsia"/>
          <w:szCs w:val="21"/>
        </w:rPr>
        <w:t>；</w:t>
      </w:r>
    </w:p>
    <w:p>
      <w:pPr>
        <w:spacing w:line="360" w:lineRule="auto"/>
        <w:ind w:firstLine="420"/>
      </w:pPr>
      <w:r>
        <w:rPr>
          <w:rFonts w:hint="eastAsia"/>
          <w:szCs w:val="21"/>
        </w:rPr>
        <w:t>d</w:t>
      </w:r>
      <w:r>
        <w:rPr>
          <w:szCs w:val="21"/>
        </w:rPr>
        <w:t>）</w:t>
      </w:r>
      <w:r>
        <w:t>表计的外壳防护性能应符合GB/T4208中规定的IP65级要求</w:t>
      </w:r>
      <w:r>
        <w:rPr>
          <w:rFonts w:hint="eastAsia"/>
        </w:rPr>
        <w:t>；</w:t>
      </w:r>
    </w:p>
    <w:p>
      <w:pPr>
        <w:spacing w:line="360" w:lineRule="auto"/>
        <w:ind w:firstLine="420"/>
        <w:rPr>
          <w:szCs w:val="21"/>
        </w:rPr>
      </w:pPr>
      <w:r>
        <w:rPr>
          <w:rFonts w:hint="eastAsia"/>
          <w:szCs w:val="21"/>
        </w:rPr>
        <w:t>e</w:t>
      </w:r>
      <w:r>
        <w:rPr>
          <w:szCs w:val="21"/>
        </w:rPr>
        <w:t>）</w:t>
      </w:r>
      <w:r>
        <w:rPr>
          <w:rFonts w:hint="eastAsia"/>
          <w:szCs w:val="21"/>
        </w:rPr>
        <w:t>使用铝材与304不锈钢，外形由采购人指定。</w:t>
      </w:r>
    </w:p>
    <w:p>
      <w:pPr>
        <w:pStyle w:val="3"/>
        <w:rPr>
          <w:rFonts w:ascii="Times New Roman" w:hAnsi="Times New Roman"/>
          <w:b/>
          <w:bCs w:val="0"/>
          <w:sz w:val="21"/>
          <w:szCs w:val="21"/>
        </w:rPr>
      </w:pPr>
      <w:bookmarkStart w:id="47" w:name="_Toc1534872593"/>
      <w:r>
        <w:rPr>
          <w:rFonts w:ascii="Times New Roman" w:hAnsi="Times New Roman"/>
          <w:b/>
          <w:bCs w:val="0"/>
          <w:sz w:val="21"/>
          <w:szCs w:val="21"/>
        </w:rPr>
        <w:t>性能要求</w:t>
      </w:r>
      <w:bookmarkEnd w:id="47"/>
    </w:p>
    <w:p>
      <w:pPr>
        <w:pStyle w:val="4"/>
        <w:rPr>
          <w:rFonts w:ascii="Times New Roman" w:hAnsi="Times New Roman"/>
          <w:b/>
          <w:bCs w:val="0"/>
          <w:sz w:val="21"/>
          <w:szCs w:val="21"/>
        </w:rPr>
      </w:pPr>
      <w:bookmarkStart w:id="48" w:name="_Toc32889011"/>
      <w:r>
        <w:rPr>
          <w:rFonts w:hint="eastAsia" w:ascii="Times New Roman" w:hAnsi="Times New Roman"/>
          <w:b/>
          <w:bCs w:val="0"/>
          <w:sz w:val="21"/>
          <w:szCs w:val="21"/>
        </w:rPr>
        <w:t>机械表计模组性能</w:t>
      </w:r>
      <w:r>
        <w:rPr>
          <w:rFonts w:ascii="Times New Roman" w:hAnsi="Times New Roman"/>
          <w:b/>
          <w:bCs w:val="0"/>
          <w:sz w:val="21"/>
          <w:szCs w:val="21"/>
        </w:rPr>
        <w:t>要求</w:t>
      </w:r>
      <w:bookmarkEnd w:id="48"/>
    </w:p>
    <w:p>
      <w:pPr>
        <w:numPr>
          <w:ilvl w:val="0"/>
          <w:numId w:val="11"/>
        </w:numPr>
        <w:adjustRightInd w:val="0"/>
        <w:spacing w:line="360" w:lineRule="auto"/>
        <w:ind w:firstLine="420" w:firstLineChars="200"/>
        <w:rPr>
          <w:szCs w:val="21"/>
        </w:rPr>
      </w:pPr>
      <w:r>
        <w:rPr>
          <w:rFonts w:hint="eastAsia"/>
          <w:szCs w:val="21"/>
        </w:rPr>
        <w:t>机械表计模组</w:t>
      </w:r>
      <w:r>
        <w:rPr>
          <w:szCs w:val="21"/>
        </w:rPr>
        <w:t>机械部分的基本误差、回差、指针偏转的平稳性、轻敲位移、设定点偏差、切换差、温度补偿、静压、交变压力应满足GB/T22065中相应条款规定的要求；</w:t>
      </w:r>
    </w:p>
    <w:p>
      <w:pPr>
        <w:numPr>
          <w:ilvl w:val="0"/>
          <w:numId w:val="11"/>
        </w:numPr>
        <w:adjustRightInd w:val="0"/>
        <w:spacing w:line="360" w:lineRule="auto"/>
        <w:ind w:firstLine="420" w:firstLineChars="200"/>
        <w:rPr>
          <w:szCs w:val="21"/>
        </w:rPr>
      </w:pPr>
      <w:r>
        <w:rPr>
          <w:rFonts w:hint="eastAsia"/>
          <w:szCs w:val="21"/>
        </w:rPr>
        <w:t>机械表计模组</w:t>
      </w:r>
      <w:r>
        <w:rPr>
          <w:szCs w:val="21"/>
        </w:rPr>
        <w:t>机械部分的基本误差、回差、指针偏转的平稳性、轻敲位移、设定点偏差、切换差、温度补偿、静压、交变压力应满足Q/GDW11921.3—2018中5.4～5.15所规定的要求；</w:t>
      </w:r>
    </w:p>
    <w:p>
      <w:pPr>
        <w:numPr>
          <w:ilvl w:val="0"/>
          <w:numId w:val="11"/>
        </w:numPr>
        <w:adjustRightInd w:val="0"/>
        <w:spacing w:line="360" w:lineRule="auto"/>
        <w:ind w:firstLine="420" w:firstLineChars="200"/>
        <w:rPr>
          <w:szCs w:val="21"/>
        </w:rPr>
      </w:pPr>
      <w:r>
        <w:rPr>
          <w:szCs w:val="21"/>
        </w:rPr>
        <w:t>现场显示与远传的SF6气体的密度值之差在额定值、报警值、闭锁值处应符合要求；</w:t>
      </w:r>
    </w:p>
    <w:p>
      <w:pPr>
        <w:numPr>
          <w:ilvl w:val="0"/>
          <w:numId w:val="11"/>
        </w:numPr>
        <w:adjustRightInd w:val="0"/>
        <w:spacing w:line="360" w:lineRule="auto"/>
        <w:ind w:firstLine="420" w:firstLineChars="200"/>
        <w:rPr>
          <w:szCs w:val="21"/>
        </w:rPr>
      </w:pPr>
      <w:r>
        <w:rPr>
          <w:rFonts w:hint="eastAsia"/>
          <w:szCs w:val="21"/>
        </w:rPr>
        <w:t>机械表计模组和结构机箱组装后</w:t>
      </w:r>
      <w:r>
        <w:rPr>
          <w:szCs w:val="21"/>
        </w:rPr>
        <w:t>的密封性能用绝对漏气率表示，其值应不大于</w:t>
      </w:r>
      <m:oMath>
        <m:r>
          <m:rPr/>
          <w:rPr>
            <w:rFonts w:ascii="Cambria Math" w:hAnsi="Cambria Math"/>
            <w:szCs w:val="21"/>
          </w:rPr>
          <m:t>1×</m:t>
        </m:r>
        <m:sSup>
          <m:sSupPr>
            <m:ctrlPr>
              <w:rPr>
                <w:rFonts w:ascii="Cambria Math" w:hAnsi="Cambria Math"/>
                <w:i/>
                <w:szCs w:val="21"/>
              </w:rPr>
            </m:ctrlPr>
          </m:sSupPr>
          <m:e>
            <m:r>
              <m:rPr/>
              <w:rPr>
                <w:rFonts w:ascii="Cambria Math" w:hAnsi="Cambria Math"/>
                <w:szCs w:val="21"/>
              </w:rPr>
              <m:t>10</m:t>
            </m:r>
            <m:ctrlPr>
              <w:rPr>
                <w:rFonts w:ascii="Cambria Math" w:hAnsi="Cambria Math"/>
                <w:i/>
                <w:szCs w:val="21"/>
              </w:rPr>
            </m:ctrlPr>
          </m:e>
          <m:sup>
            <m:r>
              <m:rPr/>
              <w:rPr>
                <w:rFonts w:ascii="Cambria Math" w:hAnsi="Cambria Math"/>
                <w:szCs w:val="21"/>
              </w:rPr>
              <m:t>−9</m:t>
            </m:r>
            <m:ctrlPr>
              <w:rPr>
                <w:rFonts w:ascii="Cambria Math" w:hAnsi="Cambria Math"/>
                <w:i/>
                <w:szCs w:val="21"/>
              </w:rPr>
            </m:ctrlPr>
          </m:sup>
        </m:sSup>
        <m:r>
          <m:rPr/>
          <w:rPr>
            <w:rFonts w:ascii="Cambria Math" w:hAnsi="Cambria Math"/>
            <w:szCs w:val="21"/>
          </w:rPr>
          <m:t>P</m:t>
        </m:r>
        <m:r>
          <m:rPr/>
          <w:rPr>
            <w:rFonts w:hint="eastAsia" w:ascii="Cambria Math" w:hAnsi="Cambria Math"/>
            <w:szCs w:val="21"/>
          </w:rPr>
          <m:t>a</m:t>
        </m:r>
        <m:r>
          <m:rPr/>
          <w:rPr>
            <w:rFonts w:ascii="Cambria Math" w:hAnsi="Cambria Math"/>
            <w:szCs w:val="21"/>
          </w:rPr>
          <m:t>∗</m:t>
        </m:r>
        <m:sSup>
          <m:sSupPr>
            <m:ctrlPr>
              <w:rPr>
                <w:rFonts w:ascii="Cambria Math" w:hAnsi="Cambria Math"/>
                <w:i/>
                <w:szCs w:val="21"/>
              </w:rPr>
            </m:ctrlPr>
          </m:sSupPr>
          <m:e>
            <m:r>
              <m:rPr/>
              <w:rPr>
                <w:rFonts w:ascii="Cambria Math" w:hAnsi="Cambria Math"/>
                <w:szCs w:val="21"/>
              </w:rPr>
              <m:t>m</m:t>
            </m:r>
            <m:ctrlPr>
              <w:rPr>
                <w:rFonts w:ascii="Cambria Math" w:hAnsi="Cambria Math"/>
                <w:i/>
                <w:szCs w:val="21"/>
              </w:rPr>
            </m:ctrlPr>
          </m:e>
          <m:sup>
            <m:r>
              <m:rPr/>
              <w:rPr>
                <w:rFonts w:ascii="Cambria Math" w:hAnsi="Cambria Math"/>
                <w:szCs w:val="21"/>
              </w:rPr>
              <m:t>3</m:t>
            </m:r>
            <m:ctrlPr>
              <w:rPr>
                <w:rFonts w:ascii="Cambria Math" w:hAnsi="Cambria Math"/>
                <w:i/>
                <w:szCs w:val="21"/>
              </w:rPr>
            </m:ctrlPr>
          </m:sup>
        </m:sSup>
        <m:r>
          <m:rPr/>
          <w:rPr>
            <w:rFonts w:ascii="Cambria Math" w:hAnsi="Cambria Math"/>
            <w:szCs w:val="21"/>
          </w:rPr>
          <m:t>/s</m:t>
        </m:r>
      </m:oMath>
      <w:r>
        <w:rPr>
          <w:szCs w:val="21"/>
        </w:rPr>
        <w:t>。</w:t>
      </w:r>
    </w:p>
    <w:p>
      <w:pPr>
        <w:pStyle w:val="200"/>
        <w:numPr>
          <w:ilvl w:val="0"/>
          <w:numId w:val="7"/>
        </w:numPr>
        <w:ind w:firstLineChars="0"/>
        <w:jc w:val="center"/>
      </w:pPr>
      <w:r>
        <w:t>基本误差要求</w:t>
      </w:r>
    </w:p>
    <w:tbl>
      <w:tblPr>
        <w:tblStyle w:val="20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707"/>
        <w:gridCol w:w="3105"/>
        <w:gridCol w:w="249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629" w:type="pct"/>
          </w:tcPr>
          <w:p>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3"/>
                <w:kern w:val="0"/>
                <w:sz w:val="18"/>
                <w:szCs w:val="18"/>
                <w:lang w:eastAsia="en-US"/>
              </w:rPr>
              <w:t>状态量</w:t>
            </w:r>
          </w:p>
        </w:tc>
        <w:tc>
          <w:tcPr>
            <w:tcW w:w="1868" w:type="pct"/>
          </w:tcPr>
          <w:p>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2"/>
                <w:kern w:val="0"/>
                <w:sz w:val="18"/>
                <w:szCs w:val="18"/>
                <w:lang w:eastAsia="en-US"/>
              </w:rPr>
              <w:t>测量范围</w:t>
            </w:r>
          </w:p>
        </w:tc>
        <w:tc>
          <w:tcPr>
            <w:tcW w:w="1502" w:type="pct"/>
          </w:tcPr>
          <w:p>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3"/>
                <w:kern w:val="0"/>
                <w:sz w:val="18"/>
                <w:szCs w:val="18"/>
                <w:lang w:eastAsia="en-US"/>
              </w:rPr>
              <w:t>误差限值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1629" w:type="pct"/>
          </w:tcPr>
          <w:p>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4"/>
                <w:kern w:val="0"/>
                <w:sz w:val="18"/>
                <w:szCs w:val="18"/>
                <w:lang w:eastAsia="en-US"/>
              </w:rPr>
              <w:t>压力</w:t>
            </w:r>
          </w:p>
        </w:tc>
        <w:tc>
          <w:tcPr>
            <w:tcW w:w="1868" w:type="pct"/>
          </w:tcPr>
          <w:p>
            <w:pPr>
              <w:kinsoku w:val="0"/>
              <w:autoSpaceDE w:val="0"/>
              <w:autoSpaceDN w:val="0"/>
              <w:adjustRightInd w:val="0"/>
              <w:snapToGrid w:val="0"/>
              <w:spacing w:before="42" w:line="360" w:lineRule="auto"/>
              <w:jc w:val="center"/>
              <w:textAlignment w:val="baseline"/>
              <w:rPr>
                <w:snapToGrid w:val="0"/>
                <w:color w:val="000000"/>
                <w:kern w:val="0"/>
                <w:sz w:val="18"/>
                <w:szCs w:val="18"/>
              </w:rPr>
            </w:pPr>
            <w:r>
              <w:rPr>
                <w:snapToGrid w:val="0"/>
                <w:color w:val="000000"/>
                <w:spacing w:val="-1"/>
                <w:kern w:val="0"/>
                <w:sz w:val="18"/>
                <w:szCs w:val="18"/>
              </w:rPr>
              <w:t>0MPa～1MPa（绝对压力）</w:t>
            </w:r>
          </w:p>
        </w:tc>
        <w:tc>
          <w:tcPr>
            <w:tcW w:w="1502" w:type="pct"/>
          </w:tcPr>
          <w:p>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3"/>
                <w:kern w:val="0"/>
                <w:sz w:val="18"/>
                <w:szCs w:val="18"/>
                <w:lang w:eastAsia="en-US"/>
              </w:rPr>
              <w:t>±0.5%F.S.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1629" w:type="pct"/>
          </w:tcPr>
          <w:p>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5"/>
                <w:kern w:val="0"/>
                <w:sz w:val="18"/>
                <w:szCs w:val="18"/>
                <w:lang w:eastAsia="en-US"/>
              </w:rPr>
              <w:t>温度</w:t>
            </w:r>
          </w:p>
        </w:tc>
        <w:tc>
          <w:tcPr>
            <w:tcW w:w="1868" w:type="pct"/>
          </w:tcPr>
          <w:p>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5"/>
                <w:kern w:val="0"/>
                <w:sz w:val="18"/>
                <w:szCs w:val="18"/>
                <w:lang w:eastAsia="en-US"/>
              </w:rPr>
              <w:t>-40℃~60℃或-30℃+70℃</w:t>
            </w:r>
          </w:p>
        </w:tc>
        <w:tc>
          <w:tcPr>
            <w:tcW w:w="1502" w:type="pct"/>
          </w:tcPr>
          <w:p>
            <w:pPr>
              <w:kinsoku w:val="0"/>
              <w:autoSpaceDE w:val="0"/>
              <w:autoSpaceDN w:val="0"/>
              <w:adjustRightInd w:val="0"/>
              <w:snapToGrid w:val="0"/>
              <w:spacing w:before="42" w:line="360" w:lineRule="auto"/>
              <w:jc w:val="center"/>
              <w:textAlignment w:val="baseline"/>
              <w:rPr>
                <w:snapToGrid w:val="0"/>
                <w:color w:val="000000"/>
                <w:kern w:val="0"/>
                <w:sz w:val="18"/>
                <w:szCs w:val="18"/>
                <w:lang w:eastAsia="en-US"/>
              </w:rPr>
            </w:pPr>
            <w:r>
              <w:rPr>
                <w:snapToGrid w:val="0"/>
                <w:color w:val="000000"/>
                <w:spacing w:val="-9"/>
                <w:kern w:val="0"/>
                <w:sz w:val="18"/>
                <w:szCs w:val="18"/>
                <w:lang w:eastAsia="en-US"/>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629" w:type="pct"/>
          </w:tcPr>
          <w:p>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kern w:val="0"/>
                <w:sz w:val="18"/>
                <w:szCs w:val="18"/>
                <w:lang w:eastAsia="en-US"/>
              </w:rPr>
              <w:t>P</w:t>
            </w:r>
            <w:r>
              <w:rPr>
                <w:snapToGrid w:val="0"/>
                <w:color w:val="000000"/>
                <w:kern w:val="0"/>
                <w:position w:val="-2"/>
                <w:sz w:val="8"/>
                <w:szCs w:val="8"/>
                <w:lang w:eastAsia="en-US"/>
              </w:rPr>
              <w:t>20</w:t>
            </w:r>
            <w:r>
              <w:rPr>
                <w:snapToGrid w:val="0"/>
                <w:color w:val="000000"/>
                <w:kern w:val="0"/>
                <w:sz w:val="18"/>
                <w:szCs w:val="18"/>
                <w:lang w:eastAsia="en-US"/>
              </w:rPr>
              <w:t>（20℃时压力）</w:t>
            </w:r>
          </w:p>
        </w:tc>
        <w:tc>
          <w:tcPr>
            <w:tcW w:w="1868" w:type="pct"/>
          </w:tcPr>
          <w:p>
            <w:pPr>
              <w:kinsoku w:val="0"/>
              <w:autoSpaceDE w:val="0"/>
              <w:autoSpaceDN w:val="0"/>
              <w:adjustRightInd w:val="0"/>
              <w:snapToGrid w:val="0"/>
              <w:spacing w:before="44" w:line="360" w:lineRule="auto"/>
              <w:jc w:val="center"/>
              <w:textAlignment w:val="baseline"/>
              <w:rPr>
                <w:snapToGrid w:val="0"/>
                <w:color w:val="000000"/>
                <w:kern w:val="0"/>
                <w:sz w:val="18"/>
                <w:szCs w:val="18"/>
              </w:rPr>
            </w:pPr>
            <w:r>
              <w:rPr>
                <w:snapToGrid w:val="0"/>
                <w:color w:val="000000"/>
                <w:spacing w:val="-1"/>
                <w:kern w:val="0"/>
                <w:sz w:val="18"/>
                <w:szCs w:val="18"/>
              </w:rPr>
              <w:t>0MPa～1MPa（绝对压力）</w:t>
            </w:r>
          </w:p>
        </w:tc>
        <w:tc>
          <w:tcPr>
            <w:tcW w:w="1502" w:type="pct"/>
          </w:tcPr>
          <w:p>
            <w:pPr>
              <w:kinsoku w:val="0"/>
              <w:autoSpaceDE w:val="0"/>
              <w:autoSpaceDN w:val="0"/>
              <w:adjustRightInd w:val="0"/>
              <w:snapToGrid w:val="0"/>
              <w:spacing w:before="44" w:line="360" w:lineRule="auto"/>
              <w:jc w:val="center"/>
              <w:textAlignment w:val="baseline"/>
              <w:rPr>
                <w:snapToGrid w:val="0"/>
                <w:color w:val="000000"/>
                <w:kern w:val="0"/>
                <w:sz w:val="18"/>
                <w:szCs w:val="18"/>
                <w:lang w:eastAsia="en-US"/>
              </w:rPr>
            </w:pPr>
            <w:r>
              <w:rPr>
                <w:snapToGrid w:val="0"/>
                <w:color w:val="000000"/>
                <w:spacing w:val="-6"/>
                <w:kern w:val="0"/>
                <w:sz w:val="18"/>
                <w:szCs w:val="18"/>
                <w:lang w:eastAsia="en-US"/>
              </w:rPr>
              <w:t>±1.0%F.S.</w:t>
            </w:r>
          </w:p>
        </w:tc>
      </w:tr>
    </w:tbl>
    <w:p>
      <w:pPr>
        <w:pStyle w:val="200"/>
        <w:numPr>
          <w:ilvl w:val="0"/>
          <w:numId w:val="7"/>
        </w:numPr>
        <w:ind w:firstLineChars="0"/>
        <w:jc w:val="center"/>
      </w:pPr>
      <w:r>
        <w:t>现场显示与远传数据一致性要求</w:t>
      </w:r>
    </w:p>
    <w:tbl>
      <w:tblPr>
        <w:tblStyle w:val="20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706"/>
        <w:gridCol w:w="3105"/>
        <w:gridCol w:w="24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2702"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精确度等级</w:t>
            </w:r>
          </w:p>
        </w:tc>
        <w:tc>
          <w:tcPr>
            <w:tcW w:w="3101"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20℃（%FS）</w:t>
            </w:r>
          </w:p>
        </w:tc>
        <w:tc>
          <w:tcPr>
            <w:tcW w:w="2494"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其它温度（%FS）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702"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1.0</w:t>
            </w:r>
          </w:p>
        </w:tc>
        <w:tc>
          <w:tcPr>
            <w:tcW w:w="3101"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±1.0</w:t>
            </w:r>
          </w:p>
        </w:tc>
        <w:tc>
          <w:tcPr>
            <w:tcW w:w="2494"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2702"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1.6</w:t>
            </w:r>
          </w:p>
        </w:tc>
        <w:tc>
          <w:tcPr>
            <w:tcW w:w="3101"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±1.6</w:t>
            </w:r>
          </w:p>
        </w:tc>
        <w:tc>
          <w:tcPr>
            <w:tcW w:w="2494" w:type="dxa"/>
          </w:tcPr>
          <w:p>
            <w:pPr>
              <w:kinsoku w:val="0"/>
              <w:autoSpaceDE w:val="0"/>
              <w:autoSpaceDN w:val="0"/>
              <w:adjustRightInd w:val="0"/>
              <w:snapToGrid w:val="0"/>
              <w:spacing w:before="44" w:line="360" w:lineRule="auto"/>
              <w:jc w:val="center"/>
              <w:textAlignment w:val="baseline"/>
              <w:rPr>
                <w:snapToGrid w:val="0"/>
                <w:color w:val="000000"/>
                <w:spacing w:val="-3"/>
                <w:kern w:val="0"/>
                <w:sz w:val="18"/>
                <w:szCs w:val="18"/>
                <w:lang w:eastAsia="en-US"/>
              </w:rPr>
            </w:pPr>
            <w:r>
              <w:rPr>
                <w:snapToGrid w:val="0"/>
                <w:color w:val="000000"/>
                <w:spacing w:val="-3"/>
                <w:kern w:val="0"/>
                <w:sz w:val="18"/>
                <w:szCs w:val="18"/>
                <w:lang w:eastAsia="en-US"/>
              </w:rPr>
              <w:t>±2.5</w:t>
            </w:r>
          </w:p>
        </w:tc>
      </w:tr>
    </w:tbl>
    <w:p>
      <w:pPr>
        <w:pStyle w:val="4"/>
        <w:rPr>
          <w:rFonts w:ascii="Times New Roman" w:hAnsi="Times New Roman"/>
          <w:b/>
          <w:bCs w:val="0"/>
          <w:sz w:val="21"/>
          <w:szCs w:val="21"/>
        </w:rPr>
      </w:pPr>
      <w:bookmarkStart w:id="49" w:name="_Toc236235713"/>
      <w:r>
        <w:rPr>
          <w:rFonts w:hint="eastAsia" w:ascii="Times New Roman" w:hAnsi="Times New Roman"/>
          <w:b/>
          <w:bCs w:val="0"/>
          <w:sz w:val="21"/>
          <w:szCs w:val="21"/>
        </w:rPr>
        <w:t>微水传感模组性能</w:t>
      </w:r>
      <w:r>
        <w:rPr>
          <w:rFonts w:ascii="Times New Roman" w:hAnsi="Times New Roman"/>
          <w:b/>
          <w:bCs w:val="0"/>
          <w:sz w:val="21"/>
          <w:szCs w:val="21"/>
        </w:rPr>
        <w:t>要求</w:t>
      </w:r>
      <w:bookmarkEnd w:id="49"/>
    </w:p>
    <w:p>
      <w:pPr>
        <w:numPr>
          <w:ilvl w:val="0"/>
          <w:numId w:val="12"/>
        </w:numPr>
        <w:adjustRightInd w:val="0"/>
        <w:spacing w:line="360" w:lineRule="auto"/>
        <w:ind w:firstLine="420" w:firstLineChars="200"/>
      </w:pPr>
      <w:r>
        <w:rPr>
          <w:rFonts w:hint="eastAsia"/>
        </w:rPr>
        <w:t>测量准确度要求</w:t>
      </w:r>
    </w:p>
    <w:p>
      <w:pPr>
        <w:pStyle w:val="200"/>
        <w:tabs>
          <w:tab w:val="left" w:pos="851"/>
        </w:tabs>
        <w:spacing w:line="360" w:lineRule="auto"/>
        <w:ind w:left="420" w:firstLine="0" w:firstLineChars="0"/>
        <w:rPr>
          <w:szCs w:val="21"/>
        </w:rPr>
      </w:pPr>
      <w:r>
        <w:rPr>
          <w:rFonts w:hint="eastAsia"/>
          <w:szCs w:val="21"/>
        </w:rPr>
        <w:t>测量准确度需符合下表中测量数据准确度要求。</w:t>
      </w:r>
    </w:p>
    <w:p>
      <w:pPr>
        <w:pStyle w:val="200"/>
        <w:numPr>
          <w:ilvl w:val="0"/>
          <w:numId w:val="7"/>
        </w:numPr>
        <w:ind w:firstLineChars="0"/>
        <w:jc w:val="center"/>
        <w:rPr>
          <w:szCs w:val="21"/>
        </w:rPr>
      </w:pPr>
      <w:r>
        <w:rPr>
          <w:rFonts w:hint="eastAsia"/>
          <w:szCs w:val="21"/>
        </w:rPr>
        <w:t>微水准确度技术指标</w:t>
      </w:r>
    </w:p>
    <w:tbl>
      <w:tblPr>
        <w:tblStyle w:val="35"/>
        <w:tblW w:w="499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384"/>
        <w:gridCol w:w="1293"/>
        <w:gridCol w:w="2112"/>
        <w:gridCol w:w="172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987" w:type="pct"/>
            <w:tcBorders>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试验类别</w:t>
            </w:r>
          </w:p>
        </w:tc>
        <w:tc>
          <w:tcPr>
            <w:tcW w:w="759" w:type="pct"/>
            <w:tcBorders>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检测组分</w:t>
            </w:r>
          </w:p>
        </w:tc>
        <w:tc>
          <w:tcPr>
            <w:tcW w:w="1240" w:type="pct"/>
            <w:tcBorders>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检测范围μL/L</w:t>
            </w:r>
          </w:p>
        </w:tc>
        <w:tc>
          <w:tcPr>
            <w:tcW w:w="1012" w:type="pct"/>
            <w:tcBorders>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准确度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987" w:type="pct"/>
            <w:vMerge w:val="restart"/>
            <w:tcBorders>
              <w:top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型式试验</w:t>
            </w:r>
          </w:p>
        </w:tc>
        <w:tc>
          <w:tcPr>
            <w:tcW w:w="759" w:type="pct"/>
            <w:vMerge w:val="restart"/>
            <w:tcBorders>
              <w:top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H</w:t>
            </w:r>
            <w:r>
              <w:rPr>
                <w:szCs w:val="21"/>
                <w:vertAlign w:val="subscript"/>
              </w:rPr>
              <w:t>2</w:t>
            </w:r>
            <w:r>
              <w:rPr>
                <w:rFonts w:hint="eastAsia"/>
                <w:szCs w:val="21"/>
              </w:rPr>
              <w:t>O</w:t>
            </w:r>
          </w:p>
        </w:tc>
        <w:tc>
          <w:tcPr>
            <w:tcW w:w="1240" w:type="pct"/>
            <w:tcBorders>
              <w:top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10~30</w:t>
            </w:r>
          </w:p>
        </w:tc>
        <w:tc>
          <w:tcPr>
            <w:tcW w:w="1012" w:type="pct"/>
            <w:tcBorders>
              <w:top w:val="single" w:color="auto" w:sz="12" w:space="0"/>
              <w:bottom w:val="single" w:color="auto" w:sz="4" w:space="0"/>
            </w:tcBorders>
            <w:vAlign w:val="center"/>
          </w:tcPr>
          <w:p>
            <w:pPr>
              <w:pStyle w:val="200"/>
              <w:tabs>
                <w:tab w:val="left" w:pos="851"/>
              </w:tabs>
              <w:spacing w:line="360" w:lineRule="auto"/>
              <w:ind w:firstLine="0" w:firstLineChars="0"/>
              <w:jc w:val="center"/>
              <w:rPr>
                <w:szCs w:val="21"/>
              </w:rPr>
            </w:pPr>
            <w:r>
              <w:rPr>
                <w:rFonts w:hint="eastAsia"/>
                <w:szCs w:val="21"/>
              </w:rPr>
              <w:t>≤±1.5μL/L</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987" w:type="pct"/>
            <w:vMerge w:val="continue"/>
            <w:vAlign w:val="center"/>
          </w:tcPr>
          <w:p>
            <w:pPr>
              <w:pStyle w:val="200"/>
              <w:tabs>
                <w:tab w:val="left" w:pos="851"/>
              </w:tabs>
              <w:spacing w:line="360" w:lineRule="auto"/>
              <w:ind w:left="420" w:firstLine="0" w:firstLineChars="0"/>
              <w:jc w:val="center"/>
              <w:rPr>
                <w:szCs w:val="21"/>
              </w:rPr>
            </w:pPr>
          </w:p>
        </w:tc>
        <w:tc>
          <w:tcPr>
            <w:tcW w:w="759" w:type="pct"/>
            <w:vMerge w:val="continue"/>
            <w:vAlign w:val="center"/>
          </w:tcPr>
          <w:p>
            <w:pPr>
              <w:pStyle w:val="200"/>
              <w:tabs>
                <w:tab w:val="left" w:pos="851"/>
              </w:tabs>
              <w:spacing w:line="360" w:lineRule="auto"/>
              <w:ind w:firstLine="0" w:firstLineChars="0"/>
              <w:jc w:val="center"/>
              <w:rPr>
                <w:szCs w:val="21"/>
              </w:rPr>
            </w:pPr>
          </w:p>
        </w:tc>
        <w:tc>
          <w:tcPr>
            <w:tcW w:w="1240" w:type="pct"/>
            <w:vAlign w:val="center"/>
          </w:tcPr>
          <w:p>
            <w:pPr>
              <w:pStyle w:val="200"/>
              <w:tabs>
                <w:tab w:val="left" w:pos="851"/>
              </w:tabs>
              <w:spacing w:line="360" w:lineRule="auto"/>
              <w:ind w:firstLine="0" w:firstLineChars="0"/>
              <w:jc w:val="center"/>
              <w:rPr>
                <w:szCs w:val="21"/>
              </w:rPr>
            </w:pPr>
            <w:r>
              <w:rPr>
                <w:rFonts w:hint="eastAsia"/>
                <w:szCs w:val="21"/>
              </w:rPr>
              <w:t>30～1000</w:t>
            </w:r>
          </w:p>
        </w:tc>
        <w:tc>
          <w:tcPr>
            <w:tcW w:w="1012" w:type="pct"/>
            <w:tcBorders>
              <w:top w:val="single" w:color="auto" w:sz="4" w:space="0"/>
            </w:tcBorders>
            <w:vAlign w:val="center"/>
          </w:tcPr>
          <w:p>
            <w:pPr>
              <w:pStyle w:val="200"/>
              <w:tabs>
                <w:tab w:val="left" w:pos="851"/>
              </w:tabs>
              <w:spacing w:line="360" w:lineRule="auto"/>
              <w:ind w:firstLine="0" w:firstLineChars="0"/>
              <w:jc w:val="center"/>
              <w:rPr>
                <w:szCs w:val="21"/>
              </w:rPr>
            </w:pPr>
            <w:r>
              <w:rPr>
                <w:rFonts w:hint="eastAsia"/>
                <w:szCs w:val="21"/>
              </w:rPr>
              <w:t>≤±5%</w:t>
            </w:r>
          </w:p>
        </w:tc>
      </w:tr>
    </w:tbl>
    <w:p>
      <w:pPr>
        <w:numPr>
          <w:ilvl w:val="0"/>
          <w:numId w:val="12"/>
        </w:numPr>
        <w:adjustRightInd w:val="0"/>
        <w:spacing w:line="360" w:lineRule="auto"/>
        <w:ind w:firstLine="420" w:firstLineChars="200"/>
        <w:rPr>
          <w:szCs w:val="21"/>
        </w:rPr>
      </w:pPr>
      <w:r>
        <w:rPr>
          <w:rFonts w:hint="eastAsia"/>
          <w:szCs w:val="21"/>
        </w:rPr>
        <w:t>测量</w:t>
      </w:r>
      <w:r>
        <w:rPr>
          <w:rFonts w:hint="eastAsia"/>
        </w:rPr>
        <w:t>重复性</w:t>
      </w:r>
      <w:r>
        <w:rPr>
          <w:rFonts w:hint="eastAsia"/>
          <w:szCs w:val="21"/>
        </w:rPr>
        <w:t>要求</w:t>
      </w:r>
    </w:p>
    <w:p>
      <w:pPr>
        <w:pStyle w:val="200"/>
        <w:tabs>
          <w:tab w:val="left" w:pos="851"/>
        </w:tabs>
        <w:spacing w:line="360" w:lineRule="auto"/>
        <w:ind w:left="420" w:firstLine="0" w:firstLineChars="0"/>
        <w:rPr>
          <w:szCs w:val="21"/>
        </w:rPr>
      </w:pPr>
      <w:r>
        <w:rPr>
          <w:rFonts w:hint="eastAsia"/>
          <w:szCs w:val="21"/>
        </w:rPr>
        <w:t>在重复性条件下，微水的6次测试结果的相对标准偏差RSD＜2%。</w:t>
      </w:r>
    </w:p>
    <w:p>
      <w:pPr>
        <w:pStyle w:val="200"/>
        <w:numPr>
          <w:ilvl w:val="0"/>
          <w:numId w:val="7"/>
        </w:numPr>
        <w:ind w:firstLineChars="0"/>
        <w:jc w:val="center"/>
        <w:rPr>
          <w:szCs w:val="21"/>
        </w:rPr>
      </w:pPr>
      <w:r>
        <w:rPr>
          <w:rFonts w:hint="eastAsia"/>
          <w:szCs w:val="21"/>
        </w:rPr>
        <w:t>微水重复性技术指标</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4"/>
        <w:gridCol w:w="2444"/>
        <w:gridCol w:w="2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574" w:type="dxa"/>
            <w:tcBorders>
              <w:top w:val="single" w:color="auto" w:sz="12" w:space="0"/>
              <w:left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检测组分</w:t>
            </w:r>
          </w:p>
        </w:tc>
        <w:tc>
          <w:tcPr>
            <w:tcW w:w="2444" w:type="dxa"/>
            <w:tcBorders>
              <w:top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检测范围μL/L</w:t>
            </w:r>
          </w:p>
        </w:tc>
        <w:tc>
          <w:tcPr>
            <w:tcW w:w="2616" w:type="dxa"/>
            <w:tcBorders>
              <w:top w:val="single" w:color="auto" w:sz="12" w:space="0"/>
              <w:bottom w:val="single" w:color="auto" w:sz="12" w:space="0"/>
              <w:right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重复性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574" w:type="dxa"/>
            <w:tcBorders>
              <w:top w:val="single" w:color="auto" w:sz="12" w:space="0"/>
              <w:left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H</w:t>
            </w:r>
            <w:r>
              <w:rPr>
                <w:rFonts w:eastAsia="仿宋_GB2312"/>
                <w:szCs w:val="21"/>
                <w:vertAlign w:val="subscript"/>
              </w:rPr>
              <w:t>2</w:t>
            </w:r>
            <w:r>
              <w:rPr>
                <w:rFonts w:hint="eastAsia" w:eastAsia="仿宋_GB2312"/>
                <w:szCs w:val="21"/>
              </w:rPr>
              <w:t>O</w:t>
            </w:r>
          </w:p>
        </w:tc>
        <w:tc>
          <w:tcPr>
            <w:tcW w:w="2444" w:type="dxa"/>
            <w:tcBorders>
              <w:top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10～1000</w:t>
            </w:r>
          </w:p>
        </w:tc>
        <w:tc>
          <w:tcPr>
            <w:tcW w:w="2616" w:type="dxa"/>
            <w:tcBorders>
              <w:top w:val="single" w:color="auto" w:sz="12" w:space="0"/>
              <w:bottom w:val="single" w:color="auto" w:sz="12" w:space="0"/>
              <w:right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RSD&lt;2%</w:t>
            </w:r>
          </w:p>
        </w:tc>
      </w:tr>
    </w:tbl>
    <w:p>
      <w:pPr>
        <w:adjustRightInd w:val="0"/>
        <w:spacing w:line="360" w:lineRule="auto"/>
        <w:rPr>
          <w:szCs w:val="21"/>
        </w:rPr>
      </w:pPr>
    </w:p>
    <w:p>
      <w:pPr>
        <w:numPr>
          <w:ilvl w:val="0"/>
          <w:numId w:val="12"/>
        </w:numPr>
        <w:adjustRightInd w:val="0"/>
        <w:spacing w:line="360" w:lineRule="auto"/>
        <w:ind w:firstLine="420" w:firstLineChars="200"/>
        <w:rPr>
          <w:szCs w:val="21"/>
        </w:rPr>
      </w:pPr>
      <w:r>
        <w:rPr>
          <w:rFonts w:hint="eastAsia"/>
          <w:szCs w:val="21"/>
        </w:rPr>
        <w:t>测量</w:t>
      </w:r>
      <w:r>
        <w:rPr>
          <w:rFonts w:hint="eastAsia"/>
        </w:rPr>
        <w:t>响应时间</w:t>
      </w:r>
      <w:r>
        <w:rPr>
          <w:rFonts w:hint="eastAsia"/>
          <w:szCs w:val="21"/>
        </w:rPr>
        <w:t>要求</w:t>
      </w:r>
    </w:p>
    <w:p>
      <w:pPr>
        <w:pStyle w:val="200"/>
        <w:tabs>
          <w:tab w:val="left" w:pos="851"/>
        </w:tabs>
        <w:spacing w:line="360" w:lineRule="auto"/>
        <w:ind w:left="420"/>
        <w:rPr>
          <w:szCs w:val="21"/>
        </w:rPr>
      </w:pPr>
      <w:r>
        <w:rPr>
          <w:rFonts w:hint="eastAsia"/>
          <w:szCs w:val="21"/>
        </w:rPr>
        <w:t>微水的测试过程的响应时间满足表6的要求。</w:t>
      </w:r>
    </w:p>
    <w:p>
      <w:pPr>
        <w:pStyle w:val="200"/>
        <w:numPr>
          <w:ilvl w:val="0"/>
          <w:numId w:val="7"/>
        </w:numPr>
        <w:ind w:firstLineChars="0"/>
        <w:jc w:val="center"/>
        <w:rPr>
          <w:szCs w:val="21"/>
        </w:rPr>
      </w:pPr>
      <w:r>
        <w:rPr>
          <w:rFonts w:hint="eastAsia"/>
          <w:szCs w:val="21"/>
        </w:rPr>
        <w:t>微水响应时间技术指标</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4"/>
        <w:gridCol w:w="2444"/>
        <w:gridCol w:w="2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574" w:type="dxa"/>
            <w:tcBorders>
              <w:top w:val="single" w:color="auto" w:sz="12" w:space="0"/>
              <w:left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检测组分</w:t>
            </w:r>
          </w:p>
        </w:tc>
        <w:tc>
          <w:tcPr>
            <w:tcW w:w="2444" w:type="dxa"/>
            <w:tcBorders>
              <w:top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检测范围μL/L</w:t>
            </w:r>
          </w:p>
        </w:tc>
        <w:tc>
          <w:tcPr>
            <w:tcW w:w="2616" w:type="dxa"/>
            <w:tcBorders>
              <w:top w:val="single" w:color="auto" w:sz="12" w:space="0"/>
              <w:bottom w:val="single" w:color="auto" w:sz="12" w:space="0"/>
              <w:right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响应时间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574" w:type="dxa"/>
            <w:tcBorders>
              <w:top w:val="single" w:color="auto" w:sz="12" w:space="0"/>
              <w:left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H</w:t>
            </w:r>
            <w:r>
              <w:rPr>
                <w:rFonts w:eastAsia="仿宋_GB2312"/>
                <w:szCs w:val="21"/>
                <w:vertAlign w:val="subscript"/>
              </w:rPr>
              <w:t>2</w:t>
            </w:r>
            <w:r>
              <w:rPr>
                <w:rFonts w:hint="eastAsia" w:eastAsia="仿宋_GB2312"/>
                <w:szCs w:val="21"/>
              </w:rPr>
              <w:t>O</w:t>
            </w:r>
          </w:p>
        </w:tc>
        <w:tc>
          <w:tcPr>
            <w:tcW w:w="2444" w:type="dxa"/>
            <w:tcBorders>
              <w:top w:val="single" w:color="auto" w:sz="12" w:space="0"/>
              <w:bottom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10～1000</w:t>
            </w:r>
          </w:p>
        </w:tc>
        <w:tc>
          <w:tcPr>
            <w:tcW w:w="2616" w:type="dxa"/>
            <w:tcBorders>
              <w:top w:val="single" w:color="auto" w:sz="12" w:space="0"/>
              <w:bottom w:val="single" w:color="auto" w:sz="12" w:space="0"/>
              <w:right w:val="single" w:color="auto" w:sz="12" w:space="0"/>
            </w:tcBorders>
            <w:vAlign w:val="center"/>
          </w:tcPr>
          <w:p>
            <w:pPr>
              <w:pStyle w:val="200"/>
              <w:tabs>
                <w:tab w:val="left" w:pos="851"/>
              </w:tabs>
              <w:spacing w:line="360" w:lineRule="auto"/>
              <w:ind w:firstLine="0" w:firstLineChars="0"/>
              <w:jc w:val="center"/>
              <w:rPr>
                <w:rFonts w:eastAsia="仿宋_GB2312"/>
                <w:szCs w:val="21"/>
              </w:rPr>
            </w:pPr>
            <w:r>
              <w:rPr>
                <w:rFonts w:hint="eastAsia" w:eastAsia="仿宋_GB2312"/>
                <w:szCs w:val="21"/>
              </w:rPr>
              <w:t>≤5min</w:t>
            </w:r>
          </w:p>
        </w:tc>
      </w:tr>
    </w:tbl>
    <w:p>
      <w:pPr>
        <w:tabs>
          <w:tab w:val="left" w:pos="709"/>
        </w:tabs>
        <w:spacing w:line="360" w:lineRule="auto"/>
        <w:ind w:firstLine="420" w:firstLineChars="200"/>
        <w:rPr>
          <w:sz w:val="18"/>
          <w:szCs w:val="18"/>
        </w:rPr>
      </w:pPr>
      <w:r>
        <w:t>备注：30秒内示值变化量不大于5</w:t>
      </w:r>
      <w:r>
        <w:rPr>
          <w:sz w:val="18"/>
          <w:szCs w:val="18"/>
        </w:rPr>
        <w:t>μL/L时，可认为示值稳定。</w:t>
      </w:r>
    </w:p>
    <w:p>
      <w:pPr>
        <w:pStyle w:val="4"/>
        <w:rPr>
          <w:rFonts w:ascii="Times New Roman" w:hAnsi="Times New Roman"/>
          <w:b/>
          <w:bCs w:val="0"/>
          <w:sz w:val="21"/>
          <w:szCs w:val="21"/>
        </w:rPr>
      </w:pPr>
      <w:bookmarkStart w:id="50" w:name="_Toc668449248"/>
      <w:r>
        <w:rPr>
          <w:rFonts w:hint="eastAsia" w:ascii="Times New Roman" w:hAnsi="Times New Roman"/>
          <w:b/>
          <w:bCs w:val="0"/>
          <w:sz w:val="21"/>
          <w:szCs w:val="21"/>
        </w:rPr>
        <w:t>结构机箱</w:t>
      </w:r>
      <w:r>
        <w:rPr>
          <w:rFonts w:ascii="Times New Roman" w:hAnsi="Times New Roman"/>
          <w:b/>
          <w:bCs w:val="0"/>
          <w:sz w:val="21"/>
          <w:szCs w:val="21"/>
        </w:rPr>
        <w:t>要求</w:t>
      </w:r>
      <w:bookmarkEnd w:id="50"/>
    </w:p>
    <w:p>
      <w:pPr>
        <w:pStyle w:val="200"/>
        <w:numPr>
          <w:ilvl w:val="0"/>
          <w:numId w:val="13"/>
        </w:numPr>
        <w:tabs>
          <w:tab w:val="left" w:pos="851"/>
        </w:tabs>
        <w:spacing w:line="360" w:lineRule="auto"/>
        <w:ind w:firstLineChars="0"/>
        <w:rPr>
          <w:szCs w:val="21"/>
        </w:rPr>
      </w:pPr>
      <w:r>
        <w:rPr>
          <w:rFonts w:hint="eastAsia"/>
          <w:szCs w:val="21"/>
        </w:rPr>
        <w:t>外观应喷涂户外专用漆，颜色由采购人指定；</w:t>
      </w:r>
    </w:p>
    <w:p>
      <w:pPr>
        <w:pStyle w:val="200"/>
        <w:numPr>
          <w:ilvl w:val="0"/>
          <w:numId w:val="13"/>
        </w:numPr>
        <w:tabs>
          <w:tab w:val="left" w:pos="851"/>
        </w:tabs>
        <w:spacing w:line="360" w:lineRule="auto"/>
        <w:ind w:firstLineChars="0"/>
        <w:rPr>
          <w:szCs w:val="21"/>
        </w:rPr>
      </w:pPr>
      <w:r>
        <w:rPr>
          <w:rFonts w:hint="eastAsia"/>
          <w:szCs w:val="21"/>
        </w:rPr>
        <w:t>外机箱需使用必要的防锈蚀措施，具体由采购人指定；</w:t>
      </w:r>
    </w:p>
    <w:p>
      <w:pPr>
        <w:pStyle w:val="200"/>
        <w:numPr>
          <w:ilvl w:val="0"/>
          <w:numId w:val="13"/>
        </w:numPr>
        <w:tabs>
          <w:tab w:val="left" w:pos="851"/>
        </w:tabs>
        <w:spacing w:line="360" w:lineRule="auto"/>
        <w:ind w:firstLineChars="0"/>
        <w:rPr>
          <w:szCs w:val="21"/>
        </w:rPr>
      </w:pPr>
      <w:r>
        <w:rPr>
          <w:rFonts w:hint="eastAsia"/>
          <w:szCs w:val="21"/>
        </w:rPr>
        <w:t>材质：304不锈钢及铝板组成，1mm厚，具体由采购人提供图纸，结构机械性能要求如表3；</w:t>
      </w:r>
    </w:p>
    <w:p>
      <w:pPr>
        <w:pStyle w:val="200"/>
        <w:numPr>
          <w:ilvl w:val="0"/>
          <w:numId w:val="13"/>
        </w:numPr>
        <w:tabs>
          <w:tab w:val="left" w:pos="851"/>
        </w:tabs>
        <w:spacing w:line="360" w:lineRule="auto"/>
        <w:ind w:firstLineChars="0"/>
        <w:rPr>
          <w:szCs w:val="21"/>
        </w:rPr>
      </w:pPr>
      <w:r>
        <w:rPr>
          <w:rFonts w:hint="eastAsia"/>
          <w:szCs w:val="21"/>
        </w:rPr>
        <w:t>尺寸：147mm*51mm*134mm。</w:t>
      </w:r>
    </w:p>
    <w:p>
      <w:pPr>
        <w:pStyle w:val="200"/>
        <w:numPr>
          <w:ilvl w:val="0"/>
          <w:numId w:val="13"/>
        </w:numPr>
        <w:tabs>
          <w:tab w:val="left" w:pos="851"/>
        </w:tabs>
        <w:spacing w:line="360" w:lineRule="auto"/>
        <w:ind w:firstLineChars="0"/>
        <w:rPr>
          <w:szCs w:val="21"/>
        </w:rPr>
      </w:pPr>
      <w:bookmarkStart w:id="51" w:name="_Toc5393"/>
      <w:bookmarkStart w:id="52" w:name="_Toc1323727792"/>
      <w:bookmarkStart w:id="53" w:name="_Toc26070"/>
      <w:bookmarkStart w:id="54" w:name="_Toc349050820"/>
      <w:bookmarkStart w:id="55" w:name="_Toc19387"/>
      <w:bookmarkStart w:id="56" w:name="_Toc1286890045"/>
      <w:bookmarkStart w:id="57" w:name="_Toc349051999"/>
      <w:r>
        <w:t>防尘</w:t>
      </w:r>
      <w:bookmarkEnd w:id="51"/>
      <w:bookmarkEnd w:id="52"/>
      <w:bookmarkEnd w:id="53"/>
      <w:bookmarkEnd w:id="54"/>
      <w:bookmarkEnd w:id="55"/>
      <w:bookmarkEnd w:id="56"/>
      <w:bookmarkEnd w:id="57"/>
      <w:r>
        <w:rPr>
          <w:rFonts w:hint="eastAsia"/>
        </w:rPr>
        <w:t>：</w:t>
      </w:r>
      <w:r>
        <w:rPr>
          <w:szCs w:val="21"/>
        </w:rPr>
        <w:t>应符合GB 4208中规定的外壳防护等级IP</w:t>
      </w:r>
      <w:r>
        <w:rPr>
          <w:rFonts w:hint="eastAsia"/>
          <w:szCs w:val="21"/>
        </w:rPr>
        <w:t>65</w:t>
      </w:r>
      <w:r>
        <w:rPr>
          <w:szCs w:val="21"/>
        </w:rPr>
        <w:t>的要求。</w:t>
      </w:r>
    </w:p>
    <w:p>
      <w:pPr>
        <w:pStyle w:val="200"/>
        <w:numPr>
          <w:ilvl w:val="0"/>
          <w:numId w:val="13"/>
        </w:numPr>
        <w:tabs>
          <w:tab w:val="left" w:pos="851"/>
        </w:tabs>
        <w:spacing w:line="360" w:lineRule="auto"/>
        <w:ind w:firstLineChars="0"/>
        <w:rPr>
          <w:szCs w:val="21"/>
        </w:rPr>
      </w:pPr>
      <w:bookmarkStart w:id="58" w:name="_Toc194791272"/>
      <w:bookmarkStart w:id="59" w:name="_Toc28375"/>
      <w:bookmarkStart w:id="60" w:name="_Toc23090"/>
      <w:bookmarkStart w:id="61" w:name="_Toc349052000"/>
      <w:bookmarkStart w:id="62" w:name="_Toc15723"/>
      <w:bookmarkStart w:id="63" w:name="_Toc349050821"/>
      <w:bookmarkStart w:id="64" w:name="_Toc665731650"/>
      <w:r>
        <w:t>防水</w:t>
      </w:r>
      <w:bookmarkEnd w:id="58"/>
      <w:bookmarkEnd w:id="59"/>
      <w:bookmarkEnd w:id="60"/>
      <w:bookmarkEnd w:id="61"/>
      <w:bookmarkEnd w:id="62"/>
      <w:bookmarkEnd w:id="63"/>
      <w:bookmarkEnd w:id="64"/>
      <w:r>
        <w:rPr>
          <w:rFonts w:hint="eastAsia"/>
        </w:rPr>
        <w:t>：</w:t>
      </w:r>
      <w:r>
        <w:rPr>
          <w:kern w:val="0"/>
          <w:szCs w:val="21"/>
        </w:rPr>
        <w:t>应符合GB 4208中规定的外壳防护等级IP</w:t>
      </w:r>
      <w:r>
        <w:rPr>
          <w:rFonts w:hint="eastAsia"/>
          <w:kern w:val="0"/>
          <w:szCs w:val="21"/>
        </w:rPr>
        <w:t>6</w:t>
      </w:r>
      <w:r>
        <w:rPr>
          <w:kern w:val="0"/>
          <w:szCs w:val="21"/>
        </w:rPr>
        <w:t>5的要求。</w:t>
      </w:r>
    </w:p>
    <w:p>
      <w:pPr>
        <w:pStyle w:val="200"/>
        <w:numPr>
          <w:ilvl w:val="0"/>
          <w:numId w:val="7"/>
        </w:numPr>
        <w:ind w:firstLineChars="0"/>
        <w:jc w:val="center"/>
      </w:pPr>
      <w:r>
        <w:rPr>
          <w:rFonts w:hint="eastAsia"/>
        </w:rPr>
        <w:t>结构</w:t>
      </w:r>
      <w:r>
        <w:t>机械性能要求</w:t>
      </w:r>
    </w:p>
    <w:tbl>
      <w:tblPr>
        <w:tblStyle w:val="20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292"/>
        <w:gridCol w:w="2289"/>
        <w:gridCol w:w="37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379"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机械性能</w:t>
            </w:r>
          </w:p>
        </w:tc>
        <w:tc>
          <w:tcPr>
            <w:tcW w:w="1377"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依据标准</w:t>
            </w:r>
          </w:p>
        </w:tc>
        <w:tc>
          <w:tcPr>
            <w:tcW w:w="2243"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应能承受的严酷等级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79"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振动</w:t>
            </w:r>
          </w:p>
        </w:tc>
        <w:tc>
          <w:tcPr>
            <w:tcW w:w="1377"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GB/T11287</w:t>
            </w:r>
          </w:p>
        </w:tc>
        <w:tc>
          <w:tcPr>
            <w:tcW w:w="2243" w:type="pct"/>
          </w:tcPr>
          <w:p>
            <w:pPr>
              <w:pStyle w:val="208"/>
              <w:spacing w:before="59" w:line="360" w:lineRule="auto"/>
              <w:jc w:val="center"/>
              <w:rPr>
                <w:rFonts w:ascii="Times New Roman" w:hAnsi="Times New Roman" w:cs="Times New Roman"/>
                <w:spacing w:val="-2"/>
                <w:lang w:eastAsia="zh-CN"/>
              </w:rPr>
            </w:pPr>
            <w:r>
              <w:rPr>
                <w:rFonts w:ascii="Times New Roman" w:hAnsi="Times New Roman" w:cs="Times New Roman"/>
                <w:spacing w:val="-2"/>
                <w:lang w:eastAsia="zh-CN"/>
              </w:rPr>
              <w:t>Ⅰ级（表壳内不充油）；Ⅱ级（表壳内充油）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79"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冲击</w:t>
            </w:r>
          </w:p>
        </w:tc>
        <w:tc>
          <w:tcPr>
            <w:tcW w:w="1377"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GB/T14537</w:t>
            </w:r>
          </w:p>
        </w:tc>
        <w:tc>
          <w:tcPr>
            <w:tcW w:w="2243"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Ⅰ级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379"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碰撞</w:t>
            </w:r>
          </w:p>
        </w:tc>
        <w:tc>
          <w:tcPr>
            <w:tcW w:w="1377"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GB/T14537</w:t>
            </w:r>
          </w:p>
        </w:tc>
        <w:tc>
          <w:tcPr>
            <w:tcW w:w="2243" w:type="pct"/>
          </w:tcPr>
          <w:p>
            <w:pPr>
              <w:pStyle w:val="208"/>
              <w:spacing w:before="59" w:line="360" w:lineRule="auto"/>
              <w:jc w:val="center"/>
              <w:rPr>
                <w:rFonts w:ascii="Times New Roman" w:hAnsi="Times New Roman" w:cs="Times New Roman"/>
                <w:spacing w:val="-2"/>
              </w:rPr>
            </w:pPr>
            <w:r>
              <w:rPr>
                <w:rFonts w:ascii="Times New Roman" w:hAnsi="Times New Roman" w:cs="Times New Roman"/>
                <w:spacing w:val="-2"/>
              </w:rPr>
              <w:t>Ⅰ级</w:t>
            </w:r>
          </w:p>
        </w:tc>
      </w:tr>
    </w:tbl>
    <w:p>
      <w:pPr>
        <w:tabs>
          <w:tab w:val="left" w:pos="709"/>
        </w:tabs>
        <w:spacing w:line="360" w:lineRule="auto"/>
        <w:ind w:firstLine="360" w:firstLineChars="200"/>
        <w:rPr>
          <w:sz w:val="18"/>
          <w:szCs w:val="18"/>
        </w:rPr>
      </w:pPr>
    </w:p>
    <w:p>
      <w:pPr>
        <w:tabs>
          <w:tab w:val="left" w:pos="709"/>
        </w:tabs>
        <w:spacing w:line="360" w:lineRule="auto"/>
        <w:ind w:firstLine="420" w:firstLineChars="200"/>
        <w:rPr>
          <w:sz w:val="18"/>
          <w:szCs w:val="18"/>
        </w:rPr>
      </w:pPr>
      <w:r>
        <w:drawing>
          <wp:inline distT="0" distB="0" distL="114300" distR="114300">
            <wp:extent cx="5268595" cy="2795270"/>
            <wp:effectExtent l="0" t="0" r="1905" b="1143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9"/>
                    <a:stretch>
                      <a:fillRect/>
                    </a:stretch>
                  </pic:blipFill>
                  <pic:spPr>
                    <a:xfrm>
                      <a:off x="0" y="0"/>
                      <a:ext cx="5268595" cy="2795270"/>
                    </a:xfrm>
                    <a:prstGeom prst="rect">
                      <a:avLst/>
                    </a:prstGeom>
                    <a:noFill/>
                    <a:ln>
                      <a:noFill/>
                    </a:ln>
                  </pic:spPr>
                </pic:pic>
              </a:graphicData>
            </a:graphic>
          </wp:inline>
        </w:drawing>
      </w:r>
    </w:p>
    <w:p>
      <w:pPr>
        <w:pStyle w:val="3"/>
        <w:rPr>
          <w:rFonts w:ascii="Times New Roman" w:hAnsi="Times New Roman"/>
          <w:b/>
          <w:bCs w:val="0"/>
          <w:sz w:val="21"/>
          <w:szCs w:val="21"/>
        </w:rPr>
      </w:pPr>
      <w:bookmarkStart w:id="65" w:name="_Toc12901"/>
      <w:bookmarkStart w:id="66" w:name="_Toc593984940"/>
      <w:r>
        <w:rPr>
          <w:rFonts w:ascii="Times New Roman" w:hAnsi="Times New Roman"/>
          <w:b/>
          <w:bCs w:val="0"/>
          <w:sz w:val="21"/>
          <w:szCs w:val="21"/>
        </w:rPr>
        <w:t>可靠性</w:t>
      </w:r>
      <w:bookmarkEnd w:id="65"/>
      <w:bookmarkEnd w:id="66"/>
    </w:p>
    <w:p>
      <w:pPr>
        <w:numPr>
          <w:ilvl w:val="255"/>
          <w:numId w:val="0"/>
        </w:numPr>
        <w:spacing w:line="360" w:lineRule="auto"/>
        <w:ind w:firstLine="420" w:firstLineChars="200"/>
        <w:rPr>
          <w:szCs w:val="21"/>
        </w:rPr>
      </w:pPr>
      <w:r>
        <w:rPr>
          <w:szCs w:val="21"/>
        </w:rPr>
        <w:t>机械表计模组</w:t>
      </w:r>
      <w:r>
        <w:rPr>
          <w:rFonts w:hint="eastAsia"/>
          <w:szCs w:val="21"/>
        </w:rPr>
        <w:t>、</w:t>
      </w:r>
      <w:r>
        <w:rPr>
          <w:szCs w:val="21"/>
        </w:rPr>
        <w:t>微水传感模组</w:t>
      </w:r>
      <w:r>
        <w:rPr>
          <w:rFonts w:hint="eastAsia"/>
          <w:szCs w:val="21"/>
        </w:rPr>
        <w:t>、</w:t>
      </w:r>
      <w:r>
        <w:rPr>
          <w:szCs w:val="21"/>
        </w:rPr>
        <w:t>结构机箱</w:t>
      </w:r>
      <w:r>
        <w:rPr>
          <w:rFonts w:hint="eastAsia"/>
          <w:szCs w:val="21"/>
        </w:rPr>
        <w:t>应充分考虑其工作条件，要求在5.1.1章节、5.1.2章节所述工作条件下长期可靠性工作</w:t>
      </w:r>
      <w:r>
        <w:rPr>
          <w:szCs w:val="21"/>
        </w:rPr>
        <w:t>。</w:t>
      </w:r>
    </w:p>
    <w:p>
      <w:pPr>
        <w:pStyle w:val="3"/>
        <w:rPr>
          <w:rFonts w:ascii="Times New Roman" w:hAnsi="Times New Roman"/>
          <w:b/>
          <w:bCs w:val="0"/>
          <w:sz w:val="21"/>
          <w:szCs w:val="21"/>
        </w:rPr>
      </w:pPr>
      <w:bookmarkStart w:id="67" w:name="_Toc2132822974"/>
      <w:r>
        <w:rPr>
          <w:rFonts w:hint="eastAsia" w:ascii="Times New Roman" w:hAnsi="Times New Roman"/>
          <w:b/>
          <w:bCs w:val="0"/>
          <w:sz w:val="21"/>
          <w:szCs w:val="21"/>
        </w:rPr>
        <w:t>网络安全要求</w:t>
      </w:r>
      <w:bookmarkEnd w:id="67"/>
    </w:p>
    <w:p>
      <w:pPr>
        <w:pStyle w:val="4"/>
        <w:rPr>
          <w:rFonts w:ascii="Times New Roman" w:hAnsi="Times New Roman"/>
          <w:b/>
          <w:bCs w:val="0"/>
          <w:sz w:val="21"/>
          <w:szCs w:val="21"/>
        </w:rPr>
      </w:pPr>
      <w:bookmarkStart w:id="68" w:name="_Toc21150"/>
      <w:bookmarkStart w:id="69" w:name="_Toc1583282897"/>
      <w:bookmarkStart w:id="70" w:name="_Toc12129"/>
      <w:bookmarkStart w:id="71" w:name="_Toc691208879"/>
      <w:bookmarkStart w:id="72" w:name="_Toc894355946"/>
      <w:r>
        <w:rPr>
          <w:rFonts w:hint="eastAsia" w:ascii="Times New Roman" w:hAnsi="Times New Roman"/>
          <w:b/>
          <w:bCs w:val="0"/>
          <w:sz w:val="21"/>
          <w:szCs w:val="21"/>
        </w:rPr>
        <w:t>操作系统及通信端口要求</w:t>
      </w:r>
      <w:bookmarkEnd w:id="68"/>
      <w:bookmarkEnd w:id="69"/>
      <w:bookmarkEnd w:id="70"/>
      <w:bookmarkEnd w:id="71"/>
      <w:bookmarkEnd w:id="72"/>
    </w:p>
    <w:p>
      <w:pPr>
        <w:pStyle w:val="173"/>
        <w:numPr>
          <w:ilvl w:val="0"/>
          <w:numId w:val="14"/>
        </w:numPr>
        <w:spacing w:before="0" w:beforeAutospacing="0" w:after="0" w:afterAutospacing="0" w:line="360" w:lineRule="auto"/>
        <w:jc w:val="both"/>
        <w:rPr>
          <w:sz w:val="21"/>
          <w:szCs w:val="21"/>
        </w:rPr>
      </w:pPr>
      <w:r>
        <w:rPr>
          <w:rFonts w:hint="eastAsia"/>
          <w:sz w:val="21"/>
          <w:szCs w:val="21"/>
        </w:rPr>
        <w:t>操作系统应优先采用国产安全操作系统或Linux等非Windows操作系统，优先采用国产数据库，同时装置及系统安全性能应符合南方电网网络及信息安全相关规定。供应商须配合</w:t>
      </w:r>
      <w:r>
        <w:rPr>
          <w:rFonts w:hint="eastAsia"/>
          <w:sz w:val="21"/>
          <w:szCs w:val="21"/>
          <w:lang w:eastAsia="zh-CN"/>
        </w:rPr>
        <w:t>采购人</w:t>
      </w:r>
      <w:r>
        <w:rPr>
          <w:rFonts w:hint="eastAsia"/>
          <w:sz w:val="21"/>
          <w:szCs w:val="21"/>
        </w:rPr>
        <w:t>完成系统安全加固，供应商应保证验收时站端监测软件能正常运行且与远程主站能正常传输相关监测数据。</w:t>
      </w:r>
    </w:p>
    <w:p>
      <w:pPr>
        <w:pStyle w:val="173"/>
        <w:numPr>
          <w:ilvl w:val="0"/>
          <w:numId w:val="14"/>
        </w:numPr>
        <w:spacing w:before="0" w:beforeAutospacing="0" w:after="0" w:afterAutospacing="0" w:line="360" w:lineRule="auto"/>
        <w:jc w:val="both"/>
        <w:rPr>
          <w:sz w:val="21"/>
          <w:szCs w:val="21"/>
        </w:rPr>
      </w:pPr>
      <w:r>
        <w:rPr>
          <w:rFonts w:hint="eastAsia"/>
          <w:sz w:val="21"/>
          <w:szCs w:val="21"/>
        </w:rPr>
        <w:t>监测软件禁止使用135、137、138、139、445、3389等高危端口进行业务通信或同步。</w:t>
      </w:r>
    </w:p>
    <w:p>
      <w:pPr>
        <w:pStyle w:val="4"/>
        <w:rPr>
          <w:rFonts w:ascii="Times New Roman" w:hAnsi="Times New Roman"/>
          <w:b/>
          <w:bCs w:val="0"/>
          <w:sz w:val="21"/>
          <w:szCs w:val="21"/>
        </w:rPr>
      </w:pPr>
      <w:bookmarkStart w:id="73" w:name="_Toc1243065568"/>
      <w:bookmarkStart w:id="74" w:name="_Toc542609807"/>
      <w:bookmarkStart w:id="75" w:name="_Toc8853"/>
      <w:bookmarkStart w:id="76" w:name="_Toc2099199111"/>
      <w:bookmarkStart w:id="77" w:name="_Toc25944"/>
      <w:r>
        <w:rPr>
          <w:rFonts w:hint="eastAsia" w:ascii="Times New Roman" w:hAnsi="Times New Roman"/>
          <w:b/>
          <w:bCs w:val="0"/>
          <w:sz w:val="21"/>
          <w:szCs w:val="21"/>
        </w:rPr>
        <w:t>网络安全责任</w:t>
      </w:r>
      <w:bookmarkEnd w:id="73"/>
      <w:bookmarkEnd w:id="74"/>
      <w:bookmarkEnd w:id="75"/>
      <w:bookmarkEnd w:id="76"/>
      <w:bookmarkEnd w:id="77"/>
    </w:p>
    <w:p>
      <w:pPr>
        <w:pStyle w:val="173"/>
        <w:numPr>
          <w:ilvl w:val="0"/>
          <w:numId w:val="15"/>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不利用采购人网络与信息系统从事危害国家安全、泄露国家秘密、侵犯公民、法人、采购人和其他组织的利益，或其它违法犯罪活动。</w:t>
      </w:r>
    </w:p>
    <w:p>
      <w:pPr>
        <w:pStyle w:val="173"/>
        <w:numPr>
          <w:ilvl w:val="0"/>
          <w:numId w:val="15"/>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不利用项目工作便利获取和留存采购人业务数据，不利用采购人业务数据谋取利益或从事其他与项目无关工作。</w:t>
      </w:r>
    </w:p>
    <w:p>
      <w:pPr>
        <w:pStyle w:val="173"/>
        <w:numPr>
          <w:ilvl w:val="0"/>
          <w:numId w:val="15"/>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交付的软硬件产品须满足国家相关文件规定的网络安全要求及采购人安全策略要求，不得含有后门、木马、已知漏洞等安全隐患，确保其网络安全。在其产品投运前，报价人应将产品有关的功能服务台账、特权账号等建设运维文档全部移交给采购人。</w:t>
      </w:r>
    </w:p>
    <w:p>
      <w:pPr>
        <w:pStyle w:val="173"/>
        <w:numPr>
          <w:ilvl w:val="0"/>
          <w:numId w:val="15"/>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遵循采购人软件开发规范、安全合规要求开展系统开发部署及运行维护工作，配合采购人开展源代码审计工作。</w:t>
      </w:r>
    </w:p>
    <w:p>
      <w:pPr>
        <w:pStyle w:val="173"/>
        <w:numPr>
          <w:ilvl w:val="0"/>
          <w:numId w:val="15"/>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因报价人产品设计、开发缺陷造成其交付的产品在运行中出现安全隐患时，报价人应按采购人要求开展整改，并配合采购人开展其它支撑平台的安全整改。</w:t>
      </w:r>
    </w:p>
    <w:p>
      <w:pPr>
        <w:pStyle w:val="173"/>
        <w:numPr>
          <w:ilvl w:val="0"/>
          <w:numId w:val="15"/>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未经采购人许可，报价人</w:t>
      </w:r>
      <w:r>
        <w:rPr>
          <w:rFonts w:hint="eastAsia" w:ascii="Times New Roman" w:hAnsi="Times New Roman" w:cs="Times New Roman"/>
          <w:sz w:val="21"/>
          <w:szCs w:val="21"/>
        </w:rPr>
        <w:t>不得将项目涉及的源代码、数据文件上传至互联网共享平台，或提供给其他组织和个人。</w:t>
      </w:r>
    </w:p>
    <w:p>
      <w:pPr>
        <w:pStyle w:val="173"/>
        <w:numPr>
          <w:ilvl w:val="0"/>
          <w:numId w:val="15"/>
        </w:numPr>
        <w:tabs>
          <w:tab w:val="clear" w:pos="840"/>
        </w:tabs>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报价人的开发测试环境中不得留存包含采购人企业名称、VI标识、真实业务数据等信息。未经采购人许可，报价人不得在互联网上搭建与项目有关的测试、演示系统，确因工作需要开展测试演示的，测试环境中不得包含采购人企业名称、VI标识、业务数据等信息，并在测试演示完成之后及时清理相关系统和数据。</w:t>
      </w:r>
    </w:p>
    <w:p>
      <w:pPr>
        <w:pStyle w:val="173"/>
        <w:numPr>
          <w:ilvl w:val="0"/>
          <w:numId w:val="15"/>
        </w:numPr>
        <w:tabs>
          <w:tab w:val="clear" w:pos="840"/>
        </w:tabs>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未通过采购人测试、备案的软件系统和设备不得私自上线运行。</w:t>
      </w:r>
    </w:p>
    <w:p>
      <w:pPr>
        <w:pStyle w:val="173"/>
        <w:numPr>
          <w:ilvl w:val="0"/>
          <w:numId w:val="15"/>
        </w:numPr>
        <w:tabs>
          <w:tab w:val="clear" w:pos="840"/>
        </w:tabs>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为采购人开展安全测试、安全加固等服务工作时，应及时清除服务过程产生的文件、服务、账号等信息，不得在采购人生产及测试环境留存病毒、木马文件及系统特权账号。</w:t>
      </w:r>
    </w:p>
    <w:p>
      <w:pPr>
        <w:pStyle w:val="173"/>
        <w:numPr>
          <w:ilvl w:val="0"/>
          <w:numId w:val="15"/>
        </w:numPr>
        <w:tabs>
          <w:tab w:val="clear" w:pos="840"/>
        </w:tabs>
        <w:spacing w:before="0" w:beforeAutospacing="0" w:after="0" w:afterAutospacing="0" w:line="360" w:lineRule="auto"/>
        <w:jc w:val="both"/>
        <w:rPr>
          <w:rFonts w:ascii="Times New Roman" w:hAnsi="Times New Roman" w:cs="Times New Roman"/>
        </w:rPr>
      </w:pPr>
      <w:r>
        <w:rPr>
          <w:rFonts w:hint="eastAsia" w:ascii="Times New Roman" w:hAnsi="Times New Roman" w:cs="Times New Roman"/>
          <w:sz w:val="21"/>
          <w:szCs w:val="21"/>
        </w:rPr>
        <w:t>报价人应将本协议的条款以书面方式告知项目相关人员，并对项目相关人员进行网络安全培训。项目实施人员上岗前须通过采购人组织的网络安全考试。</w:t>
      </w:r>
    </w:p>
    <w:p>
      <w:pPr>
        <w:pStyle w:val="4"/>
        <w:rPr>
          <w:rFonts w:ascii="Times New Roman" w:hAnsi="Times New Roman"/>
          <w:b/>
          <w:bCs w:val="0"/>
          <w:sz w:val="21"/>
          <w:szCs w:val="21"/>
        </w:rPr>
      </w:pPr>
      <w:bookmarkStart w:id="78" w:name="_Toc22157"/>
      <w:bookmarkStart w:id="79" w:name="_Toc6411"/>
      <w:bookmarkStart w:id="80" w:name="_Toc521226273"/>
      <w:bookmarkStart w:id="81" w:name="_Toc956103386"/>
      <w:bookmarkStart w:id="82" w:name="_Toc995098680"/>
      <w:r>
        <w:rPr>
          <w:rFonts w:hint="eastAsia" w:ascii="Times New Roman" w:hAnsi="Times New Roman"/>
          <w:b/>
          <w:bCs w:val="0"/>
          <w:sz w:val="21"/>
          <w:szCs w:val="21"/>
        </w:rPr>
        <w:t>网络安全测试</w:t>
      </w:r>
      <w:bookmarkEnd w:id="78"/>
      <w:bookmarkEnd w:id="79"/>
      <w:bookmarkEnd w:id="80"/>
      <w:bookmarkEnd w:id="81"/>
      <w:bookmarkEnd w:id="82"/>
    </w:p>
    <w:p>
      <w:pPr>
        <w:pStyle w:val="173"/>
        <w:numPr>
          <w:ilvl w:val="0"/>
          <w:numId w:val="16"/>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报价人中标后，交付的产品应通过由具备资质的第三方评测机构开展的出厂安全测试、入网安全测试、源代码审计（适用于监测主站系统），完成高中风险的整改和复测，出具《安全测试报告》、《源代码审计报告》，且通过采购人组织的网络安全验收工作。</w:t>
      </w:r>
    </w:p>
    <w:p>
      <w:pPr>
        <w:pStyle w:val="173"/>
        <w:numPr>
          <w:ilvl w:val="0"/>
          <w:numId w:val="16"/>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出厂安全测试、入网安全测试的内容及技术要求参照《中国南方电网电力监控系统并网安全评估</w:t>
      </w:r>
      <w:r>
        <w:rPr>
          <w:rFonts w:hint="eastAsia" w:ascii="Times New Roman" w:hAnsi="Times New Roman" w:cs="Times New Roman"/>
        </w:rPr>
        <w:t>规范</w:t>
      </w:r>
      <w:r>
        <w:rPr>
          <w:rFonts w:hint="eastAsia" w:ascii="Times New Roman" w:hAnsi="Times New Roman" w:cs="Times New Roman"/>
          <w:sz w:val="21"/>
          <w:szCs w:val="21"/>
        </w:rPr>
        <w:t>》（Q/CSG1204060-2019）执行。</w:t>
      </w:r>
    </w:p>
    <w:p>
      <w:pPr>
        <w:pStyle w:val="173"/>
        <w:numPr>
          <w:ilvl w:val="0"/>
          <w:numId w:val="16"/>
        </w:numPr>
        <w:spacing w:before="0" w:beforeAutospacing="0" w:after="0" w:afterAutospacing="0" w:line="360" w:lineRule="auto"/>
        <w:jc w:val="both"/>
        <w:rPr>
          <w:rFonts w:ascii="Times New Roman" w:hAnsi="Times New Roman" w:cs="Times New Roman"/>
        </w:rPr>
      </w:pPr>
      <w:r>
        <w:rPr>
          <w:rFonts w:hint="eastAsia" w:ascii="Times New Roman" w:hAnsi="Times New Roman" w:cs="Times New Roman"/>
          <w:sz w:val="21"/>
          <w:szCs w:val="21"/>
        </w:rPr>
        <w:t>报价人聘请的第三方网络安全评测机构应具备等级保护测评或风险评估资质。</w:t>
      </w:r>
    </w:p>
    <w:p>
      <w:pPr>
        <w:pStyle w:val="4"/>
        <w:rPr>
          <w:rFonts w:ascii="Times New Roman" w:hAnsi="Times New Roman"/>
          <w:b/>
          <w:bCs w:val="0"/>
          <w:sz w:val="21"/>
          <w:szCs w:val="21"/>
        </w:rPr>
      </w:pPr>
      <w:bookmarkStart w:id="83" w:name="_Toc1974297418"/>
      <w:bookmarkStart w:id="84" w:name="_Toc1408815912"/>
      <w:bookmarkStart w:id="85" w:name="_Toc21849"/>
      <w:bookmarkStart w:id="86" w:name="_Toc16131"/>
      <w:bookmarkStart w:id="87" w:name="_Toc1639098234"/>
      <w:r>
        <w:rPr>
          <w:rFonts w:hint="eastAsia" w:ascii="Times New Roman" w:hAnsi="Times New Roman"/>
          <w:b/>
          <w:bCs w:val="0"/>
          <w:sz w:val="21"/>
          <w:szCs w:val="21"/>
        </w:rPr>
        <w:t>网络安全服务</w:t>
      </w:r>
      <w:bookmarkEnd w:id="83"/>
      <w:bookmarkEnd w:id="84"/>
      <w:bookmarkEnd w:id="85"/>
      <w:bookmarkEnd w:id="86"/>
      <w:bookmarkEnd w:id="87"/>
    </w:p>
    <w:p>
      <w:pPr>
        <w:pStyle w:val="173"/>
        <w:numPr>
          <w:ilvl w:val="0"/>
          <w:numId w:val="17"/>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在交付产品的质保期内，报价人必须根据采购人的需求免费进行补丁更新、安全加固、漏洞整改，并配合采购人完成网络安全应急响应及处置。</w:t>
      </w:r>
    </w:p>
    <w:p>
      <w:pPr>
        <w:pStyle w:val="173"/>
        <w:numPr>
          <w:ilvl w:val="0"/>
          <w:numId w:val="17"/>
        </w:numPr>
        <w:spacing w:before="0" w:beforeAutospacing="0" w:after="0" w:afterAutospacing="0" w:line="360" w:lineRule="auto"/>
        <w:jc w:val="both"/>
        <w:rPr>
          <w:rFonts w:ascii="Times New Roman" w:hAnsi="Times New Roman" w:cs="Times New Roman"/>
          <w:sz w:val="21"/>
          <w:szCs w:val="21"/>
        </w:rPr>
      </w:pPr>
      <w:r>
        <w:rPr>
          <w:rFonts w:hint="eastAsia" w:ascii="Times New Roman" w:hAnsi="Times New Roman" w:cs="Times New Roman"/>
          <w:sz w:val="21"/>
          <w:szCs w:val="21"/>
        </w:rPr>
        <w:t>报价人交付产品的网络安全质量纳入年度供应商评价考核。</w:t>
      </w:r>
    </w:p>
    <w:p>
      <w:pPr>
        <w:spacing w:line="360" w:lineRule="auto"/>
        <w:ind w:firstLine="420"/>
        <w:rPr>
          <w:szCs w:val="21"/>
        </w:rPr>
      </w:pPr>
      <w:r>
        <w:rPr>
          <w:rFonts w:hint="eastAsia"/>
          <w:szCs w:val="21"/>
        </w:rPr>
        <w:t>因报价人的行为不当导致采购人发生网络安全缺陷或事件的，纳入年度供应商评价考核。</w:t>
      </w:r>
    </w:p>
    <w:p>
      <w:pPr>
        <w:pStyle w:val="3"/>
        <w:rPr>
          <w:rFonts w:ascii="Times New Roman" w:hAnsi="Times New Roman"/>
          <w:b/>
          <w:bCs w:val="0"/>
          <w:sz w:val="21"/>
          <w:szCs w:val="21"/>
        </w:rPr>
      </w:pPr>
      <w:bookmarkStart w:id="88" w:name="_Toc1258"/>
      <w:bookmarkStart w:id="89" w:name="_Toc6737269"/>
      <w:bookmarkStart w:id="90" w:name="_Toc117428193"/>
      <w:bookmarkStart w:id="91" w:name="_Toc116548486"/>
      <w:bookmarkStart w:id="92" w:name="_Toc276492376"/>
      <w:r>
        <w:rPr>
          <w:rFonts w:ascii="Times New Roman" w:hAnsi="Times New Roman"/>
          <w:b/>
          <w:bCs w:val="0"/>
          <w:sz w:val="21"/>
          <w:szCs w:val="21"/>
        </w:rPr>
        <w:t>交付物</w:t>
      </w:r>
      <w:bookmarkEnd w:id="88"/>
      <w:r>
        <w:rPr>
          <w:rFonts w:ascii="Times New Roman" w:hAnsi="Times New Roman"/>
          <w:b/>
          <w:bCs w:val="0"/>
          <w:sz w:val="21"/>
          <w:szCs w:val="21"/>
        </w:rPr>
        <w:t>清单</w:t>
      </w:r>
      <w:bookmarkEnd w:id="89"/>
    </w:p>
    <w:p>
      <w:pPr>
        <w:pStyle w:val="90"/>
        <w:snapToGrid w:val="0"/>
        <w:spacing w:line="360" w:lineRule="auto"/>
        <w:rPr>
          <w:rFonts w:cs="Times New Roman"/>
          <w:szCs w:val="21"/>
        </w:rPr>
      </w:pPr>
      <w:r>
        <w:rPr>
          <w:rFonts w:hint="eastAsia"/>
          <w:szCs w:val="21"/>
        </w:rPr>
        <w:t>报价人应参照下表进行交付，</w:t>
      </w:r>
      <w:r>
        <w:t>具体以双方签订合同及附件为</w:t>
      </w:r>
      <w:r>
        <w:rPr>
          <w:rFonts w:hint="eastAsia" w:cs="Times New Roman"/>
          <w:szCs w:val="21"/>
        </w:rPr>
        <w:t>准。</w:t>
      </w:r>
    </w:p>
    <w:p>
      <w:pPr>
        <w:pStyle w:val="200"/>
        <w:numPr>
          <w:ilvl w:val="0"/>
          <w:numId w:val="7"/>
        </w:numPr>
        <w:ind w:firstLineChars="0"/>
        <w:jc w:val="center"/>
        <w:rPr>
          <w:szCs w:val="21"/>
        </w:rPr>
      </w:pPr>
      <w:r>
        <w:rPr>
          <w:rFonts w:hint="eastAsia"/>
          <w:szCs w:val="21"/>
        </w:rPr>
        <w:t>交付物清单</w:t>
      </w:r>
    </w:p>
    <w:tbl>
      <w:tblPr>
        <w:tblStyle w:val="35"/>
        <w:tblW w:w="499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111"/>
        <w:gridCol w:w="791"/>
        <w:gridCol w:w="776"/>
        <w:gridCol w:w="912"/>
        <w:gridCol w:w="900"/>
        <w:gridCol w:w="1014"/>
        <w:gridCol w:w="1026"/>
        <w:gridCol w:w="124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32" w:type="pct"/>
            <w:tcBorders>
              <w:top w:val="single" w:color="auto" w:sz="12" w:space="0"/>
              <w:left w:val="single" w:color="auto" w:sz="12" w:space="0"/>
              <w:bottom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序号</w:t>
            </w:r>
          </w:p>
        </w:tc>
        <w:tc>
          <w:tcPr>
            <w:tcW w:w="652" w:type="pct"/>
            <w:tcBorders>
              <w:top w:val="single" w:color="auto" w:sz="12" w:space="0"/>
              <w:left w:val="single" w:color="auto" w:sz="4" w:space="0"/>
              <w:bottom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产品名称</w:t>
            </w:r>
          </w:p>
        </w:tc>
        <w:tc>
          <w:tcPr>
            <w:tcW w:w="464" w:type="pct"/>
            <w:tcBorders>
              <w:top w:val="single" w:color="auto" w:sz="12" w:space="0"/>
              <w:left w:val="single" w:color="auto" w:sz="4" w:space="0"/>
              <w:bottom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规格型号</w:t>
            </w:r>
          </w:p>
        </w:tc>
        <w:tc>
          <w:tcPr>
            <w:tcW w:w="455" w:type="pct"/>
            <w:tcBorders>
              <w:top w:val="single" w:color="auto" w:sz="12" w:space="0"/>
              <w:left w:val="single" w:color="auto" w:sz="4" w:space="0"/>
              <w:bottom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数量/套</w:t>
            </w:r>
          </w:p>
        </w:tc>
        <w:tc>
          <w:tcPr>
            <w:tcW w:w="535" w:type="pct"/>
            <w:tcBorders>
              <w:top w:val="single" w:color="auto" w:sz="12" w:space="0"/>
              <w:left w:val="single" w:color="auto" w:sz="4" w:space="0"/>
              <w:bottom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单价</w:t>
            </w:r>
          </w:p>
        </w:tc>
        <w:tc>
          <w:tcPr>
            <w:tcW w:w="528" w:type="pct"/>
            <w:tcBorders>
              <w:top w:val="single" w:color="auto" w:sz="12" w:space="0"/>
              <w:bottom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总价</w:t>
            </w:r>
          </w:p>
        </w:tc>
        <w:tc>
          <w:tcPr>
            <w:tcW w:w="595" w:type="pct"/>
            <w:tcBorders>
              <w:top w:val="single" w:color="auto" w:sz="12" w:space="0"/>
              <w:bottom w:val="single" w:color="auto" w:sz="12" w:space="0"/>
              <w:right w:val="single" w:color="auto" w:sz="4" w:space="0"/>
            </w:tcBorders>
            <w:vAlign w:val="center"/>
          </w:tcPr>
          <w:p>
            <w:pPr>
              <w:pStyle w:val="200"/>
              <w:tabs>
                <w:tab w:val="left" w:pos="851"/>
              </w:tabs>
              <w:spacing w:line="360" w:lineRule="auto"/>
              <w:ind w:firstLine="0" w:firstLineChars="0"/>
              <w:jc w:val="center"/>
              <w:rPr>
                <w:szCs w:val="21"/>
              </w:rPr>
            </w:pPr>
            <w:r>
              <w:rPr>
                <w:rFonts w:hint="eastAsia"/>
                <w:szCs w:val="21"/>
              </w:rPr>
              <w:t>产地及生产厂商</w:t>
            </w:r>
          </w:p>
        </w:tc>
        <w:tc>
          <w:tcPr>
            <w:tcW w:w="602" w:type="pct"/>
            <w:tcBorders>
              <w:top w:val="single" w:color="auto" w:sz="12" w:space="0"/>
              <w:bottom w:val="single" w:color="auto" w:sz="12" w:space="0"/>
              <w:right w:val="single" w:color="auto" w:sz="4" w:space="0"/>
            </w:tcBorders>
            <w:vAlign w:val="center"/>
          </w:tcPr>
          <w:p>
            <w:pPr>
              <w:pStyle w:val="200"/>
              <w:tabs>
                <w:tab w:val="left" w:pos="851"/>
              </w:tabs>
              <w:spacing w:line="360" w:lineRule="auto"/>
              <w:ind w:firstLine="0" w:firstLineChars="0"/>
              <w:jc w:val="center"/>
              <w:rPr>
                <w:szCs w:val="21"/>
              </w:rPr>
            </w:pPr>
            <w:r>
              <w:rPr>
                <w:rFonts w:hint="eastAsia"/>
                <w:szCs w:val="21"/>
              </w:rPr>
              <w:t>第三方测试报告链接</w:t>
            </w:r>
          </w:p>
        </w:tc>
        <w:tc>
          <w:tcPr>
            <w:tcW w:w="731" w:type="pct"/>
            <w:tcBorders>
              <w:top w:val="single" w:color="auto" w:sz="12" w:space="0"/>
              <w:bottom w:val="single" w:color="auto" w:sz="12" w:space="0"/>
              <w:right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32" w:type="pct"/>
            <w:tcBorders>
              <w:top w:val="single" w:color="auto" w:sz="12" w:space="0"/>
            </w:tcBorders>
            <w:vAlign w:val="center"/>
          </w:tcPr>
          <w:p>
            <w:pPr>
              <w:pStyle w:val="200"/>
              <w:tabs>
                <w:tab w:val="left" w:pos="851"/>
              </w:tabs>
              <w:spacing w:line="360" w:lineRule="auto"/>
              <w:ind w:firstLine="0" w:firstLineChars="0"/>
              <w:jc w:val="center"/>
              <w:rPr>
                <w:szCs w:val="21"/>
              </w:rPr>
            </w:pPr>
            <w:r>
              <w:rPr>
                <w:rFonts w:hint="eastAsia"/>
                <w:szCs w:val="21"/>
              </w:rPr>
              <w:t>1</w:t>
            </w:r>
          </w:p>
        </w:tc>
        <w:tc>
          <w:tcPr>
            <w:tcW w:w="652" w:type="pct"/>
            <w:tcBorders>
              <w:top w:val="single" w:color="auto" w:sz="12" w:space="0"/>
            </w:tcBorders>
            <w:vAlign w:val="center"/>
          </w:tcPr>
          <w:p>
            <w:pPr>
              <w:pStyle w:val="200"/>
              <w:tabs>
                <w:tab w:val="left" w:pos="851"/>
              </w:tabs>
              <w:spacing w:line="360" w:lineRule="auto"/>
              <w:ind w:firstLine="0" w:firstLineChars="0"/>
              <w:jc w:val="center"/>
              <w:rPr>
                <w:szCs w:val="21"/>
              </w:rPr>
            </w:pPr>
            <w:r>
              <w:rPr>
                <w:rFonts w:hint="eastAsia"/>
              </w:rPr>
              <w:t>机械表计模组</w:t>
            </w:r>
          </w:p>
        </w:tc>
        <w:tc>
          <w:tcPr>
            <w:tcW w:w="464" w:type="pct"/>
            <w:tcBorders>
              <w:top w:val="single" w:color="auto" w:sz="12" w:space="0"/>
            </w:tcBorders>
            <w:vAlign w:val="center"/>
          </w:tcPr>
          <w:p>
            <w:pPr>
              <w:pStyle w:val="200"/>
              <w:tabs>
                <w:tab w:val="left" w:pos="851"/>
              </w:tabs>
              <w:spacing w:line="360" w:lineRule="auto"/>
              <w:ind w:firstLine="0" w:firstLineChars="0"/>
              <w:jc w:val="center"/>
            </w:pPr>
          </w:p>
        </w:tc>
        <w:tc>
          <w:tcPr>
            <w:tcW w:w="455" w:type="pct"/>
            <w:tcBorders>
              <w:top w:val="single" w:color="auto" w:sz="12" w:space="0"/>
            </w:tcBorders>
            <w:vAlign w:val="center"/>
          </w:tcPr>
          <w:p>
            <w:pPr>
              <w:pStyle w:val="200"/>
              <w:tabs>
                <w:tab w:val="left" w:pos="851"/>
              </w:tabs>
              <w:spacing w:line="360" w:lineRule="auto"/>
              <w:ind w:firstLine="0" w:firstLineChars="0"/>
              <w:jc w:val="center"/>
            </w:pPr>
            <w:r>
              <w:rPr>
                <w:rFonts w:hint="eastAsia"/>
              </w:rPr>
              <w:t>3</w:t>
            </w:r>
          </w:p>
        </w:tc>
        <w:tc>
          <w:tcPr>
            <w:tcW w:w="535" w:type="pct"/>
            <w:tcBorders>
              <w:top w:val="single" w:color="auto" w:sz="12" w:space="0"/>
            </w:tcBorders>
            <w:vAlign w:val="center"/>
          </w:tcPr>
          <w:p>
            <w:pPr>
              <w:pStyle w:val="200"/>
              <w:tabs>
                <w:tab w:val="left" w:pos="851"/>
              </w:tabs>
              <w:spacing w:line="360" w:lineRule="auto"/>
              <w:ind w:firstLine="0" w:firstLineChars="0"/>
              <w:jc w:val="center"/>
            </w:pPr>
          </w:p>
        </w:tc>
        <w:tc>
          <w:tcPr>
            <w:tcW w:w="528" w:type="pct"/>
            <w:tcBorders>
              <w:top w:val="single" w:color="auto" w:sz="12" w:space="0"/>
            </w:tcBorders>
            <w:vAlign w:val="center"/>
          </w:tcPr>
          <w:p>
            <w:pPr>
              <w:pStyle w:val="200"/>
              <w:tabs>
                <w:tab w:val="left" w:pos="851"/>
              </w:tabs>
              <w:spacing w:line="360" w:lineRule="auto"/>
              <w:ind w:firstLine="0" w:firstLineChars="0"/>
              <w:jc w:val="center"/>
              <w:rPr>
                <w:szCs w:val="21"/>
              </w:rPr>
            </w:pPr>
          </w:p>
        </w:tc>
        <w:tc>
          <w:tcPr>
            <w:tcW w:w="595" w:type="pct"/>
            <w:tcBorders>
              <w:top w:val="single" w:color="auto" w:sz="12" w:space="0"/>
            </w:tcBorders>
            <w:vAlign w:val="center"/>
          </w:tcPr>
          <w:p>
            <w:pPr>
              <w:pStyle w:val="200"/>
              <w:tabs>
                <w:tab w:val="left" w:pos="851"/>
              </w:tabs>
              <w:spacing w:line="360" w:lineRule="auto"/>
              <w:ind w:firstLine="0" w:firstLineChars="0"/>
              <w:jc w:val="center"/>
              <w:rPr>
                <w:szCs w:val="21"/>
              </w:rPr>
            </w:pPr>
          </w:p>
        </w:tc>
        <w:tc>
          <w:tcPr>
            <w:tcW w:w="602" w:type="pct"/>
            <w:tcBorders>
              <w:top w:val="single" w:color="auto" w:sz="12" w:space="0"/>
            </w:tcBorders>
            <w:vAlign w:val="center"/>
          </w:tcPr>
          <w:p>
            <w:pPr>
              <w:pStyle w:val="200"/>
              <w:tabs>
                <w:tab w:val="left" w:pos="851"/>
              </w:tabs>
              <w:spacing w:line="360" w:lineRule="auto"/>
              <w:ind w:firstLine="0" w:firstLineChars="0"/>
              <w:jc w:val="center"/>
              <w:rPr>
                <w:szCs w:val="21"/>
              </w:rPr>
            </w:pPr>
          </w:p>
        </w:tc>
        <w:tc>
          <w:tcPr>
            <w:tcW w:w="731" w:type="pct"/>
            <w:tcBorders>
              <w:top w:val="single" w:color="auto" w:sz="12" w:space="0"/>
            </w:tcBorders>
            <w:vAlign w:val="center"/>
          </w:tcPr>
          <w:p>
            <w:pPr>
              <w:pStyle w:val="200"/>
              <w:tabs>
                <w:tab w:val="left" w:pos="851"/>
              </w:tabs>
              <w:spacing w:line="360" w:lineRule="auto"/>
              <w:ind w:firstLine="0" w:firstLineChars="0"/>
              <w:jc w:val="center"/>
              <w:rPr>
                <w:spacing w:val="-2"/>
              </w:rPr>
            </w:pPr>
            <w:r>
              <w:rPr>
                <w:rFonts w:hint="eastAsia"/>
                <w:spacing w:val="-2"/>
              </w:rPr>
              <w:t>每套应包括机械表计、数显和辅材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32" w:type="pct"/>
            <w:vAlign w:val="center"/>
          </w:tcPr>
          <w:p>
            <w:pPr>
              <w:pStyle w:val="200"/>
              <w:tabs>
                <w:tab w:val="left" w:pos="851"/>
              </w:tabs>
              <w:spacing w:line="360" w:lineRule="auto"/>
              <w:ind w:firstLine="0" w:firstLineChars="0"/>
              <w:jc w:val="center"/>
              <w:rPr>
                <w:szCs w:val="21"/>
              </w:rPr>
            </w:pPr>
            <w:r>
              <w:rPr>
                <w:rFonts w:hint="eastAsia"/>
                <w:szCs w:val="21"/>
              </w:rPr>
              <w:t>2</w:t>
            </w:r>
          </w:p>
        </w:tc>
        <w:tc>
          <w:tcPr>
            <w:tcW w:w="652" w:type="pct"/>
            <w:vAlign w:val="center"/>
          </w:tcPr>
          <w:p>
            <w:pPr>
              <w:pStyle w:val="200"/>
              <w:tabs>
                <w:tab w:val="left" w:pos="851"/>
              </w:tabs>
              <w:spacing w:line="360" w:lineRule="auto"/>
              <w:ind w:firstLine="0" w:firstLineChars="0"/>
              <w:jc w:val="center"/>
              <w:rPr>
                <w:szCs w:val="21"/>
              </w:rPr>
            </w:pPr>
            <w:r>
              <w:rPr>
                <w:rFonts w:hint="eastAsia"/>
                <w:szCs w:val="21"/>
              </w:rPr>
              <w:t>微水传感模组</w:t>
            </w:r>
          </w:p>
        </w:tc>
        <w:tc>
          <w:tcPr>
            <w:tcW w:w="464" w:type="pct"/>
            <w:vAlign w:val="center"/>
          </w:tcPr>
          <w:p>
            <w:pPr>
              <w:pStyle w:val="200"/>
              <w:tabs>
                <w:tab w:val="left" w:pos="851"/>
              </w:tabs>
              <w:spacing w:line="360" w:lineRule="auto"/>
              <w:ind w:firstLine="0" w:firstLineChars="0"/>
              <w:jc w:val="center"/>
              <w:rPr>
                <w:szCs w:val="21"/>
              </w:rPr>
            </w:pPr>
          </w:p>
        </w:tc>
        <w:tc>
          <w:tcPr>
            <w:tcW w:w="455" w:type="pct"/>
            <w:vAlign w:val="center"/>
          </w:tcPr>
          <w:p>
            <w:pPr>
              <w:pStyle w:val="200"/>
              <w:tabs>
                <w:tab w:val="left" w:pos="851"/>
              </w:tabs>
              <w:spacing w:line="360" w:lineRule="auto"/>
              <w:ind w:firstLine="0" w:firstLineChars="0"/>
              <w:jc w:val="center"/>
              <w:rPr>
                <w:szCs w:val="21"/>
              </w:rPr>
            </w:pPr>
            <w:r>
              <w:rPr>
                <w:rFonts w:hint="eastAsia"/>
                <w:szCs w:val="21"/>
              </w:rPr>
              <w:t>3</w:t>
            </w:r>
          </w:p>
        </w:tc>
        <w:tc>
          <w:tcPr>
            <w:tcW w:w="535" w:type="pct"/>
            <w:vAlign w:val="center"/>
          </w:tcPr>
          <w:p>
            <w:pPr>
              <w:pStyle w:val="200"/>
              <w:tabs>
                <w:tab w:val="left" w:pos="851"/>
              </w:tabs>
              <w:spacing w:line="360" w:lineRule="auto"/>
              <w:ind w:firstLine="0" w:firstLineChars="0"/>
              <w:jc w:val="center"/>
              <w:rPr>
                <w:szCs w:val="21"/>
              </w:rPr>
            </w:pPr>
          </w:p>
        </w:tc>
        <w:tc>
          <w:tcPr>
            <w:tcW w:w="528" w:type="pct"/>
            <w:vAlign w:val="center"/>
          </w:tcPr>
          <w:p>
            <w:pPr>
              <w:pStyle w:val="200"/>
              <w:tabs>
                <w:tab w:val="left" w:pos="851"/>
              </w:tabs>
              <w:spacing w:line="360" w:lineRule="auto"/>
              <w:ind w:firstLine="0" w:firstLineChars="0"/>
              <w:jc w:val="center"/>
              <w:rPr>
                <w:szCs w:val="21"/>
              </w:rPr>
            </w:pPr>
          </w:p>
        </w:tc>
        <w:tc>
          <w:tcPr>
            <w:tcW w:w="595" w:type="pct"/>
            <w:vAlign w:val="center"/>
          </w:tcPr>
          <w:p>
            <w:pPr>
              <w:spacing w:line="360" w:lineRule="auto"/>
              <w:jc w:val="center"/>
              <w:rPr>
                <w:szCs w:val="21"/>
              </w:rPr>
            </w:pPr>
          </w:p>
        </w:tc>
        <w:tc>
          <w:tcPr>
            <w:tcW w:w="602" w:type="pct"/>
            <w:vAlign w:val="center"/>
          </w:tcPr>
          <w:p>
            <w:pPr>
              <w:spacing w:line="360" w:lineRule="auto"/>
              <w:jc w:val="center"/>
              <w:rPr>
                <w:szCs w:val="21"/>
              </w:rPr>
            </w:pPr>
          </w:p>
        </w:tc>
        <w:tc>
          <w:tcPr>
            <w:tcW w:w="731" w:type="pct"/>
            <w:vAlign w:val="center"/>
          </w:tcPr>
          <w:p>
            <w:pPr>
              <w:spacing w:line="360" w:lineRule="auto"/>
              <w:jc w:val="center"/>
              <w:rPr>
                <w:spacing w:val="-2"/>
              </w:rPr>
            </w:pPr>
            <w:r>
              <w:rPr>
                <w:rFonts w:hint="eastAsia"/>
                <w:spacing w:val="-2"/>
              </w:rPr>
              <w:t>每套应包括探头、辅材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32" w:type="pct"/>
            <w:vAlign w:val="center"/>
          </w:tcPr>
          <w:p>
            <w:pPr>
              <w:pStyle w:val="200"/>
              <w:tabs>
                <w:tab w:val="left" w:pos="851"/>
              </w:tabs>
              <w:spacing w:line="360" w:lineRule="auto"/>
              <w:ind w:firstLine="0" w:firstLineChars="0"/>
              <w:jc w:val="center"/>
              <w:rPr>
                <w:szCs w:val="21"/>
              </w:rPr>
            </w:pPr>
            <w:r>
              <w:rPr>
                <w:rFonts w:hint="eastAsia"/>
                <w:szCs w:val="21"/>
              </w:rPr>
              <w:t>3</w:t>
            </w:r>
          </w:p>
        </w:tc>
        <w:tc>
          <w:tcPr>
            <w:tcW w:w="652" w:type="pct"/>
            <w:vAlign w:val="center"/>
          </w:tcPr>
          <w:p>
            <w:pPr>
              <w:pStyle w:val="200"/>
              <w:tabs>
                <w:tab w:val="left" w:pos="851"/>
              </w:tabs>
              <w:spacing w:line="360" w:lineRule="auto"/>
              <w:ind w:firstLine="0" w:firstLineChars="0"/>
              <w:jc w:val="center"/>
              <w:rPr>
                <w:szCs w:val="21"/>
              </w:rPr>
            </w:pPr>
            <w:r>
              <w:rPr>
                <w:rFonts w:hint="eastAsia"/>
                <w:spacing w:val="-2"/>
              </w:rPr>
              <w:t>结构机箱</w:t>
            </w:r>
          </w:p>
        </w:tc>
        <w:tc>
          <w:tcPr>
            <w:tcW w:w="464" w:type="pct"/>
            <w:vAlign w:val="center"/>
          </w:tcPr>
          <w:p>
            <w:pPr>
              <w:pStyle w:val="200"/>
              <w:tabs>
                <w:tab w:val="left" w:pos="851"/>
              </w:tabs>
              <w:spacing w:line="360" w:lineRule="auto"/>
              <w:ind w:firstLine="0" w:firstLineChars="0"/>
              <w:jc w:val="center"/>
              <w:rPr>
                <w:spacing w:val="-2"/>
              </w:rPr>
            </w:pPr>
          </w:p>
        </w:tc>
        <w:tc>
          <w:tcPr>
            <w:tcW w:w="455" w:type="pct"/>
            <w:vAlign w:val="center"/>
          </w:tcPr>
          <w:p>
            <w:pPr>
              <w:pStyle w:val="200"/>
              <w:tabs>
                <w:tab w:val="left" w:pos="851"/>
              </w:tabs>
              <w:spacing w:line="360" w:lineRule="auto"/>
              <w:ind w:firstLine="0" w:firstLineChars="0"/>
              <w:jc w:val="center"/>
              <w:rPr>
                <w:spacing w:val="-2"/>
              </w:rPr>
            </w:pPr>
            <w:r>
              <w:rPr>
                <w:rFonts w:hint="eastAsia"/>
                <w:spacing w:val="-2"/>
              </w:rPr>
              <w:t>3</w:t>
            </w:r>
          </w:p>
        </w:tc>
        <w:tc>
          <w:tcPr>
            <w:tcW w:w="535" w:type="pct"/>
            <w:vAlign w:val="center"/>
          </w:tcPr>
          <w:p>
            <w:pPr>
              <w:pStyle w:val="200"/>
              <w:tabs>
                <w:tab w:val="left" w:pos="851"/>
              </w:tabs>
              <w:spacing w:line="360" w:lineRule="auto"/>
              <w:ind w:firstLine="0" w:firstLineChars="0"/>
              <w:jc w:val="center"/>
              <w:rPr>
                <w:spacing w:val="-2"/>
              </w:rPr>
            </w:pPr>
          </w:p>
        </w:tc>
        <w:tc>
          <w:tcPr>
            <w:tcW w:w="528" w:type="pct"/>
            <w:vAlign w:val="center"/>
          </w:tcPr>
          <w:p>
            <w:pPr>
              <w:pStyle w:val="200"/>
              <w:tabs>
                <w:tab w:val="left" w:pos="851"/>
              </w:tabs>
              <w:spacing w:line="360" w:lineRule="auto"/>
              <w:ind w:firstLine="0" w:firstLineChars="0"/>
              <w:jc w:val="center"/>
              <w:rPr>
                <w:szCs w:val="21"/>
              </w:rPr>
            </w:pPr>
          </w:p>
        </w:tc>
        <w:tc>
          <w:tcPr>
            <w:tcW w:w="595" w:type="pct"/>
            <w:vAlign w:val="center"/>
          </w:tcPr>
          <w:p>
            <w:pPr>
              <w:spacing w:line="360" w:lineRule="auto"/>
              <w:jc w:val="center"/>
              <w:rPr>
                <w:szCs w:val="21"/>
              </w:rPr>
            </w:pPr>
          </w:p>
        </w:tc>
        <w:tc>
          <w:tcPr>
            <w:tcW w:w="602" w:type="pct"/>
            <w:vAlign w:val="center"/>
          </w:tcPr>
          <w:p>
            <w:pPr>
              <w:spacing w:line="360" w:lineRule="auto"/>
              <w:jc w:val="center"/>
              <w:rPr>
                <w:szCs w:val="21"/>
              </w:rPr>
            </w:pPr>
          </w:p>
        </w:tc>
        <w:tc>
          <w:tcPr>
            <w:tcW w:w="731" w:type="pct"/>
            <w:vAlign w:val="center"/>
          </w:tcPr>
          <w:p>
            <w:pPr>
              <w:spacing w:line="360" w:lineRule="auto"/>
              <w:jc w:val="center"/>
              <w:rPr>
                <w:spacing w:val="-2"/>
              </w:rPr>
            </w:pPr>
            <w:r>
              <w:rPr>
                <w:rFonts w:hint="eastAsia"/>
                <w:spacing w:val="-2"/>
              </w:rPr>
              <w:t>每套应包含安装辅材</w:t>
            </w:r>
          </w:p>
        </w:tc>
      </w:tr>
    </w:tbl>
    <w:p>
      <w:pPr>
        <w:pStyle w:val="90"/>
        <w:snapToGrid w:val="0"/>
        <w:spacing w:line="360" w:lineRule="auto"/>
        <w:rPr>
          <w:rFonts w:cs="Times New Roman"/>
          <w:szCs w:val="21"/>
        </w:rPr>
      </w:pPr>
    </w:p>
    <w:p>
      <w:pPr>
        <w:pStyle w:val="2"/>
      </w:pPr>
      <w:bookmarkStart w:id="93" w:name="_Toc14550"/>
      <w:bookmarkStart w:id="94" w:name="_Toc79155067"/>
      <w:bookmarkStart w:id="95" w:name="_Toc6735980"/>
      <w:bookmarkStart w:id="96" w:name="_Toc79156672"/>
      <w:bookmarkStart w:id="97" w:name="_Toc1146544329"/>
      <w:r>
        <w:t>试验</w:t>
      </w:r>
      <w:bookmarkEnd w:id="93"/>
      <w:bookmarkEnd w:id="94"/>
      <w:bookmarkEnd w:id="95"/>
      <w:bookmarkEnd w:id="96"/>
      <w:r>
        <w:rPr>
          <w:rFonts w:hint="eastAsia"/>
        </w:rPr>
        <w:t>项目及要求</w:t>
      </w:r>
      <w:bookmarkEnd w:id="97"/>
    </w:p>
    <w:p>
      <w:pPr>
        <w:spacing w:line="360" w:lineRule="auto"/>
        <w:ind w:firstLine="420" w:firstLineChars="200"/>
        <w:rPr>
          <w:szCs w:val="21"/>
        </w:rPr>
      </w:pPr>
      <w:r>
        <w:rPr>
          <w:szCs w:val="21"/>
        </w:rPr>
        <w:t>根据相关国标和行标等有关标准及其补充说明进行各项试验，有关条款的特殊要求和补充应在试验期间遵守并执行。</w:t>
      </w:r>
    </w:p>
    <w:p>
      <w:pPr>
        <w:pStyle w:val="3"/>
        <w:rPr>
          <w:rFonts w:ascii="Times New Roman" w:hAnsi="Times New Roman"/>
          <w:b/>
          <w:bCs w:val="0"/>
          <w:sz w:val="21"/>
          <w:szCs w:val="21"/>
        </w:rPr>
      </w:pPr>
      <w:bookmarkStart w:id="98" w:name="_Toc4918"/>
      <w:bookmarkStart w:id="99" w:name="_Toc1848322490"/>
      <w:bookmarkStart w:id="100" w:name="_Toc5905"/>
      <w:bookmarkStart w:id="101" w:name="_Toc3494"/>
      <w:bookmarkStart w:id="102" w:name="_Toc16734"/>
      <w:bookmarkStart w:id="103" w:name="_Toc1791"/>
      <w:bookmarkStart w:id="104" w:name="_Toc19950"/>
      <w:bookmarkStart w:id="105" w:name="_Toc18944"/>
      <w:bookmarkStart w:id="106" w:name="_Toc7559"/>
      <w:bookmarkStart w:id="107" w:name="_Toc106811529"/>
      <w:r>
        <w:rPr>
          <w:rFonts w:ascii="Times New Roman" w:hAnsi="Times New Roman"/>
          <w:b/>
          <w:bCs w:val="0"/>
          <w:sz w:val="21"/>
          <w:szCs w:val="21"/>
        </w:rPr>
        <w:t>试验条件</w:t>
      </w:r>
      <w:bookmarkEnd w:id="98"/>
      <w:bookmarkEnd w:id="99"/>
      <w:bookmarkEnd w:id="100"/>
      <w:bookmarkEnd w:id="101"/>
    </w:p>
    <w:p>
      <w:pPr>
        <w:spacing w:line="360" w:lineRule="auto"/>
        <w:ind w:firstLine="420" w:firstLineChars="200"/>
        <w:rPr>
          <w:szCs w:val="21"/>
        </w:rPr>
      </w:pPr>
      <w:r>
        <w:rPr>
          <w:szCs w:val="21"/>
        </w:rPr>
        <w:t>除另有规定外，各项检验宜在如下正常试验大气条件下进行：</w:t>
      </w:r>
    </w:p>
    <w:p>
      <w:pPr>
        <w:numPr>
          <w:ilvl w:val="0"/>
          <w:numId w:val="18"/>
        </w:numPr>
        <w:spacing w:line="360" w:lineRule="auto"/>
        <w:rPr>
          <w:spacing w:val="5"/>
          <w:szCs w:val="21"/>
        </w:rPr>
      </w:pPr>
      <w:r>
        <w:rPr>
          <w:spacing w:val="5"/>
          <w:szCs w:val="21"/>
        </w:rPr>
        <w:t>在下列条件下，密度表的基本误差、回差、设定点偏差及切换差应符合本文件有关的规定：</w:t>
      </w:r>
    </w:p>
    <w:p>
      <w:pPr>
        <w:numPr>
          <w:ilvl w:val="0"/>
          <w:numId w:val="19"/>
        </w:numPr>
        <w:spacing w:line="360" w:lineRule="auto"/>
        <w:ind w:firstLine="440" w:firstLineChars="200"/>
        <w:rPr>
          <w:spacing w:val="5"/>
          <w:szCs w:val="21"/>
        </w:rPr>
      </w:pPr>
      <w:r>
        <w:rPr>
          <w:spacing w:val="5"/>
          <w:szCs w:val="21"/>
        </w:rPr>
        <w:t>环境温度：20℃±1.5℃;</w:t>
      </w:r>
    </w:p>
    <w:p>
      <w:pPr>
        <w:spacing w:line="360" w:lineRule="auto"/>
        <w:ind w:firstLine="420" w:firstLineChars="200"/>
        <w:rPr>
          <w:szCs w:val="21"/>
        </w:rPr>
      </w:pPr>
      <w:r>
        <w:rPr>
          <w:szCs w:val="21"/>
        </w:rPr>
        <w:t>b)相对湿度：25%RH～75%RH；</w:t>
      </w:r>
    </w:p>
    <w:p>
      <w:pPr>
        <w:spacing w:line="360" w:lineRule="auto"/>
        <w:ind w:firstLine="420" w:firstLineChars="200"/>
        <w:rPr>
          <w:szCs w:val="21"/>
        </w:rPr>
      </w:pPr>
      <w:r>
        <w:rPr>
          <w:szCs w:val="21"/>
        </w:rPr>
        <w:t>c)大气压力：86kPa～106kPa。</w:t>
      </w:r>
    </w:p>
    <w:p>
      <w:pPr>
        <w:spacing w:line="360" w:lineRule="auto"/>
        <w:ind w:firstLine="420" w:firstLineChars="200"/>
        <w:rPr>
          <w:szCs w:val="21"/>
        </w:rPr>
      </w:pPr>
      <w:r>
        <w:rPr>
          <w:rFonts w:hint="eastAsia"/>
          <w:szCs w:val="21"/>
        </w:rPr>
        <w:t>d</w:t>
      </w:r>
      <w:r>
        <w:rPr>
          <w:szCs w:val="21"/>
        </w:rPr>
        <w:t>)</w:t>
      </w:r>
      <w:r>
        <w:rPr>
          <w:rFonts w:hint="eastAsia"/>
          <w:szCs w:val="21"/>
        </w:rPr>
        <w:t>电源电压：DC</w:t>
      </w:r>
      <w:r>
        <w:rPr>
          <w:szCs w:val="21"/>
        </w:rPr>
        <w:t>24V</w:t>
      </w:r>
      <w:r>
        <w:rPr>
          <w:rFonts w:hint="eastAsia"/>
          <w:szCs w:val="21"/>
        </w:rPr>
        <w:t>±5%</w:t>
      </w:r>
    </w:p>
    <w:p>
      <w:pPr>
        <w:numPr>
          <w:ilvl w:val="0"/>
          <w:numId w:val="18"/>
        </w:numPr>
        <w:spacing w:line="360" w:lineRule="auto"/>
        <w:rPr>
          <w:spacing w:val="5"/>
          <w:szCs w:val="21"/>
        </w:rPr>
      </w:pPr>
      <w:r>
        <w:rPr>
          <w:spacing w:val="5"/>
          <w:szCs w:val="21"/>
        </w:rPr>
        <w:t>试验用标准仪器基本误差限的绝对值不大于被检</w:t>
      </w:r>
      <w:r>
        <w:rPr>
          <w:rFonts w:hint="eastAsia"/>
          <w:spacing w:val="5"/>
          <w:szCs w:val="21"/>
        </w:rPr>
        <w:t>智慧变电多物理量气体监测传感器</w:t>
      </w:r>
      <w:r>
        <w:rPr>
          <w:spacing w:val="5"/>
          <w:szCs w:val="21"/>
        </w:rPr>
        <w:t>基本误差限的绝对值的1/4。</w:t>
      </w:r>
    </w:p>
    <w:p>
      <w:pPr>
        <w:numPr>
          <w:ilvl w:val="0"/>
          <w:numId w:val="18"/>
        </w:numPr>
        <w:spacing w:line="360" w:lineRule="auto"/>
        <w:rPr>
          <w:spacing w:val="5"/>
          <w:szCs w:val="21"/>
        </w:rPr>
      </w:pPr>
      <w:r>
        <w:rPr>
          <w:spacing w:val="5"/>
          <w:szCs w:val="21"/>
        </w:rPr>
        <w:t>基本误差的检测点以标有数字的标度线及额定压力点作为检验点（设定值除外）</w:t>
      </w:r>
    </w:p>
    <w:p>
      <w:pPr>
        <w:numPr>
          <w:ilvl w:val="0"/>
          <w:numId w:val="18"/>
        </w:numPr>
        <w:spacing w:line="360" w:lineRule="auto"/>
        <w:rPr>
          <w:spacing w:val="5"/>
          <w:szCs w:val="21"/>
        </w:rPr>
      </w:pPr>
      <w:r>
        <w:rPr>
          <w:spacing w:val="5"/>
          <w:szCs w:val="21"/>
        </w:rPr>
        <w:t>设定点偏差及切换差的检验点为表盘或铭牌上标注的报警压力和闭锁压力.</w:t>
      </w:r>
    </w:p>
    <w:p>
      <w:pPr>
        <w:numPr>
          <w:ilvl w:val="0"/>
          <w:numId w:val="18"/>
        </w:numPr>
        <w:spacing w:line="360" w:lineRule="auto"/>
        <w:rPr>
          <w:spacing w:val="5"/>
          <w:szCs w:val="21"/>
        </w:rPr>
      </w:pPr>
      <w:r>
        <w:rPr>
          <w:spacing w:val="5"/>
          <w:szCs w:val="21"/>
        </w:rPr>
        <w:t>采用被测检</w:t>
      </w:r>
      <w:r>
        <w:rPr>
          <w:rFonts w:hint="eastAsia"/>
          <w:spacing w:val="5"/>
          <w:szCs w:val="21"/>
        </w:rPr>
        <w:t>智慧变电多物理量气体监测传感器</w:t>
      </w:r>
      <w:r>
        <w:rPr>
          <w:spacing w:val="5"/>
          <w:szCs w:val="21"/>
        </w:rPr>
        <w:t>与标准仪器比较的方法进行测试。</w:t>
      </w:r>
    </w:p>
    <w:p>
      <w:pPr>
        <w:pStyle w:val="3"/>
        <w:rPr>
          <w:rFonts w:ascii="Times New Roman" w:hAnsi="Times New Roman"/>
          <w:b/>
          <w:bCs w:val="0"/>
          <w:sz w:val="21"/>
          <w:szCs w:val="21"/>
        </w:rPr>
      </w:pPr>
      <w:bookmarkStart w:id="108" w:name="_Toc29284"/>
      <w:bookmarkStart w:id="109" w:name="_Toc250679336"/>
      <w:bookmarkStart w:id="110" w:name="_Toc15270"/>
      <w:bookmarkStart w:id="111" w:name="_Toc30050"/>
      <w:r>
        <w:rPr>
          <w:rFonts w:ascii="Times New Roman" w:hAnsi="Times New Roman"/>
          <w:b/>
          <w:bCs w:val="0"/>
          <w:sz w:val="21"/>
          <w:szCs w:val="21"/>
        </w:rPr>
        <w:t>基本功能试验</w:t>
      </w:r>
      <w:bookmarkEnd w:id="108"/>
      <w:bookmarkEnd w:id="109"/>
      <w:bookmarkEnd w:id="110"/>
      <w:bookmarkEnd w:id="111"/>
    </w:p>
    <w:p>
      <w:pPr>
        <w:spacing w:line="360" w:lineRule="auto"/>
        <w:ind w:firstLine="420" w:firstLineChars="200"/>
        <w:rPr>
          <w:szCs w:val="21"/>
        </w:rPr>
      </w:pPr>
      <w:r>
        <w:rPr>
          <w:szCs w:val="21"/>
        </w:rPr>
        <w:t>根据第</w:t>
      </w:r>
      <w:r>
        <w:rPr>
          <w:rFonts w:hint="eastAsia"/>
          <w:szCs w:val="21"/>
        </w:rPr>
        <w:t>5.3</w:t>
      </w:r>
      <w:r>
        <w:rPr>
          <w:szCs w:val="21"/>
        </w:rPr>
        <w:t>章所规定的功能要求逐项进行检验。</w:t>
      </w:r>
    </w:p>
    <w:p>
      <w:pPr>
        <w:pStyle w:val="3"/>
        <w:rPr>
          <w:rFonts w:ascii="Times New Roman" w:hAnsi="Times New Roman"/>
          <w:b/>
          <w:bCs w:val="0"/>
          <w:sz w:val="21"/>
          <w:szCs w:val="21"/>
        </w:rPr>
      </w:pPr>
      <w:bookmarkStart w:id="112" w:name="_Toc15295"/>
      <w:bookmarkStart w:id="113" w:name="_Toc2084862757"/>
      <w:r>
        <w:rPr>
          <w:rFonts w:hint="eastAsia" w:ascii="Times New Roman" w:hAnsi="Times New Roman"/>
          <w:b/>
          <w:bCs w:val="0"/>
          <w:sz w:val="21"/>
          <w:szCs w:val="21"/>
        </w:rPr>
        <w:t>性能试验</w:t>
      </w:r>
      <w:bookmarkEnd w:id="112"/>
      <w:bookmarkEnd w:id="113"/>
    </w:p>
    <w:p>
      <w:pPr>
        <w:pStyle w:val="4"/>
        <w:rPr>
          <w:rFonts w:ascii="Times New Roman" w:hAnsi="Times New Roman"/>
          <w:b/>
          <w:bCs w:val="0"/>
          <w:sz w:val="21"/>
          <w:szCs w:val="21"/>
        </w:rPr>
      </w:pPr>
      <w:bookmarkStart w:id="114" w:name="_Toc5050"/>
      <w:bookmarkStart w:id="115" w:name="_Toc567361960"/>
      <w:r>
        <w:rPr>
          <w:rFonts w:hint="eastAsia" w:ascii="Times New Roman" w:hAnsi="Times New Roman"/>
          <w:b/>
          <w:bCs w:val="0"/>
          <w:sz w:val="21"/>
          <w:szCs w:val="21"/>
        </w:rPr>
        <w:t>机械表计模组</w:t>
      </w:r>
      <w:r>
        <w:rPr>
          <w:rFonts w:ascii="Times New Roman" w:hAnsi="Times New Roman"/>
          <w:b/>
          <w:bCs w:val="0"/>
          <w:sz w:val="21"/>
          <w:szCs w:val="21"/>
        </w:rPr>
        <w:t>测量试验</w:t>
      </w:r>
      <w:bookmarkEnd w:id="114"/>
      <w:bookmarkEnd w:id="115"/>
    </w:p>
    <w:p>
      <w:pPr>
        <w:pStyle w:val="5"/>
        <w:rPr>
          <w:b/>
          <w:bCs w:val="0"/>
        </w:rPr>
      </w:pPr>
      <w:r>
        <w:rPr>
          <w:rFonts w:hint="eastAsia"/>
          <w:b/>
          <w:bCs w:val="0"/>
        </w:rPr>
        <w:t>机械表计模组</w:t>
      </w:r>
      <w:r>
        <w:rPr>
          <w:b/>
          <w:bCs w:val="0"/>
        </w:rPr>
        <w:t>测量误差试验</w:t>
      </w:r>
    </w:p>
    <w:p>
      <w:pPr>
        <w:spacing w:line="360" w:lineRule="auto"/>
        <w:ind w:firstLine="440" w:firstLineChars="200"/>
        <w:rPr>
          <w:spacing w:val="5"/>
          <w:szCs w:val="21"/>
        </w:rPr>
      </w:pPr>
      <w:r>
        <w:rPr>
          <w:spacing w:val="5"/>
          <w:szCs w:val="21"/>
        </w:rPr>
        <w:t>a)</w:t>
      </w:r>
      <w:r>
        <w:rPr>
          <w:rFonts w:hint="eastAsia"/>
          <w:spacing w:val="5"/>
          <w:szCs w:val="21"/>
        </w:rPr>
        <w:t>机械表计模组组装结构机箱后</w:t>
      </w:r>
      <w:r>
        <w:rPr>
          <w:spacing w:val="5"/>
          <w:szCs w:val="21"/>
        </w:rPr>
        <w:t>与试验平台连接，由密封气室提供SF6气压，并将密度表和密封气室置于恒温箱内；</w:t>
      </w:r>
    </w:p>
    <w:p>
      <w:pPr>
        <w:spacing w:line="360" w:lineRule="auto"/>
        <w:ind w:firstLine="440" w:firstLineChars="200"/>
        <w:rPr>
          <w:spacing w:val="5"/>
          <w:szCs w:val="21"/>
        </w:rPr>
      </w:pPr>
      <w:r>
        <w:rPr>
          <w:spacing w:val="5"/>
          <w:szCs w:val="21"/>
        </w:rPr>
        <w:t>b)调整恒温箱温度20℃,并保持至少2小时，调整SF6气体压力0MPa、0.2MPa、0.4MPa、0.6MPa、0.8MPa，记录密度表测量值（压力、温度和P20），试验结果应满足</w:t>
      </w:r>
      <w:r>
        <w:rPr>
          <w:rFonts w:hint="eastAsia"/>
          <w:spacing w:val="5"/>
          <w:szCs w:val="21"/>
        </w:rPr>
        <w:t>5.3.1</w:t>
      </w:r>
      <w:r>
        <w:rPr>
          <w:spacing w:val="5"/>
          <w:szCs w:val="21"/>
        </w:rPr>
        <w:t>要求。</w:t>
      </w:r>
    </w:p>
    <w:p>
      <w:pPr>
        <w:pStyle w:val="5"/>
        <w:rPr>
          <w:b/>
          <w:bCs w:val="0"/>
        </w:rPr>
      </w:pPr>
      <w:r>
        <w:rPr>
          <w:rFonts w:hint="eastAsia"/>
          <w:b/>
          <w:bCs w:val="0"/>
        </w:rPr>
        <w:t>现场显示与远传数据一致性要求</w:t>
      </w:r>
    </w:p>
    <w:p>
      <w:pPr>
        <w:spacing w:line="360" w:lineRule="auto"/>
        <w:ind w:firstLine="440" w:firstLineChars="200"/>
        <w:rPr>
          <w:spacing w:val="5"/>
          <w:szCs w:val="21"/>
        </w:rPr>
      </w:pPr>
      <w:r>
        <w:rPr>
          <w:spacing w:val="5"/>
          <w:szCs w:val="21"/>
        </w:rPr>
        <w:t>对有额定值和设定点的</w:t>
      </w:r>
      <w:r>
        <w:rPr>
          <w:rFonts w:hint="eastAsia"/>
          <w:spacing w:val="5"/>
          <w:szCs w:val="21"/>
        </w:rPr>
        <w:t>表计</w:t>
      </w:r>
      <w:r>
        <w:rPr>
          <w:spacing w:val="5"/>
          <w:szCs w:val="21"/>
        </w:rPr>
        <w:t>，按照以下步骤进行试验：</w:t>
      </w:r>
    </w:p>
    <w:p>
      <w:pPr>
        <w:spacing w:line="360" w:lineRule="auto"/>
        <w:ind w:firstLine="440" w:firstLineChars="200"/>
        <w:rPr>
          <w:spacing w:val="5"/>
          <w:szCs w:val="21"/>
        </w:rPr>
      </w:pPr>
      <w:r>
        <w:rPr>
          <w:spacing w:val="5"/>
          <w:szCs w:val="21"/>
        </w:rPr>
        <w:t>a).</w:t>
      </w:r>
      <w:r>
        <w:t xml:space="preserve"> </w:t>
      </w:r>
      <w:r>
        <w:rPr>
          <w:spacing w:val="5"/>
          <w:szCs w:val="21"/>
        </w:rPr>
        <w:t>额定值温度试验：</w:t>
      </w:r>
      <w:r>
        <w:rPr>
          <w:rFonts w:hint="eastAsia"/>
          <w:spacing w:val="5"/>
          <w:szCs w:val="21"/>
        </w:rPr>
        <w:t>智慧变电多物理量气体监测传感器</w:t>
      </w:r>
      <w:r>
        <w:rPr>
          <w:spacing w:val="5"/>
          <w:szCs w:val="21"/>
        </w:rPr>
        <w:t>与试验平台连接，由密封气室提供SF6 气压；并将密度表和 密封气室置于高低温箱内；调整高低温箱温度20℃，并保持至少2小时，调整SF6 气体压力至 额定压力，在（20±1.5）℃环境温度下放置2h；逐渐升（/降）温至检验点温度；检验点温 度为使用温度范围的温度上（/下）限以及温度上（/下）限偏差50%范围内的某温度点。温度 变化速率应不大于1℃/min，待温度稳定且保持不少于2h，记录此时密度表示值及远传数据（SF6气体液化后不进行考核）,试验结果应满足</w:t>
      </w:r>
      <w:r>
        <w:rPr>
          <w:rFonts w:hint="eastAsia"/>
          <w:spacing w:val="5"/>
          <w:szCs w:val="21"/>
        </w:rPr>
        <w:t>5.3.1</w:t>
      </w:r>
      <w:r>
        <w:rPr>
          <w:spacing w:val="5"/>
          <w:szCs w:val="21"/>
        </w:rPr>
        <w:t>要求。</w:t>
      </w:r>
    </w:p>
    <w:p>
      <w:pPr>
        <w:spacing w:line="360" w:lineRule="auto"/>
        <w:ind w:firstLine="440" w:firstLineChars="200"/>
        <w:rPr>
          <w:spacing w:val="5"/>
          <w:szCs w:val="21"/>
        </w:rPr>
      </w:pPr>
      <w:r>
        <w:rPr>
          <w:spacing w:val="5"/>
          <w:szCs w:val="21"/>
        </w:rPr>
        <w:t>b). 设定点信号值的温度试验：将被测密度表置于高低温箱内，逐渐升（/降）温至检验点温度； 检验点温度为使用温度范围的温度上（/下）限以及温度上（/下）限偏差50%范围内的某温度 点。测量密度表在该温度下设定点信号值，与目标值比较，两者差值小于</w:t>
      </w:r>
      <w:r>
        <w:rPr>
          <w:rFonts w:hint="eastAsia"/>
          <w:spacing w:val="5"/>
          <w:szCs w:val="21"/>
        </w:rPr>
        <w:t>5.3.1</w:t>
      </w:r>
      <w:r>
        <w:rPr>
          <w:spacing w:val="5"/>
          <w:szCs w:val="21"/>
        </w:rPr>
        <w:t>规定的误差。用 于比较的目标值应按公式（2）～（5）进行计算,试验结果应满足</w:t>
      </w:r>
      <w:r>
        <w:rPr>
          <w:rFonts w:hint="eastAsia"/>
          <w:spacing w:val="5"/>
          <w:szCs w:val="21"/>
        </w:rPr>
        <w:t>5.3.1</w:t>
      </w:r>
      <w:r>
        <w:rPr>
          <w:spacing w:val="5"/>
          <w:szCs w:val="21"/>
        </w:rPr>
        <w:t>要求。</w:t>
      </w:r>
    </w:p>
    <w:p>
      <w:pPr>
        <w:spacing w:line="360" w:lineRule="auto"/>
        <w:ind w:firstLine="2420" w:firstLineChars="1100"/>
        <w:rPr>
          <w:spacing w:val="5"/>
          <w:szCs w:val="21"/>
        </w:rPr>
      </w:pPr>
      <m:oMath>
        <m:r>
          <m:rPr/>
          <w:rPr>
            <w:rFonts w:ascii="Cambria Math" w:hAnsi="Cambria Math"/>
            <w:spacing w:val="5"/>
            <w:szCs w:val="21"/>
          </w:rPr>
          <m:t>P=</m:t>
        </m:r>
        <m:d>
          <m:dPr>
            <m:ctrlPr>
              <w:rPr>
                <w:rFonts w:ascii="Cambria Math" w:hAnsi="Cambria Math"/>
                <w:i/>
                <w:spacing w:val="5"/>
                <w:szCs w:val="21"/>
              </w:rPr>
            </m:ctrlPr>
          </m:dPr>
          <m:e>
            <m:r>
              <m:rPr/>
              <w:rPr>
                <w:rFonts w:ascii="Cambria Math" w:hAnsi="Cambria Math"/>
                <w:spacing w:val="5"/>
                <w:szCs w:val="21"/>
              </w:rPr>
              <m:t>RTB−A</m:t>
            </m:r>
            <m:ctrlPr>
              <w:rPr>
                <w:rFonts w:ascii="Cambria Math" w:hAnsi="Cambria Math"/>
                <w:i/>
                <w:spacing w:val="5"/>
                <w:szCs w:val="21"/>
              </w:rPr>
            </m:ctrlPr>
          </m:e>
        </m:d>
        <m:sSup>
          <m:sSupPr>
            <m:ctrlPr>
              <w:rPr>
                <w:rFonts w:ascii="Cambria Math" w:hAnsi="Cambria Math"/>
                <w:i/>
                <w:spacing w:val="5"/>
                <w:szCs w:val="21"/>
              </w:rPr>
            </m:ctrlPr>
          </m:sSupPr>
          <m:e>
            <m:r>
              <m:rPr/>
              <w:rPr>
                <w:rFonts w:ascii="Cambria Math" w:hAnsi="Cambria Math"/>
                <w:spacing w:val="5"/>
                <w:szCs w:val="21"/>
              </w:rPr>
              <m:t>d</m:t>
            </m:r>
            <m:ctrlPr>
              <w:rPr>
                <w:rFonts w:ascii="Cambria Math" w:hAnsi="Cambria Math"/>
                <w:i/>
                <w:spacing w:val="5"/>
                <w:szCs w:val="21"/>
              </w:rPr>
            </m:ctrlPr>
          </m:e>
          <m:sup>
            <m:r>
              <m:rPr/>
              <w:rPr>
                <w:rFonts w:ascii="Cambria Math" w:hAnsi="Cambria Math"/>
                <w:spacing w:val="5"/>
                <w:szCs w:val="21"/>
              </w:rPr>
              <m:t>2</m:t>
            </m:r>
            <m:ctrlPr>
              <w:rPr>
                <w:rFonts w:ascii="Cambria Math" w:hAnsi="Cambria Math"/>
                <w:i/>
                <w:spacing w:val="5"/>
                <w:szCs w:val="21"/>
              </w:rPr>
            </m:ctrlPr>
          </m:sup>
        </m:sSup>
        <m:r>
          <m:rPr/>
          <w:rPr>
            <w:rFonts w:ascii="Cambria Math" w:hAnsi="Cambria Math"/>
            <w:spacing w:val="5"/>
            <w:szCs w:val="21"/>
          </w:rPr>
          <m:t>+RTd</m:t>
        </m:r>
      </m:oMath>
      <w:r>
        <w:rPr>
          <w:spacing w:val="5"/>
          <w:szCs w:val="21"/>
        </w:rPr>
        <w:t xml:space="preserve">                          （2）</w:t>
      </w:r>
    </w:p>
    <w:p>
      <w:pPr>
        <w:spacing w:line="360" w:lineRule="auto"/>
        <w:jc w:val="center"/>
        <w:rPr>
          <w:spacing w:val="5"/>
          <w:szCs w:val="21"/>
        </w:rPr>
      </w:pPr>
      <w:r>
        <w:rPr>
          <w:spacing w:val="5"/>
          <w:szCs w:val="21"/>
        </w:rPr>
        <w:t xml:space="preserve">               </w:t>
      </w:r>
      <m:oMath>
        <m:r>
          <m:rPr/>
          <w:rPr>
            <w:rFonts w:ascii="Cambria Math" w:hAnsi="Cambria Math"/>
            <w:spacing w:val="5"/>
            <w:szCs w:val="21"/>
          </w:rPr>
          <m:t>A=73.822×</m:t>
        </m:r>
        <m:sSup>
          <m:sSupPr>
            <m:ctrlPr>
              <w:rPr>
                <w:rFonts w:ascii="Cambria Math" w:hAnsi="Cambria Math"/>
                <w:i/>
                <w:spacing w:val="5"/>
                <w:szCs w:val="21"/>
              </w:rPr>
            </m:ctrlPr>
          </m:sSupPr>
          <m:e>
            <m:r>
              <m:rPr/>
              <w:rPr>
                <w:rFonts w:ascii="Cambria Math" w:hAnsi="Cambria Math"/>
                <w:spacing w:val="5"/>
                <w:szCs w:val="21"/>
              </w:rPr>
              <m:t>10</m:t>
            </m:r>
            <m:ctrlPr>
              <w:rPr>
                <w:rFonts w:ascii="Cambria Math" w:hAnsi="Cambria Math"/>
                <w:i/>
                <w:spacing w:val="5"/>
                <w:szCs w:val="21"/>
              </w:rPr>
            </m:ctrlPr>
          </m:e>
          <m:sup>
            <m:r>
              <m:rPr/>
              <w:rPr>
                <w:rFonts w:ascii="Cambria Math" w:hAnsi="Cambria Math"/>
                <w:spacing w:val="5"/>
                <w:szCs w:val="21"/>
              </w:rPr>
              <m:t>−5</m:t>
            </m:r>
            <m:ctrlPr>
              <w:rPr>
                <w:rFonts w:ascii="Cambria Math" w:hAnsi="Cambria Math"/>
                <w:i/>
                <w:spacing w:val="5"/>
                <w:szCs w:val="21"/>
              </w:rPr>
            </m:ctrlPr>
          </m:sup>
        </m:sSup>
        <m:r>
          <m:rPr/>
          <w:rPr>
            <w:rFonts w:ascii="Cambria Math" w:hAnsi="Cambria Math"/>
            <w:spacing w:val="5"/>
            <w:szCs w:val="21"/>
          </w:rPr>
          <m:t>−5.132105×</m:t>
        </m:r>
        <m:sSup>
          <m:sSupPr>
            <m:ctrlPr>
              <w:rPr>
                <w:rFonts w:ascii="Cambria Math" w:hAnsi="Cambria Math"/>
                <w:i/>
                <w:spacing w:val="5"/>
                <w:szCs w:val="21"/>
              </w:rPr>
            </m:ctrlPr>
          </m:sSupPr>
          <m:e>
            <m:r>
              <m:rPr/>
              <w:rPr>
                <w:rFonts w:ascii="Cambria Math" w:hAnsi="Cambria Math"/>
                <w:spacing w:val="5"/>
                <w:szCs w:val="21"/>
              </w:rPr>
              <m:t>10</m:t>
            </m:r>
            <m:ctrlPr>
              <w:rPr>
                <w:rFonts w:ascii="Cambria Math" w:hAnsi="Cambria Math"/>
                <w:i/>
                <w:spacing w:val="5"/>
                <w:szCs w:val="21"/>
              </w:rPr>
            </m:ctrlPr>
          </m:e>
          <m:sup>
            <m:r>
              <m:rPr/>
              <w:rPr>
                <w:rFonts w:ascii="Cambria Math" w:hAnsi="Cambria Math"/>
                <w:spacing w:val="5"/>
                <w:szCs w:val="21"/>
              </w:rPr>
              <m:t>−7</m:t>
            </m:r>
            <m:ctrlPr>
              <w:rPr>
                <w:rFonts w:ascii="Cambria Math" w:hAnsi="Cambria Math"/>
                <w:i/>
                <w:spacing w:val="5"/>
                <w:szCs w:val="21"/>
              </w:rPr>
            </m:ctrlPr>
          </m:sup>
        </m:sSup>
        <m:r>
          <m:rPr/>
          <w:rPr>
            <w:rFonts w:ascii="Cambria Math" w:hAnsi="Cambria Math"/>
            <w:spacing w:val="5"/>
            <w:szCs w:val="21"/>
          </w:rPr>
          <m:t>d</m:t>
        </m:r>
      </m:oMath>
      <w:r>
        <w:rPr>
          <w:spacing w:val="5"/>
          <w:szCs w:val="21"/>
        </w:rPr>
        <w:t xml:space="preserve">                    （3）</w:t>
      </w:r>
    </w:p>
    <w:p>
      <w:pPr>
        <w:spacing w:line="360" w:lineRule="auto"/>
        <w:jc w:val="center"/>
        <w:rPr>
          <w:spacing w:val="5"/>
          <w:szCs w:val="21"/>
        </w:rPr>
      </w:pPr>
      <w:r>
        <w:rPr>
          <w:spacing w:val="5"/>
          <w:szCs w:val="21"/>
        </w:rPr>
        <w:t xml:space="preserve">              </w:t>
      </w:r>
      <m:oMath>
        <m:r>
          <m:rPr/>
          <w:rPr>
            <w:rFonts w:ascii="Cambria Math" w:hAnsi="Cambria Math"/>
            <w:spacing w:val="5"/>
            <w:szCs w:val="21"/>
          </w:rPr>
          <m:t>B=2.50695×</m:t>
        </m:r>
        <m:sSup>
          <m:sSupPr>
            <m:ctrlPr>
              <w:rPr>
                <w:rFonts w:ascii="Cambria Math" w:hAnsi="Cambria Math"/>
                <w:i/>
                <w:spacing w:val="5"/>
                <w:szCs w:val="21"/>
              </w:rPr>
            </m:ctrlPr>
          </m:sSupPr>
          <m:e>
            <m:r>
              <m:rPr/>
              <w:rPr>
                <w:rFonts w:ascii="Cambria Math" w:hAnsi="Cambria Math"/>
                <w:spacing w:val="5"/>
                <w:szCs w:val="21"/>
              </w:rPr>
              <m:t>10</m:t>
            </m:r>
            <m:ctrlPr>
              <w:rPr>
                <w:rFonts w:ascii="Cambria Math" w:hAnsi="Cambria Math"/>
                <w:i/>
                <w:spacing w:val="5"/>
                <w:szCs w:val="21"/>
              </w:rPr>
            </m:ctrlPr>
          </m:e>
          <m:sup>
            <m:r>
              <m:rPr/>
              <w:rPr>
                <w:rFonts w:ascii="Cambria Math" w:hAnsi="Cambria Math"/>
                <w:spacing w:val="5"/>
                <w:szCs w:val="21"/>
              </w:rPr>
              <m:t>−3</m:t>
            </m:r>
            <m:ctrlPr>
              <w:rPr>
                <w:rFonts w:ascii="Cambria Math" w:hAnsi="Cambria Math"/>
                <w:i/>
                <w:spacing w:val="5"/>
                <w:szCs w:val="21"/>
              </w:rPr>
            </m:ctrlPr>
          </m:sup>
        </m:sSup>
        <m:r>
          <m:rPr/>
          <w:rPr>
            <w:rFonts w:ascii="Cambria Math" w:hAnsi="Cambria Math"/>
            <w:spacing w:val="5"/>
            <w:szCs w:val="21"/>
          </w:rPr>
          <m:t>−2.12283×</m:t>
        </m:r>
        <m:sSup>
          <m:sSupPr>
            <m:ctrlPr>
              <w:rPr>
                <w:rFonts w:ascii="Cambria Math" w:hAnsi="Cambria Math"/>
                <w:i/>
                <w:spacing w:val="5"/>
                <w:szCs w:val="21"/>
              </w:rPr>
            </m:ctrlPr>
          </m:sSupPr>
          <m:e>
            <m:r>
              <m:rPr/>
              <w:rPr>
                <w:rFonts w:ascii="Cambria Math" w:hAnsi="Cambria Math"/>
                <w:spacing w:val="5"/>
                <w:szCs w:val="21"/>
              </w:rPr>
              <m:t>10</m:t>
            </m:r>
            <m:ctrlPr>
              <w:rPr>
                <w:rFonts w:ascii="Cambria Math" w:hAnsi="Cambria Math"/>
                <w:i/>
                <w:spacing w:val="5"/>
                <w:szCs w:val="21"/>
              </w:rPr>
            </m:ctrlPr>
          </m:e>
          <m:sup>
            <m:r>
              <m:rPr/>
              <w:rPr>
                <w:rFonts w:ascii="Cambria Math" w:hAnsi="Cambria Math"/>
                <w:spacing w:val="5"/>
                <w:szCs w:val="21"/>
              </w:rPr>
              <m:t>−6</m:t>
            </m:r>
            <m:ctrlPr>
              <w:rPr>
                <w:rFonts w:ascii="Cambria Math" w:hAnsi="Cambria Math"/>
                <w:i/>
                <w:spacing w:val="5"/>
                <w:szCs w:val="21"/>
              </w:rPr>
            </m:ctrlPr>
          </m:sup>
        </m:sSup>
        <m:r>
          <m:rPr/>
          <w:rPr>
            <w:rFonts w:ascii="Cambria Math" w:hAnsi="Cambria Math"/>
            <w:spacing w:val="5"/>
            <w:szCs w:val="21"/>
          </w:rPr>
          <m:t>d</m:t>
        </m:r>
      </m:oMath>
      <w:r>
        <w:rPr>
          <w:spacing w:val="5"/>
          <w:szCs w:val="21"/>
        </w:rPr>
        <w:t xml:space="preserve">                     （4）</w:t>
      </w:r>
    </w:p>
    <w:p>
      <w:pPr>
        <w:spacing w:line="360" w:lineRule="auto"/>
        <w:jc w:val="center"/>
        <w:rPr>
          <w:spacing w:val="5"/>
          <w:szCs w:val="21"/>
        </w:rPr>
      </w:pPr>
      <w:r>
        <w:rPr>
          <w:spacing w:val="5"/>
          <w:szCs w:val="21"/>
        </w:rPr>
        <w:t xml:space="preserve">                     </w:t>
      </w:r>
      <m:oMath>
        <m:r>
          <m:rPr/>
          <w:rPr>
            <w:rFonts w:ascii="Cambria Math" w:hAnsi="Cambria Math"/>
            <w:spacing w:val="5"/>
            <w:szCs w:val="21"/>
          </w:rPr>
          <m:t>R=56.9502×</m:t>
        </m:r>
        <m:sSup>
          <m:sSupPr>
            <m:ctrlPr>
              <w:rPr>
                <w:rFonts w:ascii="Cambria Math" w:hAnsi="Cambria Math"/>
                <w:i/>
                <w:spacing w:val="5"/>
                <w:szCs w:val="21"/>
              </w:rPr>
            </m:ctrlPr>
          </m:sSupPr>
          <m:e>
            <m:r>
              <m:rPr/>
              <w:rPr>
                <w:rFonts w:ascii="Cambria Math" w:hAnsi="Cambria Math"/>
                <w:spacing w:val="5"/>
                <w:szCs w:val="21"/>
              </w:rPr>
              <m:t>10</m:t>
            </m:r>
            <m:ctrlPr>
              <w:rPr>
                <w:rFonts w:ascii="Cambria Math" w:hAnsi="Cambria Math"/>
                <w:i/>
                <w:spacing w:val="5"/>
                <w:szCs w:val="21"/>
              </w:rPr>
            </m:ctrlPr>
          </m:e>
          <m:sup>
            <m:r>
              <m:rPr/>
              <w:rPr>
                <w:rFonts w:ascii="Cambria Math" w:hAnsi="Cambria Math"/>
                <w:spacing w:val="5"/>
                <w:szCs w:val="21"/>
              </w:rPr>
              <m:t>−5</m:t>
            </m:r>
            <m:ctrlPr>
              <w:rPr>
                <w:rFonts w:ascii="Cambria Math" w:hAnsi="Cambria Math"/>
                <w:i/>
                <w:spacing w:val="5"/>
                <w:szCs w:val="21"/>
              </w:rPr>
            </m:ctrlPr>
          </m:sup>
        </m:sSup>
      </m:oMath>
      <w:r>
        <w:rPr>
          <w:spacing w:val="5"/>
          <w:szCs w:val="21"/>
        </w:rPr>
        <w:t xml:space="preserve">                              （5）</w:t>
      </w:r>
    </w:p>
    <w:p>
      <w:pPr>
        <w:spacing w:line="360" w:lineRule="auto"/>
        <w:rPr>
          <w:spacing w:val="5"/>
          <w:szCs w:val="21"/>
        </w:rPr>
      </w:pPr>
      <w:r>
        <w:rPr>
          <w:spacing w:val="5"/>
          <w:szCs w:val="21"/>
        </w:rPr>
        <w:t>P  --  压力，单位为0.1兆帕（×0.1MPa）；</w:t>
      </w:r>
    </w:p>
    <w:p>
      <w:pPr>
        <w:spacing w:line="360" w:lineRule="auto"/>
        <w:rPr>
          <w:spacing w:val="5"/>
          <w:szCs w:val="21"/>
        </w:rPr>
      </w:pPr>
      <w:r>
        <w:rPr>
          <w:spacing w:val="5"/>
          <w:szCs w:val="21"/>
        </w:rPr>
        <w:t>D  --  密度，单位为千克每立方米（</w:t>
      </w:r>
      <m:oMath>
        <m:r>
          <m:rPr/>
          <w:rPr>
            <w:rFonts w:ascii="Cambria Math" w:hAnsi="Cambria Math"/>
            <w:spacing w:val="5"/>
            <w:szCs w:val="21"/>
          </w:rPr>
          <m:t>kg/</m:t>
        </m:r>
        <m:sSup>
          <m:sSupPr>
            <m:ctrlPr>
              <w:rPr>
                <w:rFonts w:ascii="Cambria Math" w:hAnsi="Cambria Math"/>
                <w:i/>
                <w:spacing w:val="5"/>
                <w:szCs w:val="21"/>
              </w:rPr>
            </m:ctrlPr>
          </m:sSupPr>
          <m:e>
            <m:r>
              <m:rPr/>
              <w:rPr>
                <w:rFonts w:ascii="Cambria Math" w:hAnsi="Cambria Math"/>
                <w:spacing w:val="5"/>
                <w:szCs w:val="21"/>
              </w:rPr>
              <m:t>m</m:t>
            </m:r>
            <m:ctrlPr>
              <w:rPr>
                <w:rFonts w:ascii="Cambria Math" w:hAnsi="Cambria Math"/>
                <w:i/>
                <w:spacing w:val="5"/>
                <w:szCs w:val="21"/>
              </w:rPr>
            </m:ctrlPr>
          </m:e>
          <m:sup>
            <m:r>
              <m:rPr/>
              <w:rPr>
                <w:rFonts w:ascii="Cambria Math" w:hAnsi="Cambria Math"/>
                <w:spacing w:val="5"/>
                <w:szCs w:val="21"/>
              </w:rPr>
              <m:t>3</m:t>
            </m:r>
            <m:ctrlPr>
              <w:rPr>
                <w:rFonts w:ascii="Cambria Math" w:hAnsi="Cambria Math"/>
                <w:i/>
                <w:spacing w:val="5"/>
                <w:szCs w:val="21"/>
              </w:rPr>
            </m:ctrlPr>
          </m:sup>
        </m:sSup>
      </m:oMath>
      <w:r>
        <w:rPr>
          <w:spacing w:val="5"/>
          <w:szCs w:val="21"/>
        </w:rPr>
        <w:t>）；</w:t>
      </w:r>
    </w:p>
    <w:p>
      <w:pPr>
        <w:spacing w:line="360" w:lineRule="auto"/>
        <w:rPr>
          <w:spacing w:val="5"/>
          <w:szCs w:val="21"/>
        </w:rPr>
      </w:pPr>
      <w:r>
        <w:rPr>
          <w:spacing w:val="5"/>
          <w:szCs w:val="21"/>
        </w:rPr>
        <w:t>T  --  温度，单位为开尔文（K）。</w:t>
      </w:r>
    </w:p>
    <w:p>
      <w:pPr>
        <w:spacing w:line="360" w:lineRule="auto"/>
        <w:ind w:firstLine="440" w:firstLineChars="200"/>
        <w:rPr>
          <w:spacing w:val="5"/>
          <w:szCs w:val="21"/>
        </w:rPr>
      </w:pPr>
      <w:r>
        <w:rPr>
          <w:spacing w:val="5"/>
          <w:szCs w:val="21"/>
        </w:rPr>
        <w:t>c). 对于没有额定值和设定点的SF6 密度数字化感知单元，可按照本步骤进行P20 为0.6MPa、0.5MPa、0.4MPa、0.3MPa 的温度试验，试验结果应满足</w:t>
      </w:r>
      <w:r>
        <w:rPr>
          <w:rFonts w:hint="eastAsia"/>
          <w:spacing w:val="5"/>
          <w:szCs w:val="21"/>
        </w:rPr>
        <w:t>5.3.1</w:t>
      </w:r>
      <w:r>
        <w:rPr>
          <w:spacing w:val="5"/>
          <w:szCs w:val="21"/>
        </w:rPr>
        <w:t>要求。</w:t>
      </w:r>
    </w:p>
    <w:p>
      <w:pPr>
        <w:pStyle w:val="4"/>
        <w:rPr>
          <w:rFonts w:ascii="Times New Roman" w:hAnsi="Times New Roman"/>
          <w:b/>
          <w:bCs w:val="0"/>
          <w:sz w:val="21"/>
          <w:szCs w:val="21"/>
        </w:rPr>
      </w:pPr>
      <w:bookmarkStart w:id="116" w:name="_Toc6976"/>
      <w:bookmarkStart w:id="117" w:name="_Toc1091348055"/>
      <w:r>
        <w:rPr>
          <w:rFonts w:hint="eastAsia" w:ascii="Times New Roman" w:hAnsi="Times New Roman"/>
          <w:b/>
          <w:bCs w:val="0"/>
          <w:sz w:val="21"/>
          <w:szCs w:val="21"/>
        </w:rPr>
        <w:t>微水传感模组</w:t>
      </w:r>
      <w:r>
        <w:rPr>
          <w:rFonts w:ascii="Times New Roman" w:hAnsi="Times New Roman"/>
          <w:b/>
          <w:bCs w:val="0"/>
          <w:sz w:val="21"/>
          <w:szCs w:val="21"/>
        </w:rPr>
        <w:t>测量试验</w:t>
      </w:r>
      <w:bookmarkEnd w:id="116"/>
      <w:bookmarkEnd w:id="117"/>
    </w:p>
    <w:p>
      <w:pPr>
        <w:pStyle w:val="5"/>
        <w:rPr>
          <w:b/>
          <w:bCs w:val="0"/>
        </w:rPr>
      </w:pPr>
      <w:r>
        <w:rPr>
          <w:rFonts w:hint="eastAsia"/>
          <w:b/>
          <w:bCs w:val="0"/>
        </w:rPr>
        <w:t>测量误差试验</w:t>
      </w:r>
    </w:p>
    <w:p>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a)微水模组</w:t>
      </w:r>
      <w:r>
        <w:rPr>
          <w:rFonts w:hint="eastAsia"/>
          <w:spacing w:val="5"/>
          <w:szCs w:val="21"/>
        </w:rPr>
        <w:t>组装结构机箱后</w:t>
      </w:r>
      <w:r>
        <w:rPr>
          <w:rFonts w:hint="eastAsia" w:ascii="宋体" w:hAnsi="宋体" w:cs="宋体"/>
          <w:color w:val="000000"/>
          <w:kern w:val="0"/>
          <w:szCs w:val="21"/>
          <w:lang w:bidi="ar"/>
        </w:rPr>
        <w:t>与试验平台连接，将密度表气路接入微水发生器气路。</w:t>
      </w:r>
    </w:p>
    <w:p>
      <w:pPr>
        <w:tabs>
          <w:tab w:val="left" w:pos="1984"/>
        </w:tabs>
        <w:spacing w:line="360" w:lineRule="auto"/>
        <w:ind w:firstLine="420" w:firstLineChars="200"/>
      </w:pPr>
      <w:r>
        <w:rPr>
          <w:rFonts w:hint="eastAsia" w:ascii="宋体" w:hAnsi="宋体" w:cs="宋体"/>
          <w:color w:val="000000"/>
          <w:kern w:val="0"/>
          <w:szCs w:val="21"/>
          <w:lang w:bidi="ar"/>
        </w:rPr>
        <w:t>b)使用</w:t>
      </w:r>
      <w:r>
        <w:rPr>
          <w:rFonts w:hint="eastAsia" w:ascii="宋体" w:hAnsi="宋体"/>
          <w:szCs w:val="21"/>
        </w:rPr>
        <w:t>微水发生器分别产生</w:t>
      </w:r>
      <w:r>
        <w:rPr>
          <w:szCs w:val="21"/>
        </w:rPr>
        <w:t>10uL/L、30uL/L、100uL/L、400uL/L、700uL/L、1000uL/L</w:t>
      </w:r>
      <w:r>
        <w:rPr>
          <w:rFonts w:hint="eastAsia" w:ascii="宋体" w:hAnsi="宋体"/>
          <w:szCs w:val="21"/>
        </w:rPr>
        <w:t>的微量水分气体，在各个点水分稳定后等待4分钟对密度表输出微水值进行记录，此过程重复三次然后分别计算准确度与重复性，</w:t>
      </w:r>
      <w:r>
        <w:rPr>
          <w:rFonts w:hint="eastAsia" w:ascii="宋体" w:hAnsi="宋体" w:cs="宋体"/>
          <w:color w:val="000000"/>
          <w:kern w:val="0"/>
          <w:szCs w:val="21"/>
          <w:lang w:bidi="ar"/>
        </w:rPr>
        <w:t>结果应满足5.2.2。</w:t>
      </w:r>
    </w:p>
    <w:p>
      <w:pPr>
        <w:pStyle w:val="5"/>
        <w:rPr>
          <w:b/>
          <w:bCs w:val="0"/>
        </w:rPr>
      </w:pPr>
      <w:r>
        <w:rPr>
          <w:rFonts w:hint="eastAsia"/>
          <w:b/>
          <w:bCs w:val="0"/>
        </w:rPr>
        <w:t>测量重复性试验</w:t>
      </w:r>
    </w:p>
    <w:p>
      <w:pPr>
        <w:spacing w:line="360" w:lineRule="auto"/>
        <w:ind w:firstLine="420" w:firstLineChars="200"/>
        <w:rPr>
          <w:szCs w:val="21"/>
        </w:rPr>
      </w:pPr>
      <w:r>
        <w:rPr>
          <w:szCs w:val="21"/>
        </w:rPr>
        <w:t>针对</w:t>
      </w:r>
      <w:r>
        <w:rPr>
          <w:rFonts w:hint="eastAsia"/>
          <w:szCs w:val="21"/>
        </w:rPr>
        <w:t>被监测微水</w:t>
      </w:r>
      <w:r>
        <w:rPr>
          <w:szCs w:val="21"/>
        </w:rPr>
        <w:t>，在线监测装置连续进行6次</w:t>
      </w:r>
      <w:r>
        <w:rPr>
          <w:rFonts w:hint="eastAsia"/>
          <w:szCs w:val="21"/>
        </w:rPr>
        <w:t>微水采集</w:t>
      </w:r>
      <w:r>
        <w:rPr>
          <w:szCs w:val="21"/>
        </w:rPr>
        <w:t>，</w:t>
      </w:r>
      <w:r>
        <w:t>依式（</w:t>
      </w:r>
      <w:r>
        <w:rPr>
          <w:rFonts w:hint="eastAsia"/>
        </w:rPr>
        <w:t>1</w:t>
      </w:r>
      <w:r>
        <w:t>）计算相对标准偏差（Relative Standard Deviation，RSD）值</w:t>
      </w:r>
      <w:r>
        <w:rPr>
          <w:szCs w:val="20"/>
        </w:rPr>
        <w:t>，</w:t>
      </w:r>
      <w:r>
        <w:rPr>
          <w:szCs w:val="21"/>
        </w:rPr>
        <w:t>总烃测量结果的RSD值</w:t>
      </w:r>
      <w:r>
        <w:t>应满足</w:t>
      </w:r>
      <w:r>
        <w:rPr>
          <w:rFonts w:hint="eastAsia"/>
          <w:szCs w:val="21"/>
        </w:rPr>
        <w:t>5.2的</w:t>
      </w:r>
      <w:r>
        <w:rPr>
          <w:szCs w:val="21"/>
        </w:rPr>
        <w:t>要求。</w:t>
      </w:r>
    </w:p>
    <w:p>
      <w:pPr>
        <w:pStyle w:val="12"/>
        <w:jc w:val="right"/>
        <w:rPr>
          <w:szCs w:val="21"/>
        </w:rPr>
      </w:pPr>
      <w:r>
        <w:rPr>
          <w:position w:val="-26"/>
          <w:szCs w:val="21"/>
        </w:rPr>
        <w:object>
          <v:shape id="_x0000_i1025" o:spt="75" type="#_x0000_t75" style="height:50.4pt;width:162.3pt;" o:ole="t" filled="f" o:preferrelative="t" stroked="f" coordsize="21600,21600">
            <v:path/>
            <v:fill on="f" focussize="0,0"/>
            <v:stroke on="f" joinstyle="miter"/>
            <v:imagedata r:id="rId11" o:title=""/>
            <o:lock v:ext="edit" aspectratio="t"/>
            <w10:wrap type="none"/>
            <w10:anchorlock/>
          </v:shape>
          <o:OLEObject Type="Embed" ProgID="Equation.3" ShapeID="_x0000_i1025" DrawAspect="Content" ObjectID="_1468075725" r:id="rId10">
            <o:LockedField>false</o:LockedField>
          </o:OLEObject>
        </w:object>
      </w:r>
      <w:r>
        <w:rPr>
          <w:szCs w:val="21"/>
        </w:rPr>
        <w:tab/>
      </w:r>
      <w:r>
        <w:rPr>
          <w:szCs w:val="21"/>
        </w:rPr>
        <w:tab/>
      </w:r>
      <w:r>
        <w:rPr>
          <w:szCs w:val="21"/>
        </w:rPr>
        <w:tab/>
      </w:r>
      <w:r>
        <w:rPr>
          <w:rFonts w:hint="eastAsia"/>
          <w:szCs w:val="21"/>
        </w:rPr>
        <w:t xml:space="preserve">       </w:t>
      </w:r>
      <w:r>
        <w:rPr>
          <w:szCs w:val="21"/>
        </w:rPr>
        <w:tab/>
      </w:r>
      <w:r>
        <w:rPr>
          <w:szCs w:val="21"/>
        </w:rPr>
        <w:t>（</w:t>
      </w:r>
      <w:r>
        <w:rPr>
          <w:rFonts w:hint="eastAsia"/>
          <w:szCs w:val="21"/>
        </w:rPr>
        <w:t>1</w:t>
      </w:r>
      <w:r>
        <w:rPr>
          <w:szCs w:val="21"/>
        </w:rPr>
        <w:t>）</w:t>
      </w:r>
    </w:p>
    <w:p>
      <w:pPr>
        <w:pStyle w:val="12"/>
        <w:jc w:val="left"/>
        <w:rPr>
          <w:szCs w:val="21"/>
        </w:rPr>
      </w:pPr>
      <w:r>
        <w:rPr>
          <w:szCs w:val="21"/>
        </w:rPr>
        <w:t>式中：RSD——相对标准偏差；</w:t>
      </w:r>
    </w:p>
    <w:p>
      <w:pPr>
        <w:pStyle w:val="12"/>
        <w:ind w:firstLine="630" w:firstLineChars="300"/>
        <w:jc w:val="left"/>
        <w:rPr>
          <w:szCs w:val="21"/>
        </w:rPr>
      </w:pPr>
      <w:r>
        <w:rPr>
          <w:position w:val="-12"/>
          <w:szCs w:val="21"/>
        </w:rPr>
        <w:object>
          <v:shape id="_x0000_i1026" o:spt="75" type="#_x0000_t75" style="height:17.15pt;width:13.3pt;" o:ole="t" filled="f" o:preferrelative="t" stroked="f" coordsize="21600,21600">
            <v:path/>
            <v:fill on="f" focussize="0,0"/>
            <v:stroke on="f" joinstyle="miter"/>
            <v:imagedata r:id="rId13" o:title=""/>
            <o:lock v:ext="edit" aspectratio="t"/>
            <w10:wrap type="none"/>
            <w10:anchorlock/>
          </v:shape>
          <o:OLEObject Type="Embed" ProgID="Equation.3" ShapeID="_x0000_i1026" DrawAspect="Content" ObjectID="_1468075726" r:id="rId12">
            <o:LockedField>false</o:LockedField>
          </o:OLEObject>
        </w:object>
      </w:r>
      <w:r>
        <w:rPr>
          <w:szCs w:val="21"/>
        </w:rPr>
        <w:t>——第i次测量结果；</w:t>
      </w:r>
    </w:p>
    <w:p>
      <w:pPr>
        <w:pStyle w:val="12"/>
        <w:ind w:firstLine="630" w:firstLineChars="300"/>
        <w:jc w:val="left"/>
        <w:rPr>
          <w:szCs w:val="21"/>
        </w:rPr>
      </w:pPr>
      <w:r>
        <w:rPr>
          <w:position w:val="-6"/>
          <w:szCs w:val="21"/>
        </w:rPr>
        <w:object>
          <v:shape id="_x0000_i1027" o:spt="75" type="#_x0000_t75" style="height:16.6pt;width:11.65pt;" o:ole="t" filled="f" o:preferrelative="t" stroked="f" coordsize="21600,21600">
            <v:path/>
            <v:fill on="f" focussize="0,0"/>
            <v:stroke on="f" joinstyle="miter"/>
            <v:imagedata r:id="rId15" o:title=""/>
            <o:lock v:ext="edit" aspectratio="t"/>
            <w10:wrap type="none"/>
            <w10:anchorlock/>
          </v:shape>
          <o:OLEObject Type="Embed" ProgID="Equation.3" ShapeID="_x0000_i1027" DrawAspect="Content" ObjectID="_1468075727" r:id="rId14">
            <o:LockedField>false</o:LockedField>
          </o:OLEObject>
        </w:object>
      </w:r>
      <w:r>
        <w:rPr>
          <w:szCs w:val="21"/>
        </w:rPr>
        <w:t>——n次测量结果的算术平均值；</w:t>
      </w:r>
    </w:p>
    <w:p>
      <w:pPr>
        <w:pStyle w:val="12"/>
        <w:ind w:firstLine="630" w:firstLineChars="300"/>
        <w:jc w:val="left"/>
        <w:rPr>
          <w:szCs w:val="21"/>
        </w:rPr>
      </w:pPr>
      <w:r>
        <w:rPr>
          <w:szCs w:val="21"/>
        </w:rPr>
        <w:t>n——测量次数。</w:t>
      </w:r>
    </w:p>
    <w:p>
      <w:pPr>
        <w:pStyle w:val="4"/>
        <w:rPr>
          <w:rFonts w:ascii="Times New Roman" w:hAnsi="Times New Roman"/>
          <w:b/>
          <w:bCs w:val="0"/>
          <w:sz w:val="21"/>
          <w:szCs w:val="21"/>
        </w:rPr>
      </w:pPr>
      <w:bookmarkStart w:id="118" w:name="_Toc1809234654"/>
      <w:bookmarkStart w:id="119" w:name="_Toc24965"/>
      <w:r>
        <w:rPr>
          <w:rFonts w:ascii="Times New Roman" w:hAnsi="Times New Roman"/>
          <w:b/>
          <w:bCs w:val="0"/>
          <w:sz w:val="21"/>
          <w:szCs w:val="21"/>
        </w:rPr>
        <w:t>密封性试验</w:t>
      </w:r>
      <w:bookmarkEnd w:id="118"/>
      <w:bookmarkEnd w:id="119"/>
    </w:p>
    <w:p>
      <w:pPr>
        <w:spacing w:line="360" w:lineRule="auto"/>
        <w:ind w:firstLine="440" w:firstLineChars="200"/>
        <w:rPr>
          <w:spacing w:val="5"/>
          <w:szCs w:val="21"/>
        </w:rPr>
      </w:pPr>
      <w:r>
        <w:rPr>
          <w:spacing w:val="5"/>
          <w:szCs w:val="21"/>
        </w:rPr>
        <w:t>密封性能试验可按照以下两种方法进行：</w:t>
      </w:r>
    </w:p>
    <w:p>
      <w:pPr>
        <w:spacing w:line="360" w:lineRule="auto"/>
        <w:ind w:firstLine="440" w:firstLineChars="200"/>
        <w:rPr>
          <w:spacing w:val="5"/>
          <w:szCs w:val="21"/>
        </w:rPr>
      </w:pPr>
      <w:r>
        <w:rPr>
          <w:spacing w:val="5"/>
          <w:szCs w:val="21"/>
        </w:rPr>
        <w:t>a)方法一：将</w:t>
      </w:r>
      <w:r>
        <w:rPr>
          <w:rFonts w:hint="eastAsia"/>
          <w:spacing w:val="5"/>
          <w:szCs w:val="21"/>
        </w:rPr>
        <w:t>组装好模组的</w:t>
      </w:r>
      <w:r>
        <w:rPr>
          <w:spacing w:val="5"/>
          <w:szCs w:val="21"/>
        </w:rPr>
        <w:t>仪表充入SF6气体至额定压力的110%，吹净仪表周围残余的SF6气体，用塑料薄膜罩住仪表，24h后，用灵敏度不低于10-8（体积比V/V）的SF6气体检漏仪检测塑料薄膜罩内及表壳内SF6气体的浓度值，并按GB/T11023—2018中4.2.1规定的方法计算出仪表的绝对漏气率，试验结果应满足</w:t>
      </w:r>
      <w:r>
        <w:rPr>
          <w:rFonts w:hint="eastAsia"/>
          <w:spacing w:val="5"/>
          <w:szCs w:val="21"/>
        </w:rPr>
        <w:t>5</w:t>
      </w:r>
      <w:r>
        <w:rPr>
          <w:spacing w:val="5"/>
          <w:szCs w:val="21"/>
        </w:rPr>
        <w:t>.3.</w:t>
      </w:r>
      <w:r>
        <w:rPr>
          <w:rFonts w:hint="eastAsia"/>
          <w:spacing w:val="5"/>
          <w:szCs w:val="21"/>
        </w:rPr>
        <w:t>1</w:t>
      </w:r>
      <w:r>
        <w:rPr>
          <w:spacing w:val="5"/>
          <w:szCs w:val="21"/>
        </w:rPr>
        <w:t>要求。</w:t>
      </w:r>
    </w:p>
    <w:p>
      <w:pPr>
        <w:spacing w:line="360" w:lineRule="auto"/>
        <w:ind w:firstLine="440" w:firstLineChars="200"/>
        <w:rPr>
          <w:spacing w:val="5"/>
          <w:szCs w:val="21"/>
        </w:rPr>
      </w:pPr>
      <w:r>
        <w:rPr>
          <w:spacing w:val="5"/>
          <w:szCs w:val="21"/>
        </w:rPr>
        <w:t>b)方法二：将</w:t>
      </w:r>
      <w:r>
        <w:rPr>
          <w:rFonts w:hint="eastAsia"/>
          <w:spacing w:val="5"/>
          <w:szCs w:val="21"/>
        </w:rPr>
        <w:t>组装好模组的</w:t>
      </w:r>
      <w:r>
        <w:rPr>
          <w:spacing w:val="5"/>
          <w:szCs w:val="21"/>
        </w:rPr>
        <w:t>仪表充入氦气至额定压力，将仪表置于密闭的罐体内，对罐体进行抽真空并用氦质谱检漏仪检漏，检测出仪表的绝对漏气率，试验结果应满足</w:t>
      </w:r>
      <w:r>
        <w:rPr>
          <w:rFonts w:hint="eastAsia"/>
          <w:spacing w:val="5"/>
          <w:szCs w:val="21"/>
        </w:rPr>
        <w:t>5.3.1</w:t>
      </w:r>
      <w:r>
        <w:rPr>
          <w:spacing w:val="5"/>
          <w:szCs w:val="21"/>
        </w:rPr>
        <w:t>要求。</w:t>
      </w:r>
    </w:p>
    <w:p>
      <w:pPr>
        <w:pStyle w:val="3"/>
        <w:rPr>
          <w:rFonts w:ascii="Times New Roman" w:hAnsi="Times New Roman"/>
          <w:b/>
          <w:bCs w:val="0"/>
          <w:sz w:val="21"/>
          <w:szCs w:val="21"/>
        </w:rPr>
      </w:pPr>
      <w:bookmarkStart w:id="120" w:name="_Toc707594409"/>
      <w:r>
        <w:rPr>
          <w:rFonts w:ascii="Times New Roman" w:hAnsi="Times New Roman"/>
          <w:b/>
          <w:bCs w:val="0"/>
          <w:sz w:val="21"/>
          <w:szCs w:val="21"/>
        </w:rPr>
        <w:t>通信</w:t>
      </w:r>
      <w:r>
        <w:rPr>
          <w:rFonts w:hint="eastAsia" w:ascii="Times New Roman" w:hAnsi="Times New Roman"/>
          <w:b/>
          <w:bCs w:val="0"/>
          <w:sz w:val="21"/>
          <w:szCs w:val="21"/>
        </w:rPr>
        <w:t>方式及一致性试验</w:t>
      </w:r>
      <w:bookmarkEnd w:id="120"/>
    </w:p>
    <w:p>
      <w:pPr>
        <w:pStyle w:val="4"/>
        <w:rPr>
          <w:rFonts w:ascii="Times New Roman" w:hAnsi="Times New Roman"/>
          <w:b/>
          <w:bCs w:val="0"/>
          <w:sz w:val="21"/>
          <w:szCs w:val="21"/>
        </w:rPr>
      </w:pPr>
      <w:bookmarkStart w:id="121" w:name="_Toc2096256833"/>
      <w:r>
        <w:rPr>
          <w:rFonts w:ascii="Times New Roman" w:hAnsi="Times New Roman"/>
          <w:b/>
          <w:bCs w:val="0"/>
          <w:sz w:val="21"/>
          <w:szCs w:val="21"/>
        </w:rPr>
        <w:t>有线通信协议检测</w:t>
      </w:r>
      <w:bookmarkEnd w:id="121"/>
    </w:p>
    <w:p>
      <w:pPr>
        <w:spacing w:line="360" w:lineRule="auto"/>
        <w:ind w:firstLine="440" w:firstLineChars="200"/>
        <w:rPr>
          <w:spacing w:val="5"/>
          <w:szCs w:val="21"/>
        </w:rPr>
      </w:pPr>
      <w:r>
        <w:rPr>
          <w:spacing w:val="5"/>
          <w:szCs w:val="21"/>
        </w:rPr>
        <w:t>按有线通信要求，对通信接口、数据帧结构以及各类应用报文进行检测：</w:t>
      </w:r>
    </w:p>
    <w:p>
      <w:pPr>
        <w:spacing w:line="360" w:lineRule="auto"/>
        <w:ind w:firstLine="440" w:firstLineChars="200"/>
        <w:rPr>
          <w:spacing w:val="5"/>
          <w:szCs w:val="21"/>
        </w:rPr>
      </w:pPr>
      <w:r>
        <w:rPr>
          <w:spacing w:val="5"/>
          <w:szCs w:val="21"/>
        </w:rPr>
        <w:t>a)</w:t>
      </w:r>
      <w:r>
        <w:t xml:space="preserve"> </w:t>
      </w:r>
      <w:r>
        <w:rPr>
          <w:rFonts w:hint="eastAsia"/>
          <w:spacing w:val="5"/>
          <w:szCs w:val="21"/>
        </w:rPr>
        <w:t>机械表计模组组装结构机箱后的智慧变电多物理量气体监测传感器</w:t>
      </w:r>
      <w:r>
        <w:rPr>
          <w:spacing w:val="5"/>
          <w:szCs w:val="21"/>
        </w:rPr>
        <w:t>与监测终端之间宜采用屏蔽电缆，必要时可采用集线器中继；</w:t>
      </w:r>
    </w:p>
    <w:p>
      <w:pPr>
        <w:spacing w:line="360" w:lineRule="auto"/>
        <w:ind w:firstLine="440" w:firstLineChars="200"/>
        <w:rPr>
          <w:spacing w:val="5"/>
          <w:szCs w:val="21"/>
        </w:rPr>
      </w:pPr>
      <w:r>
        <w:rPr>
          <w:spacing w:val="5"/>
          <w:szCs w:val="21"/>
        </w:rPr>
        <w:t>b) 应支持RS485，接口传输协议应采用Modbus协议，</w:t>
      </w:r>
      <w:r>
        <w:rPr>
          <w:rFonts w:hint="eastAsia"/>
          <w:spacing w:val="5"/>
          <w:szCs w:val="21"/>
        </w:rPr>
        <w:t>符合标准《南网电鸿-基于RS485实现设备即插即用通信方案》</w:t>
      </w:r>
      <w:r>
        <w:rPr>
          <w:spacing w:val="5"/>
          <w:szCs w:val="21"/>
        </w:rPr>
        <w:t>，具体通信规范应符合附录A所规定的要求。</w:t>
      </w:r>
    </w:p>
    <w:p>
      <w:pPr>
        <w:pStyle w:val="4"/>
        <w:rPr>
          <w:rFonts w:ascii="Times New Roman" w:hAnsi="Times New Roman"/>
          <w:b/>
          <w:bCs w:val="0"/>
          <w:sz w:val="21"/>
          <w:szCs w:val="21"/>
        </w:rPr>
      </w:pPr>
      <w:bookmarkStart w:id="122" w:name="_Toc925466693"/>
      <w:r>
        <w:rPr>
          <w:rFonts w:ascii="Times New Roman" w:hAnsi="Times New Roman"/>
          <w:b/>
          <w:bCs w:val="0"/>
          <w:sz w:val="21"/>
          <w:szCs w:val="21"/>
        </w:rPr>
        <w:t>通信</w:t>
      </w:r>
      <w:r>
        <w:rPr>
          <w:rFonts w:hint="eastAsia" w:ascii="Times New Roman" w:hAnsi="Times New Roman"/>
          <w:b/>
          <w:bCs w:val="0"/>
          <w:sz w:val="21"/>
          <w:szCs w:val="21"/>
        </w:rPr>
        <w:t>自恢复能力检测</w:t>
      </w:r>
      <w:bookmarkEnd w:id="122"/>
    </w:p>
    <w:p>
      <w:pPr>
        <w:spacing w:line="360" w:lineRule="auto"/>
        <w:ind w:firstLine="420"/>
      </w:pPr>
      <w:r>
        <w:rPr>
          <w:rFonts w:hint="eastAsia"/>
        </w:rPr>
        <w:t>装置具备通信恢复能力，当故障消除后，与主站中心无线安全接入区前置服务器或站内在线监测综合处理单元的网络通信应能自动恢复正常，信息传送正确。</w:t>
      </w:r>
    </w:p>
    <w:p>
      <w:pPr>
        <w:pStyle w:val="2"/>
      </w:pPr>
      <w:bookmarkStart w:id="123" w:name="_Toc1576445200"/>
      <w:r>
        <w:rPr>
          <w:rFonts w:hint="eastAsia"/>
        </w:rPr>
        <w:t>检验规则</w:t>
      </w:r>
      <w:bookmarkEnd w:id="123"/>
    </w:p>
    <w:bookmarkEnd w:id="102"/>
    <w:bookmarkEnd w:id="103"/>
    <w:bookmarkEnd w:id="104"/>
    <w:bookmarkEnd w:id="105"/>
    <w:bookmarkEnd w:id="106"/>
    <w:bookmarkEnd w:id="107"/>
    <w:p>
      <w:pPr>
        <w:spacing w:line="360" w:lineRule="auto"/>
        <w:ind w:firstLine="420" w:firstLineChars="200"/>
        <w:rPr>
          <w:szCs w:val="21"/>
        </w:rPr>
      </w:pPr>
      <w:r>
        <w:rPr>
          <w:szCs w:val="21"/>
        </w:rPr>
        <w:t>产品检验分出厂检验、交接试验</w:t>
      </w:r>
      <w:r>
        <w:rPr>
          <w:rFonts w:hint="eastAsia"/>
          <w:szCs w:val="21"/>
        </w:rPr>
        <w:t>。</w:t>
      </w:r>
      <w:r>
        <w:rPr>
          <w:szCs w:val="21"/>
        </w:rPr>
        <w:t>采购单位应对每套装置组织开展交接验收。检验项目按</w:t>
      </w:r>
      <w:r>
        <w:rPr>
          <w:rFonts w:hint="eastAsia"/>
          <w:szCs w:val="21"/>
        </w:rPr>
        <w:t>下表</w:t>
      </w:r>
      <w:r>
        <w:rPr>
          <w:szCs w:val="21"/>
        </w:rPr>
        <w:t>的规定进行。</w:t>
      </w:r>
    </w:p>
    <w:p>
      <w:pPr>
        <w:spacing w:line="360" w:lineRule="auto"/>
        <w:ind w:firstLine="420" w:firstLineChars="200"/>
        <w:rPr>
          <w:szCs w:val="21"/>
        </w:rPr>
      </w:pPr>
    </w:p>
    <w:p>
      <w:pPr>
        <w:spacing w:line="360" w:lineRule="auto"/>
        <w:ind w:firstLine="420" w:firstLineChars="200"/>
        <w:rPr>
          <w:szCs w:val="21"/>
        </w:rPr>
      </w:pPr>
    </w:p>
    <w:p>
      <w:pPr>
        <w:pStyle w:val="200"/>
        <w:numPr>
          <w:ilvl w:val="0"/>
          <w:numId w:val="7"/>
        </w:numPr>
        <w:ind w:firstLineChars="0"/>
        <w:jc w:val="center"/>
        <w:rPr>
          <w:szCs w:val="21"/>
        </w:rPr>
      </w:pPr>
      <w:r>
        <w:rPr>
          <w:szCs w:val="21"/>
        </w:rPr>
        <w:t>检验项目</w:t>
      </w:r>
    </w:p>
    <w:tbl>
      <w:tblPr>
        <w:tblStyle w:val="209"/>
        <w:tblW w:w="431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312"/>
        <w:gridCol w:w="720"/>
        <w:gridCol w:w="2216"/>
        <w:gridCol w:w="951"/>
        <w:gridCol w:w="920"/>
        <w:gridCol w:w="10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914" w:type="pc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pStyle w:val="208"/>
              <w:spacing w:before="71" w:line="360" w:lineRule="auto"/>
              <w:jc w:val="center"/>
              <w:rPr>
                <w:rFonts w:ascii="Times New Roman" w:hAnsi="Times New Roman" w:cs="Times New Roman"/>
              </w:rPr>
            </w:pPr>
            <w:r>
              <w:rPr>
                <w:rFonts w:ascii="Times New Roman" w:hAnsi="Times New Roman" w:cs="Times New Roman"/>
                <w:spacing w:val="-2"/>
              </w:rPr>
              <w:t>检测类别</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70" w:line="360" w:lineRule="auto"/>
              <w:jc w:val="center"/>
              <w:rPr>
                <w:rFonts w:ascii="Times New Roman" w:hAnsi="Times New Roman" w:cs="Times New Roman"/>
              </w:rPr>
            </w:pPr>
            <w:r>
              <w:rPr>
                <w:rFonts w:ascii="Times New Roman" w:hAnsi="Times New Roman" w:cs="Times New Roman"/>
                <w:spacing w:val="-4"/>
              </w:rPr>
              <w:t>序号</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71" w:line="360" w:lineRule="auto"/>
              <w:jc w:val="center"/>
              <w:rPr>
                <w:rFonts w:ascii="Times New Roman" w:hAnsi="Times New Roman" w:cs="Times New Roman"/>
              </w:rPr>
            </w:pPr>
            <w:r>
              <w:rPr>
                <w:rFonts w:ascii="Times New Roman" w:hAnsi="Times New Roman" w:cs="Times New Roman"/>
                <w:spacing w:val="-2"/>
              </w:rPr>
              <w:t>检测项目</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70" w:line="360" w:lineRule="auto"/>
              <w:jc w:val="center"/>
              <w:rPr>
                <w:rFonts w:ascii="Times New Roman" w:hAnsi="Times New Roman" w:cs="Times New Roman"/>
              </w:rPr>
            </w:pPr>
            <w:r>
              <w:rPr>
                <w:rFonts w:ascii="Times New Roman" w:hAnsi="Times New Roman" w:cs="Times New Roman"/>
                <w:spacing w:val="-2"/>
              </w:rPr>
              <w:t>试验要求</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70" w:line="360" w:lineRule="auto"/>
              <w:jc w:val="center"/>
              <w:rPr>
                <w:rFonts w:ascii="Times New Roman" w:hAnsi="Times New Roman" w:cs="Times New Roman"/>
              </w:rPr>
            </w:pPr>
            <w:r>
              <w:rPr>
                <w:rFonts w:ascii="Times New Roman" w:hAnsi="Times New Roman" w:cs="Times New Roman"/>
                <w:spacing w:val="-6"/>
              </w:rPr>
              <w:t>出厂试验</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70" w:line="360" w:lineRule="auto"/>
              <w:jc w:val="center"/>
              <w:rPr>
                <w:rFonts w:ascii="Times New Roman" w:hAnsi="Times New Roman" w:cs="Times New Roman"/>
              </w:rPr>
            </w:pPr>
            <w:r>
              <w:rPr>
                <w:rFonts w:ascii="Times New Roman" w:hAnsi="Times New Roman" w:cs="Times New Roman"/>
                <w:spacing w:val="-3"/>
              </w:rPr>
              <w:t>交接试验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vMerge w:val="restart"/>
            <w:tcBorders>
              <w:top w:val="single" w:color="000000" w:sz="4" w:space="0"/>
              <w:left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lang w:eastAsia="zh-CN"/>
              </w:rPr>
            </w:pPr>
            <w:r>
              <w:rPr>
                <w:rFonts w:ascii="Times New Roman" w:hAnsi="Times New Roman" w:cs="Times New Roman"/>
                <w:spacing w:val="-3"/>
              </w:rPr>
              <w:t>结构</w:t>
            </w:r>
            <w:r>
              <w:rPr>
                <w:rFonts w:hint="eastAsia" w:ascii="Times New Roman" w:hAnsi="Times New Roman" w:cs="Times New Roman"/>
                <w:spacing w:val="-3"/>
                <w:lang w:eastAsia="zh-CN"/>
              </w:rPr>
              <w:t>机箱</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1</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spacing w:val="-2"/>
              </w:rPr>
              <w:t>结构和外观检查</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5.3.3</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vMerge w:val="continue"/>
            <w:tcBorders>
              <w:left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spacing w:val="-3"/>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lang w:eastAsia="zh-CN"/>
              </w:rPr>
            </w:pPr>
            <w:r>
              <w:rPr>
                <w:rFonts w:hint="eastAsia" w:ascii="Times New Roman" w:hAnsi="Times New Roman" w:cs="Times New Roman"/>
                <w:lang w:eastAsia="zh-CN"/>
              </w:rPr>
              <w:t>2</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spacing w:val="-5"/>
              </w:rPr>
              <w:t>防尘试验</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spacing w:val="-4"/>
                <w:lang w:eastAsia="zh-CN"/>
              </w:rPr>
            </w:pPr>
            <w:r>
              <w:rPr>
                <w:rFonts w:hint="eastAsia" w:ascii="Times New Roman" w:hAnsi="Times New Roman" w:cs="Times New Roman"/>
                <w:spacing w:val="-4"/>
                <w:lang w:eastAsia="zh-CN"/>
              </w:rPr>
              <w:t>5.3.3</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vMerge w:val="continue"/>
            <w:tcBorders>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spacing w:val="-3"/>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lang w:eastAsia="zh-CN"/>
              </w:rPr>
            </w:pPr>
            <w:r>
              <w:rPr>
                <w:rFonts w:hint="eastAsia" w:ascii="Times New Roman" w:hAnsi="Times New Roman" w:cs="Times New Roman"/>
                <w:lang w:eastAsia="zh-CN"/>
              </w:rPr>
              <w:t>3</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spacing w:val="-5"/>
              </w:rPr>
              <w:t>防水试验</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spacing w:val="-4"/>
                <w:lang w:eastAsia="zh-CN"/>
              </w:rPr>
            </w:pPr>
            <w:r>
              <w:rPr>
                <w:rFonts w:hint="eastAsia" w:ascii="Times New Roman" w:hAnsi="Times New Roman" w:cs="Times New Roman"/>
                <w:spacing w:val="-4"/>
                <w:lang w:eastAsia="zh-CN"/>
              </w:rPr>
              <w:t>5.3.3</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rPr>
            </w:pPr>
            <w:r>
              <w:rPr>
                <w:rFonts w:ascii="Times New Roman" w:hAnsi="Times New Roman" w:cs="Times New Roma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spacing w:val="-2"/>
              </w:rPr>
              <w:t>基本功能</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lang w:eastAsia="zh-CN"/>
              </w:rPr>
            </w:pPr>
            <w:r>
              <w:rPr>
                <w:rFonts w:hint="eastAsia" w:ascii="Times New Roman" w:hAnsi="Times New Roman" w:cs="Times New Roman"/>
                <w:lang w:eastAsia="zh-CN"/>
              </w:rPr>
              <w:t>4</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spacing w:val="-2"/>
              </w:rPr>
              <w:t>基本功能检验</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hint="eastAsia" w:ascii="Times New Roman" w:hAnsi="Times New Roman" w:cs="Times New Roman"/>
                <w:spacing w:val="-4"/>
                <w:lang w:eastAsia="zh-CN"/>
              </w:rPr>
              <w:t>6</w:t>
            </w:r>
            <w:r>
              <w:rPr>
                <w:rFonts w:ascii="Times New Roman" w:hAnsi="Times New Roman" w:cs="Times New Roman"/>
                <w:spacing w:val="-4"/>
              </w:rPr>
              <w:t>.3</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91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58" w:line="360" w:lineRule="auto"/>
              <w:jc w:val="center"/>
              <w:rPr>
                <w:rFonts w:ascii="Times New Roman" w:hAnsi="Times New Roman" w:cs="Times New Roman"/>
              </w:rPr>
            </w:pPr>
            <w:r>
              <w:rPr>
                <w:rFonts w:ascii="Times New Roman" w:hAnsi="Times New Roman" w:cs="Times New Roman"/>
                <w:spacing w:val="-2"/>
              </w:rPr>
              <w:t>专项性能</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222" w:line="360" w:lineRule="auto"/>
              <w:jc w:val="center"/>
              <w:rPr>
                <w:rFonts w:ascii="Times New Roman" w:hAnsi="Times New Roman" w:cs="Times New Roman"/>
                <w:lang w:eastAsia="zh-CN"/>
              </w:rPr>
            </w:pPr>
            <w:r>
              <w:rPr>
                <w:rFonts w:hint="eastAsia" w:ascii="Times New Roman" w:hAnsi="Times New Roman" w:cs="Times New Roman"/>
                <w:lang w:eastAsia="zh-CN"/>
              </w:rPr>
              <w:t>5</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7" w:line="360" w:lineRule="auto"/>
              <w:jc w:val="center"/>
              <w:rPr>
                <w:rFonts w:ascii="Times New Roman" w:hAnsi="Times New Roman" w:cs="Times New Roman"/>
                <w:lang w:eastAsia="zh-CN"/>
              </w:rPr>
            </w:pPr>
            <w:r>
              <w:rPr>
                <w:rFonts w:hint="eastAsia" w:ascii="Times New Roman" w:hAnsi="Times New Roman" w:cs="Times New Roman"/>
                <w:spacing w:val="-1"/>
                <w:lang w:eastAsia="zh-CN"/>
              </w:rPr>
              <w:t>机械表计模组</w:t>
            </w:r>
            <w:r>
              <w:rPr>
                <w:rFonts w:ascii="Times New Roman" w:hAnsi="Times New Roman" w:cs="Times New Roman"/>
                <w:spacing w:val="-1"/>
                <w:lang w:eastAsia="zh-CN"/>
              </w:rPr>
              <w:t>测量误差</w:t>
            </w:r>
            <w:r>
              <w:rPr>
                <w:rFonts w:ascii="Times New Roman" w:hAnsi="Times New Roman" w:cs="Times New Roman"/>
                <w:spacing w:val="-4"/>
                <w:lang w:eastAsia="zh-CN"/>
              </w:rPr>
              <w:t>试验</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222" w:line="360" w:lineRule="auto"/>
              <w:jc w:val="center"/>
              <w:rPr>
                <w:rFonts w:ascii="Times New Roman" w:hAnsi="Times New Roman" w:cs="Times New Roman"/>
              </w:rPr>
            </w:pPr>
            <w:r>
              <w:rPr>
                <w:rFonts w:hint="eastAsia" w:ascii="Times New Roman" w:hAnsi="Times New Roman" w:cs="Times New Roman"/>
                <w:spacing w:val="-4"/>
                <w:lang w:eastAsia="zh-CN"/>
              </w:rPr>
              <w:t>6.3.1.1</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222"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222" w:line="360" w:lineRule="auto"/>
              <w:jc w:val="center"/>
              <w:rPr>
                <w:rFonts w:ascii="Times New Roman" w:hAnsi="Times New Roman" w:cs="Times New Roman"/>
              </w:rPr>
            </w:pPr>
            <w:r>
              <w:rPr>
                <w:rFonts w:ascii="Times New Roman" w:hAnsi="Times New Roman" w:cs="Times New Roman"/>
                <w:position w:val="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360" w:lineRule="auto"/>
              <w:jc w:val="center"/>
              <w:rPr>
                <w:sz w:val="18"/>
                <w:szCs w:val="18"/>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6" w:line="360" w:lineRule="auto"/>
              <w:jc w:val="center"/>
              <w:rPr>
                <w:rFonts w:ascii="Times New Roman" w:hAnsi="Times New Roman" w:cs="Times New Roman"/>
                <w:lang w:eastAsia="zh-CN"/>
              </w:rPr>
            </w:pPr>
            <w:r>
              <w:rPr>
                <w:rFonts w:hint="eastAsia" w:ascii="Times New Roman" w:hAnsi="Times New Roman" w:cs="Times New Roman"/>
                <w:spacing w:val="-10"/>
                <w:lang w:eastAsia="zh-CN"/>
              </w:rPr>
              <w:t>6</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7" w:line="360" w:lineRule="auto"/>
              <w:jc w:val="center"/>
              <w:rPr>
                <w:rFonts w:ascii="Times New Roman" w:hAnsi="Times New Roman" w:cs="Times New Roman"/>
                <w:lang w:eastAsia="zh-CN"/>
              </w:rPr>
            </w:pPr>
            <w:r>
              <w:rPr>
                <w:rFonts w:hint="eastAsia" w:ascii="Times New Roman" w:hAnsi="Times New Roman" w:cs="Times New Roman"/>
                <w:spacing w:val="-1"/>
                <w:lang w:eastAsia="zh-CN"/>
              </w:rPr>
              <w:t>现场显示与远传数据一致性</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7"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6.3.1.2</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7"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7" w:line="360" w:lineRule="auto"/>
              <w:jc w:val="center"/>
              <w:rPr>
                <w:rFonts w:ascii="Times New Roman" w:hAnsi="Times New Roman" w:cs="Times New Roman"/>
              </w:rPr>
            </w:pPr>
            <w:r>
              <w:rPr>
                <w:rFonts w:ascii="Times New Roman" w:hAnsi="Times New Roman" w:cs="Times New Roman"/>
                <w:position w:val="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360" w:lineRule="auto"/>
              <w:jc w:val="center"/>
              <w:rPr>
                <w:sz w:val="18"/>
                <w:szCs w:val="18"/>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7</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lang w:eastAsia="zh-CN"/>
              </w:rPr>
            </w:pPr>
            <w:r>
              <w:rPr>
                <w:rFonts w:hint="eastAsia" w:ascii="Times New Roman" w:hAnsi="Times New Roman" w:cs="Times New Roman"/>
                <w:spacing w:val="-13"/>
                <w:lang w:eastAsia="zh-CN"/>
              </w:rPr>
              <w:t>微水传感模组测量误差试验</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6.3.2.1</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rPr>
            </w:pPr>
            <w:r>
              <w:rPr>
                <w:rFonts w:ascii="Times New Roman" w:hAnsi="Times New Roman" w:cs="Times New Roman"/>
                <w:position w:val="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1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360" w:lineRule="auto"/>
              <w:jc w:val="center"/>
              <w:rPr>
                <w:sz w:val="18"/>
                <w:szCs w:val="18"/>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8</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lang w:eastAsia="zh-CN"/>
              </w:rPr>
            </w:pPr>
            <w:r>
              <w:rPr>
                <w:rFonts w:hint="eastAsia" w:ascii="Times New Roman" w:hAnsi="Times New Roman" w:cs="Times New Roman"/>
                <w:spacing w:val="-13"/>
                <w:lang w:eastAsia="zh-CN"/>
              </w:rPr>
              <w:t>微水传感模组测量重复性试验</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6.3.2.2</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rPr>
            </w:pPr>
            <w:r>
              <w:rPr>
                <w:rFonts w:ascii="Times New Roman" w:hAnsi="Times New Roman" w:cs="Times New Roma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91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360" w:lineRule="auto"/>
              <w:jc w:val="center"/>
              <w:rPr>
                <w:sz w:val="18"/>
                <w:szCs w:val="18"/>
              </w:rPr>
            </w:pPr>
          </w:p>
        </w:tc>
        <w:tc>
          <w:tcPr>
            <w:tcW w:w="502" w:type="pct"/>
            <w:tcBorders>
              <w:top w:val="single" w:color="000000" w:sz="4" w:space="0"/>
              <w:left w:val="single" w:color="000000" w:sz="4" w:space="0"/>
              <w:right w:val="single" w:color="000000" w:sz="4" w:space="0"/>
            </w:tcBorders>
            <w:shd w:val="clear" w:color="auto" w:fill="FFFFFF"/>
            <w:vAlign w:val="center"/>
          </w:tcPr>
          <w:p>
            <w:pPr>
              <w:pStyle w:val="208"/>
              <w:spacing w:before="71"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9</w:t>
            </w:r>
          </w:p>
        </w:tc>
        <w:tc>
          <w:tcPr>
            <w:tcW w:w="1544" w:type="pct"/>
            <w:tcBorders>
              <w:top w:val="single" w:color="000000" w:sz="4" w:space="0"/>
              <w:left w:val="single" w:color="000000" w:sz="4" w:space="0"/>
              <w:right w:val="single" w:color="000000" w:sz="4" w:space="0"/>
            </w:tcBorders>
            <w:shd w:val="clear" w:color="auto" w:fill="FFFFFF"/>
            <w:vAlign w:val="center"/>
          </w:tcPr>
          <w:p>
            <w:pPr>
              <w:pStyle w:val="208"/>
              <w:spacing w:before="71" w:line="360" w:lineRule="auto"/>
              <w:jc w:val="center"/>
              <w:rPr>
                <w:rFonts w:ascii="Times New Roman" w:hAnsi="Times New Roman" w:cs="Times New Roman"/>
              </w:rPr>
            </w:pPr>
            <w:r>
              <w:rPr>
                <w:rFonts w:ascii="Times New Roman" w:hAnsi="Times New Roman" w:cs="Times New Roman"/>
                <w:spacing w:val="-2"/>
              </w:rPr>
              <w:t>密封性试验</w:t>
            </w:r>
          </w:p>
        </w:tc>
        <w:tc>
          <w:tcPr>
            <w:tcW w:w="663" w:type="pct"/>
            <w:tcBorders>
              <w:top w:val="single" w:color="000000" w:sz="4" w:space="0"/>
              <w:left w:val="single" w:color="000000" w:sz="4" w:space="0"/>
              <w:right w:val="single" w:color="000000" w:sz="4" w:space="0"/>
            </w:tcBorders>
            <w:shd w:val="clear" w:color="auto" w:fill="FFFFFF"/>
            <w:vAlign w:val="center"/>
          </w:tcPr>
          <w:p>
            <w:pPr>
              <w:pStyle w:val="208"/>
              <w:spacing w:before="71" w:line="360" w:lineRule="auto"/>
              <w:jc w:val="center"/>
              <w:rPr>
                <w:rFonts w:ascii="Times New Roman" w:hAnsi="Times New Roman" w:cs="Times New Roman"/>
                <w:lang w:eastAsia="zh-CN"/>
              </w:rPr>
            </w:pPr>
            <w:r>
              <w:rPr>
                <w:rFonts w:hint="eastAsia" w:ascii="Times New Roman" w:hAnsi="Times New Roman" w:cs="Times New Roman"/>
                <w:spacing w:val="-4"/>
                <w:lang w:eastAsia="zh-CN"/>
              </w:rPr>
              <w:t>6.3.3</w:t>
            </w:r>
          </w:p>
        </w:tc>
        <w:tc>
          <w:tcPr>
            <w:tcW w:w="641" w:type="pct"/>
            <w:tcBorders>
              <w:top w:val="single" w:color="000000" w:sz="4" w:space="0"/>
              <w:left w:val="single" w:color="000000" w:sz="4" w:space="0"/>
              <w:right w:val="single" w:color="000000" w:sz="4" w:space="0"/>
            </w:tcBorders>
            <w:shd w:val="clear" w:color="auto" w:fill="FFFFFF"/>
            <w:vAlign w:val="center"/>
          </w:tcPr>
          <w:p>
            <w:pPr>
              <w:pStyle w:val="208"/>
              <w:spacing w:before="71" w:line="360" w:lineRule="auto"/>
              <w:jc w:val="center"/>
              <w:rPr>
                <w:rFonts w:ascii="Times New Roman" w:hAnsi="Times New Roman" w:cs="Times New Roman"/>
              </w:rPr>
            </w:pPr>
            <w:r>
              <w:rPr>
                <w:rFonts w:ascii="Times New Roman" w:hAnsi="Times New Roman" w:cs="Times New Roman"/>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71" w:line="360" w:lineRule="auto"/>
              <w:jc w:val="center"/>
              <w:rPr>
                <w:rFonts w:ascii="Times New Roman" w:hAnsi="Times New Roman" w:cs="Times New Roman"/>
              </w:rPr>
            </w:pPr>
            <w:r>
              <w:rPr>
                <w:rFonts w:ascii="Times New Roman" w:hAnsi="Times New Roman" w:cs="Times New Roma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9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229" w:line="360" w:lineRule="auto"/>
              <w:jc w:val="center"/>
              <w:rPr>
                <w:rFonts w:ascii="Times New Roman" w:hAnsi="Times New Roman" w:cs="Times New Roman"/>
                <w:snapToGrid w:val="0"/>
                <w:color w:val="000000"/>
                <w:kern w:val="0"/>
                <w:lang w:eastAsia="zh-CN"/>
              </w:rPr>
            </w:pPr>
            <w:r>
              <w:rPr>
                <w:rFonts w:ascii="Times New Roman" w:hAnsi="Times New Roman" w:cs="Times New Roman"/>
                <w:spacing w:val="-2"/>
              </w:rPr>
              <w:t>通信协议</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snapToGrid w:val="0"/>
                <w:color w:val="000000"/>
                <w:kern w:val="0"/>
                <w:lang w:eastAsia="zh-CN"/>
              </w:rPr>
            </w:pPr>
            <w:r>
              <w:rPr>
                <w:rFonts w:hint="eastAsia" w:ascii="Times New Roman" w:hAnsi="Times New Roman" w:cs="Times New Roman"/>
                <w:spacing w:val="-4"/>
                <w:lang w:eastAsia="zh-CN"/>
              </w:rPr>
              <w:t>10</w:t>
            </w:r>
          </w:p>
        </w:tc>
        <w:tc>
          <w:tcPr>
            <w:tcW w:w="15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snapToGrid w:val="0"/>
                <w:color w:val="000000"/>
                <w:kern w:val="0"/>
              </w:rPr>
            </w:pPr>
            <w:r>
              <w:rPr>
                <w:rFonts w:ascii="Times New Roman" w:hAnsi="Times New Roman" w:cs="Times New Roman"/>
                <w:spacing w:val="-1"/>
              </w:rPr>
              <w:t>有线通信协议检测</w:t>
            </w:r>
          </w:p>
        </w:tc>
        <w:tc>
          <w:tcPr>
            <w:tcW w:w="6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snapToGrid w:val="0"/>
                <w:color w:val="000000"/>
                <w:kern w:val="0"/>
                <w:lang w:eastAsia="zh-CN"/>
              </w:rPr>
            </w:pPr>
            <w:r>
              <w:rPr>
                <w:rFonts w:hint="eastAsia" w:ascii="Times New Roman" w:hAnsi="Times New Roman" w:cs="Times New Roman"/>
                <w:snapToGrid w:val="0"/>
                <w:color w:val="000000"/>
                <w:kern w:val="0"/>
                <w:lang w:eastAsia="zh-CN"/>
              </w:rPr>
              <w:t>6</w:t>
            </w:r>
            <w:r>
              <w:rPr>
                <w:rFonts w:ascii="Times New Roman" w:hAnsi="Times New Roman" w:cs="Times New Roman"/>
                <w:snapToGrid w:val="0"/>
                <w:color w:val="000000"/>
                <w:kern w:val="0"/>
                <w:lang w:eastAsia="zh-CN"/>
              </w:rPr>
              <w:t>.</w:t>
            </w:r>
            <w:r>
              <w:rPr>
                <w:rFonts w:hint="eastAsia" w:ascii="Times New Roman" w:hAnsi="Times New Roman" w:cs="Times New Roman"/>
                <w:snapToGrid w:val="0"/>
                <w:color w:val="000000"/>
                <w:kern w:val="0"/>
                <w:lang w:eastAsia="zh-CN"/>
              </w:rPr>
              <w:t>4.1</w:t>
            </w:r>
          </w:p>
        </w:tc>
        <w:tc>
          <w:tcPr>
            <w:tcW w:w="6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9" w:line="360" w:lineRule="auto"/>
              <w:jc w:val="center"/>
              <w:rPr>
                <w:rFonts w:ascii="Times New Roman" w:hAnsi="Times New Roman" w:cs="Times New Roman"/>
                <w:snapToGrid w:val="0"/>
                <w:color w:val="000000"/>
                <w:kern w:val="0"/>
              </w:rPr>
            </w:pPr>
            <w:r>
              <w:rPr>
                <w:rFonts w:ascii="Cambria Math" w:hAnsi="Cambria Math" w:cs="Cambria Math"/>
              </w:rPr>
              <w:t>◆</w:t>
            </w:r>
          </w:p>
        </w:tc>
        <w:tc>
          <w:tcPr>
            <w:tcW w:w="7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08"/>
              <w:spacing w:before="68" w:line="360" w:lineRule="auto"/>
              <w:jc w:val="center"/>
              <w:rPr>
                <w:rFonts w:ascii="Times New Roman" w:hAnsi="Times New Roman" w:cs="Times New Roman"/>
                <w:snapToGrid w:val="0"/>
                <w:color w:val="000000"/>
                <w:kern w:val="0"/>
              </w:rPr>
            </w:pPr>
            <w:r>
              <w:rPr>
                <w:rFonts w:ascii="Times New Roman" w:hAnsi="Times New Roman" w:cs="Times New Roman"/>
                <w:position w:val="1"/>
              </w:rPr>
              <w:t>*</w:t>
            </w:r>
          </w:p>
        </w:tc>
      </w:tr>
    </w:tbl>
    <w:p>
      <w:pPr>
        <w:pStyle w:val="3"/>
        <w:rPr>
          <w:rFonts w:ascii="Times New Roman" w:hAnsi="Times New Roman"/>
          <w:b/>
          <w:bCs w:val="0"/>
          <w:sz w:val="21"/>
          <w:szCs w:val="21"/>
        </w:rPr>
      </w:pPr>
      <w:bookmarkStart w:id="124" w:name="_Toc3190"/>
      <w:bookmarkStart w:id="125" w:name="_Toc1421736948"/>
      <w:r>
        <w:rPr>
          <w:rFonts w:ascii="Times New Roman" w:hAnsi="Times New Roman"/>
          <w:b/>
          <w:bCs w:val="0"/>
          <w:sz w:val="21"/>
          <w:szCs w:val="21"/>
        </w:rPr>
        <w:t>出厂试验</w:t>
      </w:r>
      <w:bookmarkEnd w:id="124"/>
      <w:bookmarkEnd w:id="125"/>
    </w:p>
    <w:p>
      <w:pPr>
        <w:spacing w:line="360" w:lineRule="auto"/>
        <w:ind w:firstLine="420" w:firstLineChars="200"/>
        <w:rPr>
          <w:b/>
          <w:szCs w:val="21"/>
        </w:rPr>
      </w:pPr>
      <w:r>
        <w:rPr>
          <w:szCs w:val="21"/>
        </w:rPr>
        <w:t>出厂试验是为了发现产品所用材料和制造中的缺陷，它不应损伤产品的性能和可靠性。每块表计出厂前应在正常试验条件下逐个按规定进行出厂试验，试验合格后，附有合格证及试验报告，方可允许出厂。</w:t>
      </w:r>
    </w:p>
    <w:p>
      <w:pPr>
        <w:pStyle w:val="3"/>
        <w:rPr>
          <w:rFonts w:ascii="Times New Roman" w:hAnsi="Times New Roman"/>
          <w:b/>
          <w:bCs w:val="0"/>
          <w:sz w:val="21"/>
          <w:szCs w:val="21"/>
        </w:rPr>
      </w:pPr>
      <w:bookmarkStart w:id="126" w:name="_Toc215126541"/>
      <w:bookmarkStart w:id="127" w:name="_Toc10954"/>
      <w:r>
        <w:rPr>
          <w:rFonts w:ascii="Times New Roman" w:hAnsi="Times New Roman"/>
          <w:b/>
          <w:bCs w:val="0"/>
          <w:sz w:val="21"/>
          <w:szCs w:val="21"/>
        </w:rPr>
        <w:t>交接试验</w:t>
      </w:r>
      <w:bookmarkEnd w:id="126"/>
      <w:bookmarkEnd w:id="127"/>
    </w:p>
    <w:p>
      <w:pPr>
        <w:spacing w:line="360" w:lineRule="auto"/>
        <w:ind w:firstLine="420" w:firstLineChars="200"/>
        <w:rPr>
          <w:szCs w:val="21"/>
        </w:rPr>
      </w:pPr>
      <w:r>
        <w:rPr>
          <w:szCs w:val="21"/>
        </w:rPr>
        <w:t>设备应进行现场交接试验和功能验收。交接试验和功能验收是为了确认设备经过运输、储存、现场安装和/或调整等过程后是否存在损坏、各个单元的兼容性、装配是否正确。委托生产设备应附带完整、标识清晰的包装及配件、文档，满足用户直接使用需求。</w:t>
      </w:r>
      <w:bookmarkEnd w:id="0"/>
      <w:bookmarkEnd w:id="90"/>
      <w:bookmarkEnd w:id="91"/>
      <w:bookmarkEnd w:id="92"/>
      <w:bookmarkStart w:id="128" w:name="_Toc279695207"/>
      <w:bookmarkStart w:id="129" w:name="_Toc276490917"/>
      <w:bookmarkStart w:id="130" w:name="_Toc276492435"/>
    </w:p>
    <w:p>
      <w:pPr>
        <w:pStyle w:val="2"/>
      </w:pPr>
      <w:bookmarkStart w:id="131" w:name="_Toc79155071"/>
      <w:bookmarkStart w:id="132" w:name="_Toc79156676"/>
      <w:bookmarkStart w:id="133" w:name="_Toc6735984"/>
      <w:bookmarkStart w:id="134" w:name="_Toc1847147144"/>
      <w:bookmarkStart w:id="135" w:name="_Toc11130"/>
      <w:r>
        <w:t>标志、包装、运输、安装</w:t>
      </w:r>
      <w:bookmarkEnd w:id="128"/>
      <w:bookmarkEnd w:id="129"/>
      <w:bookmarkEnd w:id="130"/>
      <w:r>
        <w:t>及质量保证、支持服务</w:t>
      </w:r>
      <w:bookmarkEnd w:id="131"/>
      <w:bookmarkEnd w:id="132"/>
      <w:bookmarkEnd w:id="133"/>
      <w:bookmarkEnd w:id="134"/>
      <w:bookmarkEnd w:id="135"/>
    </w:p>
    <w:p>
      <w:pPr>
        <w:pStyle w:val="3"/>
        <w:rPr>
          <w:rFonts w:ascii="Times New Roman" w:hAnsi="Times New Roman"/>
          <w:b/>
          <w:bCs w:val="0"/>
          <w:sz w:val="21"/>
          <w:szCs w:val="21"/>
        </w:rPr>
      </w:pPr>
      <w:bookmarkStart w:id="136" w:name="_Toc276301528"/>
      <w:bookmarkStart w:id="137" w:name="_Toc276492436"/>
      <w:bookmarkStart w:id="138" w:name="_Toc200531202"/>
      <w:bookmarkStart w:id="139" w:name="_Toc53672785"/>
      <w:bookmarkStart w:id="140" w:name="_Toc472997247"/>
      <w:bookmarkStart w:id="141" w:name="_Toc471528253"/>
      <w:bookmarkStart w:id="142" w:name="_Toc6735985"/>
      <w:bookmarkStart w:id="143" w:name="_Toc276490918"/>
      <w:bookmarkStart w:id="144" w:name="_Toc17164"/>
      <w:bookmarkStart w:id="145" w:name="_Toc80113171"/>
      <w:bookmarkStart w:id="146" w:name="_Toc149927226"/>
      <w:bookmarkStart w:id="147" w:name="_Toc1474"/>
      <w:bookmarkStart w:id="148" w:name="_Toc279695209"/>
      <w:r>
        <w:rPr>
          <w:rFonts w:ascii="Times New Roman" w:hAnsi="Times New Roman"/>
          <w:b/>
          <w:bCs w:val="0"/>
          <w:sz w:val="21"/>
          <w:szCs w:val="21"/>
        </w:rPr>
        <w:t>标志</w:t>
      </w:r>
      <w:bookmarkEnd w:id="136"/>
      <w:bookmarkEnd w:id="137"/>
      <w:bookmarkEnd w:id="138"/>
      <w:bookmarkEnd w:id="139"/>
      <w:bookmarkEnd w:id="140"/>
      <w:bookmarkEnd w:id="141"/>
      <w:bookmarkEnd w:id="142"/>
      <w:bookmarkEnd w:id="143"/>
      <w:bookmarkEnd w:id="144"/>
      <w:bookmarkEnd w:id="145"/>
      <w:bookmarkEnd w:id="146"/>
      <w:bookmarkEnd w:id="147"/>
      <w:bookmarkEnd w:id="148"/>
    </w:p>
    <w:p>
      <w:pPr>
        <w:pStyle w:val="4"/>
        <w:rPr>
          <w:rFonts w:ascii="Times New Roman" w:hAnsi="Times New Roman"/>
          <w:b/>
          <w:bCs w:val="0"/>
          <w:sz w:val="21"/>
          <w:szCs w:val="21"/>
        </w:rPr>
      </w:pPr>
      <w:bookmarkStart w:id="149" w:name="_Toc22868"/>
      <w:bookmarkStart w:id="150" w:name="_Toc1052393"/>
      <w:bookmarkStart w:id="151" w:name="_Toc276301529"/>
      <w:bookmarkStart w:id="152" w:name="_Toc276490919"/>
      <w:bookmarkStart w:id="153" w:name="_Toc276492437"/>
      <w:r>
        <w:rPr>
          <w:rFonts w:ascii="Times New Roman" w:hAnsi="Times New Roman"/>
          <w:b/>
          <w:bCs w:val="0"/>
          <w:sz w:val="21"/>
          <w:szCs w:val="21"/>
        </w:rPr>
        <w:t>铭牌</w:t>
      </w:r>
      <w:bookmarkEnd w:id="149"/>
      <w:bookmarkEnd w:id="150"/>
    </w:p>
    <w:p>
      <w:pPr>
        <w:pStyle w:val="90"/>
        <w:adjustRightInd w:val="0"/>
        <w:snapToGrid w:val="0"/>
        <w:spacing w:line="360" w:lineRule="auto"/>
        <w:rPr>
          <w:rFonts w:eastAsia="宋体" w:cs="Times New Roman"/>
          <w:szCs w:val="21"/>
        </w:rPr>
      </w:pPr>
      <w:r>
        <w:rPr>
          <w:rFonts w:eastAsia="宋体" w:cs="Times New Roman"/>
          <w:szCs w:val="21"/>
        </w:rPr>
        <w:t>每块产品应有明晰的铭牌，铭牌内容如下：</w:t>
      </w:r>
    </w:p>
    <w:p>
      <w:pPr>
        <w:pStyle w:val="90"/>
        <w:adjustRightInd w:val="0"/>
        <w:snapToGrid w:val="0"/>
        <w:spacing w:line="360" w:lineRule="auto"/>
        <w:rPr>
          <w:rFonts w:eastAsia="宋体" w:cs="Times New Roman"/>
          <w:szCs w:val="21"/>
        </w:rPr>
      </w:pPr>
      <w:r>
        <w:rPr>
          <w:rFonts w:eastAsia="宋体" w:cs="Times New Roman"/>
          <w:szCs w:val="21"/>
        </w:rPr>
        <w:t>a)装置型号；</w:t>
      </w:r>
    </w:p>
    <w:p>
      <w:pPr>
        <w:pStyle w:val="90"/>
        <w:adjustRightInd w:val="0"/>
        <w:snapToGrid w:val="0"/>
        <w:spacing w:line="360" w:lineRule="auto"/>
        <w:rPr>
          <w:rFonts w:eastAsia="宋体" w:cs="Times New Roman"/>
          <w:szCs w:val="21"/>
        </w:rPr>
      </w:pPr>
      <w:r>
        <w:rPr>
          <w:rFonts w:eastAsia="宋体" w:cs="Times New Roman"/>
          <w:szCs w:val="21"/>
        </w:rPr>
        <w:t>b)装置全称；</w:t>
      </w:r>
    </w:p>
    <w:p>
      <w:pPr>
        <w:pStyle w:val="90"/>
        <w:adjustRightInd w:val="0"/>
        <w:snapToGrid w:val="0"/>
        <w:spacing w:line="360" w:lineRule="auto"/>
        <w:rPr>
          <w:rFonts w:eastAsia="宋体" w:cs="Times New Roman"/>
          <w:szCs w:val="21"/>
        </w:rPr>
      </w:pPr>
      <w:r>
        <w:rPr>
          <w:rFonts w:eastAsia="宋体" w:cs="Times New Roman"/>
          <w:szCs w:val="21"/>
        </w:rPr>
        <w:t>c)制造厂名称；</w:t>
      </w:r>
    </w:p>
    <w:p>
      <w:pPr>
        <w:pStyle w:val="90"/>
        <w:adjustRightInd w:val="0"/>
        <w:snapToGrid w:val="0"/>
        <w:spacing w:line="360" w:lineRule="auto"/>
        <w:rPr>
          <w:rFonts w:eastAsia="宋体" w:cs="Times New Roman"/>
          <w:szCs w:val="21"/>
        </w:rPr>
      </w:pPr>
      <w:r>
        <w:rPr>
          <w:rFonts w:eastAsia="宋体" w:cs="Times New Roman"/>
          <w:szCs w:val="21"/>
        </w:rPr>
        <w:t>d)监测参数；</w:t>
      </w:r>
    </w:p>
    <w:p>
      <w:pPr>
        <w:pStyle w:val="90"/>
        <w:adjustRightInd w:val="0"/>
        <w:snapToGrid w:val="0"/>
        <w:spacing w:line="360" w:lineRule="auto"/>
        <w:rPr>
          <w:rFonts w:eastAsia="宋体" w:cs="Times New Roman"/>
          <w:szCs w:val="21"/>
        </w:rPr>
      </w:pPr>
      <w:r>
        <w:rPr>
          <w:rFonts w:eastAsia="宋体" w:cs="Times New Roman"/>
          <w:szCs w:val="21"/>
        </w:rPr>
        <w:t>e)唯一身份代码或实物ID码；</w:t>
      </w:r>
    </w:p>
    <w:p>
      <w:pPr>
        <w:pStyle w:val="90"/>
        <w:adjustRightInd w:val="0"/>
        <w:snapToGrid w:val="0"/>
        <w:spacing w:line="360" w:lineRule="auto"/>
        <w:rPr>
          <w:rFonts w:eastAsia="宋体" w:cs="Times New Roman"/>
          <w:szCs w:val="21"/>
        </w:rPr>
      </w:pPr>
      <w:r>
        <w:rPr>
          <w:rFonts w:eastAsia="宋体" w:cs="Times New Roman"/>
          <w:szCs w:val="21"/>
        </w:rPr>
        <w:t>f)出厂日期；</w:t>
      </w:r>
    </w:p>
    <w:p>
      <w:pPr>
        <w:pStyle w:val="90"/>
        <w:adjustRightInd w:val="0"/>
        <w:snapToGrid w:val="0"/>
        <w:spacing w:line="360" w:lineRule="auto"/>
        <w:rPr>
          <w:rFonts w:eastAsia="宋体" w:cs="Times New Roman"/>
          <w:szCs w:val="21"/>
        </w:rPr>
      </w:pPr>
      <w:r>
        <w:rPr>
          <w:rFonts w:eastAsia="宋体" w:cs="Times New Roman"/>
          <w:szCs w:val="21"/>
        </w:rPr>
        <w:t>g)出厂编号/序列号。</w:t>
      </w:r>
    </w:p>
    <w:p>
      <w:pPr>
        <w:pStyle w:val="4"/>
        <w:rPr>
          <w:rFonts w:ascii="Times New Roman" w:hAnsi="Times New Roman"/>
          <w:b/>
          <w:bCs w:val="0"/>
          <w:sz w:val="21"/>
          <w:szCs w:val="21"/>
        </w:rPr>
      </w:pPr>
      <w:bookmarkStart w:id="154" w:name="_Toc1662782983"/>
      <w:bookmarkStart w:id="155" w:name="_Toc4367"/>
      <w:r>
        <w:rPr>
          <w:rFonts w:ascii="Times New Roman" w:hAnsi="Times New Roman"/>
          <w:b/>
          <w:bCs w:val="0"/>
          <w:sz w:val="21"/>
          <w:szCs w:val="21"/>
        </w:rPr>
        <w:t>包装标志</w:t>
      </w:r>
      <w:bookmarkEnd w:id="154"/>
      <w:bookmarkEnd w:id="155"/>
    </w:p>
    <w:p>
      <w:pPr>
        <w:pStyle w:val="90"/>
        <w:adjustRightInd w:val="0"/>
        <w:snapToGrid w:val="0"/>
        <w:spacing w:line="360" w:lineRule="auto"/>
        <w:rPr>
          <w:rFonts w:eastAsia="宋体" w:cs="Times New Roman"/>
          <w:szCs w:val="21"/>
        </w:rPr>
      </w:pPr>
      <w:r>
        <w:rPr>
          <w:rFonts w:eastAsia="宋体" w:cs="Times New Roman"/>
          <w:szCs w:val="21"/>
        </w:rPr>
        <w:t>在包装箱的适当位置，应标有显著、牢固的包装标志，内容包括：</w:t>
      </w:r>
    </w:p>
    <w:p>
      <w:pPr>
        <w:pStyle w:val="90"/>
        <w:adjustRightInd w:val="0"/>
        <w:snapToGrid w:val="0"/>
        <w:spacing w:line="360" w:lineRule="auto"/>
        <w:rPr>
          <w:rFonts w:eastAsia="宋体" w:cs="Times New Roman"/>
          <w:szCs w:val="21"/>
        </w:rPr>
      </w:pPr>
      <w:r>
        <w:rPr>
          <w:rFonts w:eastAsia="宋体" w:cs="Times New Roman"/>
          <w:szCs w:val="21"/>
        </w:rPr>
        <w:t>a)生产企业名称、地址；</w:t>
      </w:r>
    </w:p>
    <w:p>
      <w:pPr>
        <w:pStyle w:val="90"/>
        <w:adjustRightInd w:val="0"/>
        <w:snapToGrid w:val="0"/>
        <w:spacing w:line="360" w:lineRule="auto"/>
        <w:rPr>
          <w:rFonts w:eastAsia="宋体" w:cs="Times New Roman"/>
          <w:szCs w:val="21"/>
        </w:rPr>
      </w:pPr>
      <w:r>
        <w:rPr>
          <w:rFonts w:eastAsia="宋体" w:cs="Times New Roman"/>
          <w:szCs w:val="21"/>
        </w:rPr>
        <w:t>b)产品名称、型号；</w:t>
      </w:r>
    </w:p>
    <w:p>
      <w:pPr>
        <w:pStyle w:val="90"/>
        <w:adjustRightInd w:val="0"/>
        <w:snapToGrid w:val="0"/>
        <w:spacing w:line="360" w:lineRule="auto"/>
        <w:rPr>
          <w:rFonts w:eastAsia="宋体" w:cs="Times New Roman"/>
          <w:szCs w:val="21"/>
        </w:rPr>
      </w:pPr>
      <w:r>
        <w:rPr>
          <w:rFonts w:eastAsia="宋体" w:cs="Times New Roman"/>
          <w:szCs w:val="21"/>
        </w:rPr>
        <w:t>c)装置数量；</w:t>
      </w:r>
    </w:p>
    <w:p>
      <w:pPr>
        <w:pStyle w:val="90"/>
        <w:adjustRightInd w:val="0"/>
        <w:snapToGrid w:val="0"/>
        <w:spacing w:line="360" w:lineRule="auto"/>
        <w:rPr>
          <w:rFonts w:eastAsia="宋体" w:cs="Times New Roman"/>
          <w:szCs w:val="21"/>
        </w:rPr>
      </w:pPr>
      <w:r>
        <w:rPr>
          <w:rFonts w:eastAsia="宋体" w:cs="Times New Roman"/>
          <w:szCs w:val="21"/>
        </w:rPr>
        <w:t>d)包装箱外形尺寸及毛重；</w:t>
      </w:r>
    </w:p>
    <w:p>
      <w:pPr>
        <w:pStyle w:val="90"/>
        <w:adjustRightInd w:val="0"/>
        <w:snapToGrid w:val="0"/>
        <w:spacing w:line="360" w:lineRule="auto"/>
        <w:rPr>
          <w:rFonts w:eastAsia="宋体" w:cs="Times New Roman"/>
          <w:szCs w:val="21"/>
        </w:rPr>
      </w:pPr>
      <w:r>
        <w:rPr>
          <w:rFonts w:eastAsia="宋体" w:cs="Times New Roman"/>
          <w:szCs w:val="21"/>
        </w:rPr>
        <w:t>e)包装箱外面书写“防潮”、“小心轻放”等字样；</w:t>
      </w:r>
    </w:p>
    <w:p>
      <w:pPr>
        <w:pStyle w:val="90"/>
        <w:adjustRightInd w:val="0"/>
        <w:snapToGrid w:val="0"/>
        <w:spacing w:line="360" w:lineRule="auto"/>
        <w:rPr>
          <w:rFonts w:eastAsia="宋体" w:cs="Times New Roman"/>
          <w:szCs w:val="21"/>
        </w:rPr>
      </w:pPr>
      <w:r>
        <w:rPr>
          <w:rFonts w:eastAsia="宋体" w:cs="Times New Roman"/>
          <w:szCs w:val="21"/>
        </w:rPr>
        <w:t>f)到站（港）及收货单位；</w:t>
      </w:r>
    </w:p>
    <w:p>
      <w:pPr>
        <w:pStyle w:val="90"/>
        <w:adjustRightInd w:val="0"/>
        <w:snapToGrid w:val="0"/>
        <w:spacing w:line="360" w:lineRule="auto"/>
        <w:rPr>
          <w:rFonts w:eastAsia="宋体" w:cs="Times New Roman"/>
          <w:szCs w:val="21"/>
        </w:rPr>
      </w:pPr>
      <w:r>
        <w:rPr>
          <w:rFonts w:eastAsia="宋体" w:cs="Times New Roman"/>
          <w:szCs w:val="21"/>
        </w:rPr>
        <w:t>g)发站（港）及发货单位。</w:t>
      </w:r>
    </w:p>
    <w:p>
      <w:pPr>
        <w:pStyle w:val="3"/>
        <w:rPr>
          <w:rFonts w:ascii="Times New Roman" w:hAnsi="Times New Roman"/>
          <w:b/>
          <w:bCs w:val="0"/>
          <w:sz w:val="21"/>
          <w:szCs w:val="21"/>
        </w:rPr>
      </w:pPr>
      <w:bookmarkStart w:id="156" w:name="_Toc1405"/>
      <w:bookmarkStart w:id="157" w:name="_Toc1346099118"/>
      <w:r>
        <w:rPr>
          <w:rFonts w:ascii="Times New Roman" w:hAnsi="Times New Roman"/>
          <w:b/>
          <w:bCs w:val="0"/>
          <w:sz w:val="21"/>
          <w:szCs w:val="21"/>
        </w:rPr>
        <w:t>包装</w:t>
      </w:r>
      <w:bookmarkEnd w:id="156"/>
      <w:bookmarkEnd w:id="157"/>
    </w:p>
    <w:p>
      <w:pPr>
        <w:pStyle w:val="90"/>
        <w:adjustRightInd w:val="0"/>
        <w:snapToGrid w:val="0"/>
        <w:spacing w:line="360" w:lineRule="auto"/>
        <w:rPr>
          <w:rFonts w:eastAsia="宋体" w:cs="Times New Roman"/>
          <w:szCs w:val="21"/>
        </w:rPr>
      </w:pPr>
      <w:r>
        <w:rPr>
          <w:rFonts w:eastAsia="宋体" w:cs="Times New Roman"/>
          <w:szCs w:val="21"/>
        </w:rPr>
        <w:t>1）要严格按照制造厂给出的说明书对设备进行包装、运输和储存。制造厂应在交货前的适当时间提供设备的运输和储存说明书。</w:t>
      </w:r>
    </w:p>
    <w:p>
      <w:pPr>
        <w:pStyle w:val="90"/>
        <w:adjustRightInd w:val="0"/>
        <w:snapToGrid w:val="0"/>
        <w:spacing w:line="360" w:lineRule="auto"/>
        <w:rPr>
          <w:rFonts w:eastAsia="宋体" w:cs="Times New Roman"/>
          <w:szCs w:val="21"/>
        </w:rPr>
      </w:pPr>
      <w:r>
        <w:rPr>
          <w:rFonts w:eastAsia="宋体" w:cs="Times New Roman"/>
          <w:szCs w:val="21"/>
        </w:rPr>
        <w:t>2）设备制造完成并通过试验后应及时包装，否则应得到切实的保护。其包装也应符合铁路、公路和海运部门的有关规定。</w:t>
      </w:r>
    </w:p>
    <w:p>
      <w:pPr>
        <w:pStyle w:val="90"/>
        <w:adjustRightInd w:val="0"/>
        <w:snapToGrid w:val="0"/>
        <w:spacing w:line="360" w:lineRule="auto"/>
        <w:rPr>
          <w:rFonts w:eastAsia="宋体" w:cs="Times New Roman"/>
          <w:szCs w:val="21"/>
        </w:rPr>
      </w:pPr>
      <w:r>
        <w:rPr>
          <w:rFonts w:eastAsia="宋体" w:cs="Times New Roman"/>
          <w:szCs w:val="21"/>
        </w:rPr>
        <w:t>3）包装箱上应有明显的包装储运图示标志，并应标明</w:t>
      </w:r>
      <w:r>
        <w:rPr>
          <w:rFonts w:hint="eastAsia" w:eastAsia="宋体" w:cs="Times New Roman"/>
          <w:szCs w:val="21"/>
        </w:rPr>
        <w:t>采购人</w:t>
      </w:r>
      <w:r>
        <w:rPr>
          <w:rFonts w:eastAsia="宋体" w:cs="Times New Roman"/>
          <w:szCs w:val="21"/>
        </w:rPr>
        <w:t>的订货号和发货号。</w:t>
      </w:r>
    </w:p>
    <w:p>
      <w:pPr>
        <w:pStyle w:val="90"/>
        <w:adjustRightInd w:val="0"/>
        <w:snapToGrid w:val="0"/>
        <w:spacing w:line="360" w:lineRule="auto"/>
        <w:rPr>
          <w:rFonts w:eastAsia="宋体" w:cs="Times New Roman"/>
          <w:szCs w:val="21"/>
        </w:rPr>
      </w:pPr>
      <w:r>
        <w:rPr>
          <w:rFonts w:eastAsia="宋体" w:cs="Times New Roman"/>
          <w:szCs w:val="21"/>
        </w:rPr>
        <w:t>4）设备的包装应能保证设备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3"/>
        <w:rPr>
          <w:rFonts w:ascii="Times New Roman" w:hAnsi="Times New Roman"/>
          <w:b/>
          <w:bCs w:val="0"/>
          <w:sz w:val="21"/>
          <w:szCs w:val="21"/>
        </w:rPr>
      </w:pPr>
      <w:bookmarkStart w:id="158" w:name="_Toc31875"/>
      <w:bookmarkStart w:id="159" w:name="_Toc1188731318"/>
      <w:bookmarkStart w:id="160" w:name="_Toc279695210"/>
      <w:bookmarkStart w:id="161" w:name="_Toc15269"/>
      <w:bookmarkStart w:id="162" w:name="_Toc6735986"/>
      <w:bookmarkStart w:id="163" w:name="_Toc80113172"/>
      <w:r>
        <w:rPr>
          <w:rFonts w:ascii="Times New Roman" w:hAnsi="Times New Roman"/>
          <w:b/>
          <w:bCs w:val="0"/>
          <w:sz w:val="21"/>
          <w:szCs w:val="21"/>
        </w:rPr>
        <w:t>运输</w:t>
      </w:r>
      <w:bookmarkEnd w:id="151"/>
      <w:bookmarkEnd w:id="152"/>
      <w:bookmarkEnd w:id="153"/>
      <w:bookmarkEnd w:id="158"/>
      <w:bookmarkEnd w:id="159"/>
      <w:bookmarkEnd w:id="160"/>
      <w:bookmarkEnd w:id="161"/>
      <w:bookmarkEnd w:id="162"/>
      <w:bookmarkEnd w:id="163"/>
    </w:p>
    <w:p>
      <w:pPr>
        <w:pStyle w:val="90"/>
        <w:adjustRightInd w:val="0"/>
        <w:snapToGrid w:val="0"/>
        <w:spacing w:line="360" w:lineRule="auto"/>
        <w:rPr>
          <w:rFonts w:eastAsia="宋体" w:cs="Times New Roman"/>
          <w:szCs w:val="21"/>
        </w:rPr>
      </w:pPr>
      <w:r>
        <w:rPr>
          <w:rFonts w:eastAsia="宋体" w:cs="Times New Roman"/>
          <w:szCs w:val="21"/>
        </w:rPr>
        <w:t>1）设备单独运输的零部件应有标志，便于用户安装装配。</w:t>
      </w:r>
    </w:p>
    <w:p>
      <w:pPr>
        <w:pStyle w:val="90"/>
        <w:adjustRightInd w:val="0"/>
        <w:snapToGrid w:val="0"/>
        <w:spacing w:line="360" w:lineRule="auto"/>
        <w:rPr>
          <w:rFonts w:eastAsia="宋体" w:cs="Times New Roman"/>
          <w:szCs w:val="21"/>
        </w:rPr>
      </w:pPr>
      <w:r>
        <w:rPr>
          <w:rFonts w:eastAsia="宋体" w:cs="Times New Roman"/>
          <w:szCs w:val="21"/>
        </w:rPr>
        <w:t>2）整体产品或分别运输的部件，都要适合于运输及装卸的要求。</w:t>
      </w:r>
    </w:p>
    <w:p>
      <w:pPr>
        <w:pStyle w:val="90"/>
        <w:adjustRightInd w:val="0"/>
        <w:snapToGrid w:val="0"/>
        <w:spacing w:line="360" w:lineRule="auto"/>
        <w:rPr>
          <w:rFonts w:eastAsia="宋体" w:cs="Times New Roman"/>
          <w:szCs w:val="21"/>
        </w:rPr>
      </w:pPr>
      <w:r>
        <w:rPr>
          <w:rFonts w:eastAsia="宋体" w:cs="Times New Roman"/>
          <w:szCs w:val="21"/>
        </w:rPr>
        <w:t>3）中标方应提供按全部解体检修用的备品备件和装用机具，随同产品发运。</w:t>
      </w:r>
    </w:p>
    <w:p>
      <w:pPr>
        <w:pStyle w:val="90"/>
        <w:adjustRightInd w:val="0"/>
        <w:snapToGrid w:val="0"/>
        <w:spacing w:line="360" w:lineRule="auto"/>
        <w:rPr>
          <w:rFonts w:eastAsia="宋体" w:cs="Times New Roman"/>
          <w:szCs w:val="21"/>
        </w:rPr>
      </w:pPr>
      <w:r>
        <w:rPr>
          <w:rFonts w:eastAsia="宋体" w:cs="Times New Roman"/>
          <w:szCs w:val="21"/>
        </w:rPr>
        <w:t>4）随同运输的产品应附有装箱清单，产品所需提供的技术资料应完整无缺。</w:t>
      </w:r>
    </w:p>
    <w:p>
      <w:pPr>
        <w:pStyle w:val="90"/>
        <w:adjustRightInd w:val="0"/>
        <w:snapToGrid w:val="0"/>
        <w:spacing w:line="360" w:lineRule="auto"/>
        <w:rPr>
          <w:rFonts w:eastAsia="宋体" w:cs="Times New Roman"/>
          <w:szCs w:val="21"/>
        </w:rPr>
      </w:pPr>
      <w:r>
        <w:rPr>
          <w:rFonts w:eastAsia="宋体" w:cs="Times New Roman"/>
          <w:szCs w:val="21"/>
        </w:rPr>
        <w:t>5）</w:t>
      </w:r>
      <w:r>
        <w:rPr>
          <w:rFonts w:hint="eastAsia" w:eastAsia="宋体" w:cs="Times New Roman"/>
          <w:szCs w:val="21"/>
        </w:rPr>
        <w:t>报价人</w:t>
      </w:r>
      <w:r>
        <w:rPr>
          <w:rFonts w:eastAsia="宋体" w:cs="Times New Roman"/>
          <w:szCs w:val="21"/>
        </w:rPr>
        <w:t>负责设备发货、不良品返修等相关物流费用。</w:t>
      </w:r>
    </w:p>
    <w:p>
      <w:pPr>
        <w:pStyle w:val="3"/>
        <w:rPr>
          <w:rFonts w:ascii="Times New Roman" w:hAnsi="Times New Roman"/>
          <w:b/>
          <w:bCs w:val="0"/>
          <w:sz w:val="21"/>
          <w:szCs w:val="21"/>
        </w:rPr>
      </w:pPr>
      <w:bookmarkStart w:id="164" w:name="_Toc79155074"/>
      <w:bookmarkStart w:id="165" w:name="_Toc79156679"/>
      <w:bookmarkStart w:id="166" w:name="_Toc1598799288"/>
      <w:bookmarkStart w:id="167" w:name="_Toc10717"/>
      <w:bookmarkStart w:id="168" w:name="_Toc6735987"/>
      <w:bookmarkStart w:id="169" w:name="_Toc25840"/>
      <w:bookmarkStart w:id="170" w:name="_Toc82790722"/>
      <w:r>
        <w:rPr>
          <w:rFonts w:ascii="Times New Roman" w:hAnsi="Times New Roman"/>
          <w:b/>
          <w:bCs w:val="0"/>
          <w:sz w:val="21"/>
          <w:szCs w:val="21"/>
        </w:rPr>
        <w:t>质量保证</w:t>
      </w:r>
      <w:bookmarkEnd w:id="164"/>
      <w:bookmarkEnd w:id="165"/>
      <w:bookmarkEnd w:id="166"/>
      <w:bookmarkEnd w:id="167"/>
      <w:bookmarkEnd w:id="168"/>
      <w:bookmarkEnd w:id="169"/>
      <w:bookmarkEnd w:id="170"/>
    </w:p>
    <w:p>
      <w:pPr>
        <w:pStyle w:val="90"/>
        <w:adjustRightInd w:val="0"/>
        <w:snapToGrid w:val="0"/>
        <w:spacing w:line="360" w:lineRule="auto"/>
        <w:rPr>
          <w:rFonts w:eastAsia="宋体" w:cs="Times New Roman"/>
          <w:szCs w:val="21"/>
        </w:rPr>
      </w:pPr>
      <w:r>
        <w:rPr>
          <w:rFonts w:eastAsia="宋体" w:cs="Times New Roman"/>
          <w:szCs w:val="21"/>
        </w:rPr>
        <w:t>1）</w:t>
      </w:r>
      <w:r>
        <w:rPr>
          <w:rFonts w:hint="eastAsia" w:eastAsia="宋体" w:cs="Times New Roman"/>
          <w:szCs w:val="21"/>
        </w:rPr>
        <w:t>报价人</w:t>
      </w:r>
      <w:r>
        <w:rPr>
          <w:rFonts w:eastAsia="宋体" w:cs="Times New Roman"/>
          <w:szCs w:val="21"/>
        </w:rPr>
        <w:t>应保证其所生产的设备（包括</w:t>
      </w:r>
      <w:r>
        <w:rPr>
          <w:rFonts w:hint="eastAsia" w:eastAsia="宋体" w:cs="Times New Roman"/>
          <w:szCs w:val="21"/>
        </w:rPr>
        <w:t>报价人</w:t>
      </w:r>
      <w:r>
        <w:rPr>
          <w:rFonts w:eastAsia="宋体" w:cs="Times New Roman"/>
          <w:szCs w:val="21"/>
        </w:rPr>
        <w:t>的外购件在内）都是采用</w:t>
      </w:r>
      <w:r>
        <w:rPr>
          <w:rFonts w:hint="eastAsia" w:eastAsia="宋体" w:cs="Times New Roman"/>
          <w:szCs w:val="21"/>
        </w:rPr>
        <w:t>符合本技术规范书要求</w:t>
      </w:r>
      <w:r>
        <w:rPr>
          <w:rFonts w:eastAsia="宋体" w:cs="Times New Roman"/>
          <w:szCs w:val="21"/>
        </w:rPr>
        <w:t>的质量、规格和性能要求。</w:t>
      </w:r>
    </w:p>
    <w:p>
      <w:pPr>
        <w:pStyle w:val="90"/>
        <w:adjustRightInd w:val="0"/>
        <w:snapToGrid w:val="0"/>
        <w:spacing w:line="360" w:lineRule="auto"/>
        <w:rPr>
          <w:rFonts w:eastAsia="宋体" w:cs="Times New Roman"/>
          <w:szCs w:val="21"/>
        </w:rPr>
      </w:pPr>
      <w:r>
        <w:rPr>
          <w:rFonts w:eastAsia="宋体" w:cs="Times New Roman"/>
          <w:szCs w:val="21"/>
        </w:rPr>
        <w:t>2）</w:t>
      </w:r>
      <w:r>
        <w:rPr>
          <w:rFonts w:hint="eastAsia" w:eastAsia="宋体" w:cs="Times New Roman"/>
          <w:szCs w:val="21"/>
        </w:rPr>
        <w:t>报价人</w:t>
      </w:r>
      <w:r>
        <w:rPr>
          <w:rFonts w:eastAsia="宋体" w:cs="Times New Roman"/>
          <w:szCs w:val="21"/>
        </w:rPr>
        <w:t>应对其整组设备在到货后提供</w:t>
      </w:r>
      <w:r>
        <w:rPr>
          <w:rFonts w:eastAsia="宋体" w:cs="Times New Roman"/>
          <w:b/>
          <w:bCs/>
          <w:szCs w:val="21"/>
        </w:rPr>
        <w:t>不少于5年的“三包”质量保证</w:t>
      </w:r>
      <w:r>
        <w:rPr>
          <w:rFonts w:eastAsia="宋体" w:cs="Times New Roman"/>
          <w:szCs w:val="21"/>
        </w:rPr>
        <w:t>。之后如发生产品损坏，</w:t>
      </w:r>
      <w:r>
        <w:rPr>
          <w:rFonts w:hint="eastAsia" w:eastAsia="宋体" w:cs="Times New Roman"/>
          <w:szCs w:val="21"/>
        </w:rPr>
        <w:t>报价人</w:t>
      </w:r>
      <w:r>
        <w:rPr>
          <w:rFonts w:eastAsia="宋体" w:cs="Times New Roman"/>
          <w:szCs w:val="21"/>
        </w:rPr>
        <w:t>应及时为本组装置提供维修部件。</w:t>
      </w:r>
    </w:p>
    <w:p>
      <w:pPr>
        <w:pStyle w:val="90"/>
        <w:adjustRightInd w:val="0"/>
        <w:snapToGrid w:val="0"/>
        <w:spacing w:line="360" w:lineRule="auto"/>
        <w:rPr>
          <w:rFonts w:eastAsia="宋体" w:cs="Times New Roman"/>
          <w:szCs w:val="21"/>
        </w:rPr>
      </w:pPr>
      <w:r>
        <w:rPr>
          <w:rFonts w:eastAsia="宋体" w:cs="Times New Roman"/>
          <w:szCs w:val="21"/>
        </w:rPr>
        <w:t>3）附属及配套设备必须满足有关行业标准的要求，并提供试验报告和产品合格证。</w:t>
      </w:r>
    </w:p>
    <w:p>
      <w:pPr>
        <w:pStyle w:val="3"/>
        <w:rPr>
          <w:rFonts w:ascii="Times New Roman" w:hAnsi="Times New Roman"/>
          <w:b/>
          <w:bCs w:val="0"/>
          <w:sz w:val="21"/>
          <w:szCs w:val="21"/>
        </w:rPr>
      </w:pPr>
      <w:bookmarkStart w:id="171" w:name="_Toc7705"/>
      <w:bookmarkStart w:id="172" w:name="_Toc9177"/>
      <w:bookmarkStart w:id="173" w:name="_Toc4317"/>
      <w:bookmarkStart w:id="174" w:name="_Toc733488064"/>
      <w:bookmarkStart w:id="175" w:name="_Toc87600771"/>
      <w:r>
        <w:rPr>
          <w:rFonts w:ascii="Times New Roman" w:hAnsi="Times New Roman"/>
          <w:b/>
          <w:bCs w:val="0"/>
          <w:sz w:val="21"/>
          <w:szCs w:val="21"/>
        </w:rPr>
        <w:t>交货期要求</w:t>
      </w:r>
      <w:bookmarkEnd w:id="171"/>
      <w:bookmarkEnd w:id="172"/>
      <w:bookmarkEnd w:id="173"/>
      <w:bookmarkEnd w:id="174"/>
      <w:bookmarkEnd w:id="175"/>
    </w:p>
    <w:p>
      <w:pPr>
        <w:adjustRightInd w:val="0"/>
        <w:snapToGrid w:val="0"/>
        <w:spacing w:line="360" w:lineRule="auto"/>
        <w:ind w:firstLine="420" w:firstLineChars="200"/>
        <w:rPr>
          <w:szCs w:val="21"/>
        </w:rPr>
      </w:pPr>
      <w:r>
        <w:rPr>
          <w:szCs w:val="21"/>
        </w:rPr>
        <w:t>如果</w:t>
      </w:r>
      <w:r>
        <w:rPr>
          <w:rFonts w:hint="eastAsia"/>
          <w:szCs w:val="21"/>
        </w:rPr>
        <w:t>报价人</w:t>
      </w:r>
      <w:r>
        <w:rPr>
          <w:szCs w:val="21"/>
        </w:rPr>
        <w:t>中标，在</w:t>
      </w:r>
      <w:r>
        <w:rPr>
          <w:rFonts w:hint="eastAsia"/>
          <w:szCs w:val="21"/>
        </w:rPr>
        <w:t>合同签订</w:t>
      </w:r>
      <w:r>
        <w:rPr>
          <w:szCs w:val="21"/>
        </w:rPr>
        <w:t>后的</w:t>
      </w:r>
      <w:r>
        <w:rPr>
          <w:rFonts w:hint="eastAsia"/>
          <w:b/>
          <w:bCs/>
          <w:szCs w:val="21"/>
        </w:rPr>
        <w:t>2</w:t>
      </w:r>
      <w:r>
        <w:rPr>
          <w:b/>
          <w:bCs/>
          <w:szCs w:val="21"/>
        </w:rPr>
        <w:t>0个工作日内</w:t>
      </w:r>
      <w:r>
        <w:rPr>
          <w:szCs w:val="21"/>
        </w:rPr>
        <w:t>，将所需货物运达</w:t>
      </w:r>
      <w:r>
        <w:rPr>
          <w:rFonts w:hint="eastAsia"/>
          <w:szCs w:val="21"/>
        </w:rPr>
        <w:t>采购人</w:t>
      </w:r>
      <w:r>
        <w:rPr>
          <w:szCs w:val="21"/>
        </w:rPr>
        <w:t>指定地点，且在产品装运发车当日将发货情况向</w:t>
      </w:r>
      <w:r>
        <w:rPr>
          <w:rFonts w:hint="eastAsia"/>
          <w:szCs w:val="21"/>
        </w:rPr>
        <w:t>采购人</w:t>
      </w:r>
      <w:r>
        <w:rPr>
          <w:szCs w:val="21"/>
        </w:rPr>
        <w:t>报告。</w:t>
      </w:r>
    </w:p>
    <w:p>
      <w:pPr>
        <w:adjustRightInd w:val="0"/>
        <w:snapToGrid w:val="0"/>
        <w:spacing w:line="360" w:lineRule="auto"/>
        <w:ind w:firstLine="420" w:firstLineChars="200"/>
        <w:rPr>
          <w:szCs w:val="21"/>
        </w:rPr>
      </w:pPr>
      <w:r>
        <w:rPr>
          <w:rFonts w:hint="eastAsia"/>
          <w:szCs w:val="21"/>
        </w:rPr>
        <w:t>报价人</w:t>
      </w:r>
      <w:r>
        <w:rPr>
          <w:szCs w:val="21"/>
        </w:rPr>
        <w:t>应保证原材料的采购到生产车间的过程都是按照质量管理及时安排时间，完全有能力满足</w:t>
      </w:r>
      <w:r>
        <w:rPr>
          <w:rFonts w:hint="eastAsia"/>
          <w:szCs w:val="21"/>
        </w:rPr>
        <w:t>采购人</w:t>
      </w:r>
      <w:r>
        <w:rPr>
          <w:szCs w:val="21"/>
        </w:rPr>
        <w:t>的供货时间要求。</w:t>
      </w:r>
    </w:p>
    <w:p>
      <w:pPr>
        <w:adjustRightInd w:val="0"/>
        <w:snapToGrid w:val="0"/>
        <w:spacing w:line="360" w:lineRule="auto"/>
        <w:ind w:firstLine="420" w:firstLineChars="200"/>
        <w:rPr>
          <w:szCs w:val="21"/>
        </w:rPr>
      </w:pPr>
      <w:r>
        <w:rPr>
          <w:szCs w:val="21"/>
        </w:rPr>
        <w:t>如</w:t>
      </w:r>
      <w:r>
        <w:rPr>
          <w:rFonts w:hint="eastAsia"/>
          <w:szCs w:val="21"/>
        </w:rPr>
        <w:t>报价人</w:t>
      </w:r>
      <w:r>
        <w:rPr>
          <w:szCs w:val="21"/>
        </w:rPr>
        <w:t>中标后，不能按期交货，</w:t>
      </w:r>
      <w:r>
        <w:rPr>
          <w:rFonts w:hint="eastAsia"/>
          <w:szCs w:val="21"/>
        </w:rPr>
        <w:t>报价人</w:t>
      </w:r>
      <w:r>
        <w:rPr>
          <w:szCs w:val="21"/>
        </w:rPr>
        <w:t>将按合同约定向</w:t>
      </w:r>
      <w:r>
        <w:rPr>
          <w:rFonts w:hint="eastAsia"/>
          <w:szCs w:val="21"/>
        </w:rPr>
        <w:t>采购人</w:t>
      </w:r>
      <w:r>
        <w:rPr>
          <w:szCs w:val="21"/>
        </w:rPr>
        <w:t>偿付逾期交货违约金。如遇不可抗力的因素而影响生产周期和供货时间时，</w:t>
      </w:r>
      <w:r>
        <w:rPr>
          <w:rFonts w:hint="eastAsia"/>
          <w:szCs w:val="21"/>
        </w:rPr>
        <w:t>报价人</w:t>
      </w:r>
      <w:r>
        <w:rPr>
          <w:szCs w:val="21"/>
        </w:rPr>
        <w:t>应与</w:t>
      </w:r>
      <w:r>
        <w:rPr>
          <w:rFonts w:hint="eastAsia"/>
          <w:szCs w:val="21"/>
        </w:rPr>
        <w:t>采购人</w:t>
      </w:r>
      <w:r>
        <w:rPr>
          <w:szCs w:val="21"/>
        </w:rPr>
        <w:t>协商解决。</w:t>
      </w:r>
    </w:p>
    <w:p>
      <w:pPr>
        <w:pStyle w:val="3"/>
        <w:rPr>
          <w:rFonts w:ascii="Times New Roman" w:hAnsi="Times New Roman"/>
          <w:b/>
          <w:bCs w:val="0"/>
          <w:sz w:val="21"/>
          <w:szCs w:val="21"/>
        </w:rPr>
      </w:pPr>
      <w:bookmarkStart w:id="176" w:name="_Toc22997"/>
      <w:bookmarkStart w:id="177" w:name="_Toc79155075"/>
      <w:bookmarkStart w:id="178" w:name="_Toc82790723"/>
      <w:bookmarkStart w:id="179" w:name="_Toc7297"/>
      <w:bookmarkStart w:id="180" w:name="_Toc6735988"/>
      <w:bookmarkStart w:id="181" w:name="_Toc79156680"/>
      <w:bookmarkStart w:id="182" w:name="_Toc1221620329"/>
      <w:r>
        <w:rPr>
          <w:rFonts w:ascii="Times New Roman" w:hAnsi="Times New Roman"/>
          <w:b/>
          <w:bCs w:val="0"/>
          <w:sz w:val="21"/>
          <w:szCs w:val="21"/>
        </w:rPr>
        <w:t>支持服务</w:t>
      </w:r>
      <w:bookmarkEnd w:id="176"/>
      <w:bookmarkEnd w:id="177"/>
      <w:bookmarkEnd w:id="178"/>
      <w:bookmarkEnd w:id="179"/>
      <w:bookmarkEnd w:id="180"/>
      <w:bookmarkEnd w:id="181"/>
      <w:bookmarkEnd w:id="182"/>
    </w:p>
    <w:p>
      <w:pPr>
        <w:pStyle w:val="4"/>
        <w:rPr>
          <w:rFonts w:ascii="Times New Roman" w:hAnsi="Times New Roman"/>
          <w:b/>
          <w:bCs w:val="0"/>
          <w:sz w:val="21"/>
          <w:szCs w:val="21"/>
        </w:rPr>
      </w:pPr>
      <w:bookmarkStart w:id="183" w:name="_Toc6735989"/>
      <w:bookmarkStart w:id="184" w:name="_Toc79156681"/>
      <w:bookmarkStart w:id="185" w:name="_Toc1835035001"/>
      <w:bookmarkStart w:id="186" w:name="_Toc30864"/>
      <w:bookmarkStart w:id="187" w:name="_Toc3126"/>
      <w:bookmarkStart w:id="188" w:name="_Toc82790724"/>
      <w:bookmarkStart w:id="189" w:name="_Toc79155076"/>
      <w:r>
        <w:rPr>
          <w:rFonts w:hint="eastAsia" w:ascii="Times New Roman" w:hAnsi="Times New Roman"/>
          <w:b/>
          <w:bCs w:val="0"/>
          <w:sz w:val="21"/>
          <w:szCs w:val="21"/>
        </w:rPr>
        <w:t>报价人</w:t>
      </w:r>
      <w:r>
        <w:rPr>
          <w:rFonts w:ascii="Times New Roman" w:hAnsi="Times New Roman"/>
          <w:b/>
          <w:bCs w:val="0"/>
          <w:sz w:val="21"/>
          <w:szCs w:val="21"/>
        </w:rPr>
        <w:t>应提供下列支持服务</w:t>
      </w:r>
      <w:bookmarkEnd w:id="183"/>
      <w:r>
        <w:rPr>
          <w:rFonts w:ascii="Times New Roman" w:hAnsi="Times New Roman"/>
          <w:b/>
          <w:bCs w:val="0"/>
          <w:sz w:val="21"/>
          <w:szCs w:val="21"/>
        </w:rPr>
        <w:t>：</w:t>
      </w:r>
      <w:bookmarkEnd w:id="184"/>
      <w:bookmarkEnd w:id="185"/>
      <w:bookmarkEnd w:id="186"/>
      <w:bookmarkEnd w:id="187"/>
      <w:bookmarkEnd w:id="188"/>
      <w:bookmarkEnd w:id="189"/>
    </w:p>
    <w:p>
      <w:pPr>
        <w:pStyle w:val="90"/>
        <w:spacing w:line="360" w:lineRule="auto"/>
        <w:rPr>
          <w:rFonts w:eastAsia="宋体" w:cs="Times New Roman"/>
          <w:szCs w:val="21"/>
        </w:rPr>
      </w:pPr>
      <w:r>
        <w:rPr>
          <w:rFonts w:eastAsia="宋体" w:cs="Times New Roman"/>
          <w:szCs w:val="21"/>
        </w:rPr>
        <w:t>1）</w:t>
      </w:r>
      <w:r>
        <w:rPr>
          <w:rFonts w:hint="eastAsia" w:eastAsia="宋体" w:cs="Times New Roman"/>
          <w:szCs w:val="21"/>
        </w:rPr>
        <w:t>报价人</w:t>
      </w:r>
      <w:r>
        <w:rPr>
          <w:rFonts w:eastAsia="宋体" w:cs="Times New Roman"/>
          <w:szCs w:val="21"/>
        </w:rPr>
        <w:t>需提供7×24小时技术支持与服务。</w:t>
      </w:r>
      <w:r>
        <w:rPr>
          <w:rFonts w:hint="eastAsia" w:eastAsia="宋体" w:cs="Times New Roman"/>
          <w:szCs w:val="21"/>
        </w:rPr>
        <w:t>报价人</w:t>
      </w:r>
      <w:r>
        <w:rPr>
          <w:rFonts w:eastAsia="宋体" w:cs="Times New Roman"/>
          <w:szCs w:val="21"/>
        </w:rPr>
        <w:t>必须按照如下格式对服务响应时间进行明确描述，</w:t>
      </w:r>
      <w:r>
        <w:rPr>
          <w:rFonts w:hint="eastAsia" w:eastAsia="宋体" w:cs="Times New Roman"/>
          <w:szCs w:val="21"/>
        </w:rPr>
        <w:t>报价人</w:t>
      </w:r>
      <w:r>
        <w:rPr>
          <w:rFonts w:eastAsia="宋体" w:cs="Times New Roman"/>
          <w:szCs w:val="21"/>
        </w:rPr>
        <w:t>如有其他服务响应可以另加描述：</w:t>
      </w:r>
    </w:p>
    <w:p>
      <w:pPr>
        <w:spacing w:line="360" w:lineRule="auto"/>
        <w:ind w:firstLine="420" w:firstLineChars="200"/>
        <w:rPr>
          <w:szCs w:val="21"/>
        </w:rPr>
      </w:pPr>
      <w:r>
        <w:rPr>
          <w:szCs w:val="21"/>
        </w:rPr>
        <w:t>设备出现故障时必须在</w:t>
      </w:r>
      <w:r>
        <w:rPr>
          <w:szCs w:val="21"/>
          <w:u w:val="single"/>
        </w:rPr>
        <w:t>2</w:t>
      </w:r>
      <w:r>
        <w:rPr>
          <w:szCs w:val="21"/>
        </w:rPr>
        <w:t>小时内对</w:t>
      </w:r>
      <w:r>
        <w:rPr>
          <w:rFonts w:hint="eastAsia"/>
          <w:szCs w:val="21"/>
        </w:rPr>
        <w:t>采购人</w:t>
      </w:r>
      <w:r>
        <w:rPr>
          <w:szCs w:val="21"/>
        </w:rPr>
        <w:t>所提出的维修要求做出响应。</w:t>
      </w:r>
    </w:p>
    <w:p>
      <w:pPr>
        <w:pStyle w:val="90"/>
        <w:spacing w:line="360" w:lineRule="auto"/>
        <w:rPr>
          <w:rFonts w:eastAsia="宋体" w:cs="Times New Roman"/>
          <w:szCs w:val="21"/>
        </w:rPr>
      </w:pPr>
      <w:r>
        <w:rPr>
          <w:rFonts w:eastAsia="宋体" w:cs="Times New Roman"/>
          <w:szCs w:val="21"/>
        </w:rPr>
        <w:t>2）可通过电话提供支持服务，指导</w:t>
      </w:r>
      <w:r>
        <w:rPr>
          <w:rFonts w:hint="eastAsia" w:eastAsia="宋体" w:cs="Times New Roman"/>
          <w:szCs w:val="21"/>
        </w:rPr>
        <w:t>采购人</w:t>
      </w:r>
      <w:r>
        <w:rPr>
          <w:rFonts w:eastAsia="宋体" w:cs="Times New Roman"/>
          <w:szCs w:val="21"/>
        </w:rPr>
        <w:t>技术人员诊断存在的技术问题。如果</w:t>
      </w:r>
      <w:r>
        <w:rPr>
          <w:rFonts w:hint="eastAsia" w:eastAsia="宋体" w:cs="Times New Roman"/>
          <w:szCs w:val="21"/>
        </w:rPr>
        <w:t>采购人</w:t>
      </w:r>
      <w:r>
        <w:rPr>
          <w:rFonts w:eastAsia="宋体" w:cs="Times New Roman"/>
          <w:szCs w:val="21"/>
        </w:rPr>
        <w:t>技术人员不能解决问题，</w:t>
      </w:r>
      <w:r>
        <w:rPr>
          <w:rFonts w:hint="eastAsia" w:eastAsia="宋体" w:cs="Times New Roman"/>
          <w:szCs w:val="21"/>
        </w:rPr>
        <w:t>报价人</w:t>
      </w:r>
      <w:r>
        <w:rPr>
          <w:rFonts w:eastAsia="宋体" w:cs="Times New Roman"/>
          <w:szCs w:val="21"/>
        </w:rPr>
        <w:t>应派遣维护人员赶赴现场,免费服务期以商务协议为准。</w:t>
      </w:r>
    </w:p>
    <w:p>
      <w:pPr>
        <w:pStyle w:val="4"/>
        <w:rPr>
          <w:rFonts w:ascii="Times New Roman" w:hAnsi="Times New Roman"/>
          <w:b/>
          <w:bCs w:val="0"/>
          <w:sz w:val="21"/>
          <w:szCs w:val="21"/>
        </w:rPr>
      </w:pPr>
      <w:bookmarkStart w:id="190" w:name="_Toc79155077"/>
      <w:bookmarkStart w:id="191" w:name="_Toc82790725"/>
      <w:bookmarkStart w:id="192" w:name="_Toc8132"/>
      <w:bookmarkStart w:id="193" w:name="_Toc30635"/>
      <w:bookmarkStart w:id="194" w:name="_Toc79156682"/>
      <w:bookmarkStart w:id="195" w:name="_Toc1401937312"/>
      <w:r>
        <w:rPr>
          <w:rFonts w:ascii="Times New Roman" w:hAnsi="Times New Roman"/>
          <w:b/>
          <w:bCs w:val="0"/>
          <w:sz w:val="21"/>
          <w:szCs w:val="21"/>
        </w:rPr>
        <w:t>培训（如需要时由</w:t>
      </w:r>
      <w:r>
        <w:rPr>
          <w:rFonts w:hint="eastAsia" w:ascii="Times New Roman" w:hAnsi="Times New Roman"/>
          <w:b/>
          <w:bCs w:val="0"/>
          <w:sz w:val="21"/>
          <w:szCs w:val="21"/>
        </w:rPr>
        <w:t>采购人</w:t>
      </w:r>
      <w:r>
        <w:rPr>
          <w:rFonts w:ascii="Times New Roman" w:hAnsi="Times New Roman"/>
          <w:b/>
          <w:bCs w:val="0"/>
          <w:sz w:val="21"/>
          <w:szCs w:val="21"/>
        </w:rPr>
        <w:t>与</w:t>
      </w:r>
      <w:r>
        <w:rPr>
          <w:rFonts w:hint="eastAsia" w:ascii="Times New Roman" w:hAnsi="Times New Roman"/>
          <w:b/>
          <w:bCs w:val="0"/>
          <w:sz w:val="21"/>
          <w:szCs w:val="21"/>
        </w:rPr>
        <w:t>报价人</w:t>
      </w:r>
      <w:r>
        <w:rPr>
          <w:rFonts w:ascii="Times New Roman" w:hAnsi="Times New Roman"/>
          <w:b/>
          <w:bCs w:val="0"/>
          <w:sz w:val="21"/>
          <w:szCs w:val="21"/>
        </w:rPr>
        <w:t>协商）</w:t>
      </w:r>
      <w:bookmarkEnd w:id="190"/>
      <w:bookmarkEnd w:id="191"/>
      <w:bookmarkEnd w:id="192"/>
      <w:bookmarkEnd w:id="193"/>
      <w:bookmarkEnd w:id="194"/>
      <w:bookmarkEnd w:id="195"/>
    </w:p>
    <w:p>
      <w:pPr>
        <w:pStyle w:val="90"/>
        <w:spacing w:line="360" w:lineRule="auto"/>
        <w:rPr>
          <w:rFonts w:eastAsia="宋体" w:cs="Times New Roman"/>
          <w:szCs w:val="21"/>
        </w:rPr>
      </w:pPr>
      <w:r>
        <w:rPr>
          <w:rFonts w:eastAsia="宋体" w:cs="Times New Roman"/>
          <w:szCs w:val="21"/>
        </w:rPr>
        <w:t>培训对象包括</w:t>
      </w:r>
      <w:r>
        <w:rPr>
          <w:rFonts w:hint="eastAsia" w:eastAsia="宋体" w:cs="Times New Roman"/>
          <w:szCs w:val="21"/>
        </w:rPr>
        <w:t>采购人</w:t>
      </w:r>
      <w:r>
        <w:rPr>
          <w:rFonts w:eastAsia="宋体" w:cs="Times New Roman"/>
          <w:szCs w:val="21"/>
        </w:rPr>
        <w:t>人员、设备最终用户等技术人员。</w:t>
      </w:r>
    </w:p>
    <w:p>
      <w:pPr>
        <w:pStyle w:val="4"/>
        <w:rPr>
          <w:rFonts w:ascii="Times New Roman" w:hAnsi="Times New Roman"/>
          <w:b/>
          <w:bCs w:val="0"/>
          <w:sz w:val="21"/>
          <w:szCs w:val="21"/>
        </w:rPr>
      </w:pPr>
      <w:bookmarkStart w:id="196" w:name="_Toc79155078"/>
      <w:bookmarkStart w:id="197" w:name="_Toc4016"/>
      <w:bookmarkStart w:id="198" w:name="_Toc28210"/>
      <w:bookmarkStart w:id="199" w:name="_Toc79156683"/>
      <w:bookmarkStart w:id="200" w:name="_Toc82790726"/>
      <w:bookmarkStart w:id="201" w:name="_Toc1815605269"/>
      <w:r>
        <w:rPr>
          <w:rFonts w:ascii="Times New Roman" w:hAnsi="Times New Roman"/>
          <w:b/>
          <w:bCs w:val="0"/>
          <w:sz w:val="21"/>
          <w:szCs w:val="21"/>
        </w:rPr>
        <w:t>售后服务（如需要时由</w:t>
      </w:r>
      <w:r>
        <w:rPr>
          <w:rFonts w:hint="eastAsia" w:ascii="Times New Roman" w:hAnsi="Times New Roman"/>
          <w:b/>
          <w:bCs w:val="0"/>
          <w:sz w:val="21"/>
          <w:szCs w:val="21"/>
        </w:rPr>
        <w:t>采购人</w:t>
      </w:r>
      <w:r>
        <w:rPr>
          <w:rFonts w:ascii="Times New Roman" w:hAnsi="Times New Roman"/>
          <w:b/>
          <w:bCs w:val="0"/>
          <w:sz w:val="21"/>
          <w:szCs w:val="21"/>
        </w:rPr>
        <w:t>与</w:t>
      </w:r>
      <w:r>
        <w:rPr>
          <w:rFonts w:hint="eastAsia" w:ascii="Times New Roman" w:hAnsi="Times New Roman"/>
          <w:b/>
          <w:bCs w:val="0"/>
          <w:sz w:val="21"/>
          <w:szCs w:val="21"/>
        </w:rPr>
        <w:t>报价人</w:t>
      </w:r>
      <w:r>
        <w:rPr>
          <w:rFonts w:ascii="Times New Roman" w:hAnsi="Times New Roman"/>
          <w:b/>
          <w:bCs w:val="0"/>
          <w:sz w:val="21"/>
          <w:szCs w:val="21"/>
        </w:rPr>
        <w:t>协商）</w:t>
      </w:r>
      <w:bookmarkEnd w:id="196"/>
      <w:bookmarkEnd w:id="197"/>
      <w:bookmarkEnd w:id="198"/>
      <w:bookmarkEnd w:id="199"/>
      <w:bookmarkEnd w:id="200"/>
      <w:bookmarkEnd w:id="201"/>
    </w:p>
    <w:p>
      <w:pPr>
        <w:pStyle w:val="90"/>
        <w:spacing w:line="360" w:lineRule="auto"/>
        <w:rPr>
          <w:rFonts w:eastAsia="宋体" w:cs="Times New Roman"/>
          <w:szCs w:val="21"/>
        </w:rPr>
      </w:pPr>
      <w:r>
        <w:rPr>
          <w:rFonts w:eastAsia="宋体" w:cs="Times New Roman"/>
          <w:szCs w:val="21"/>
        </w:rPr>
        <w:t>现场投运前和试运行中发现的设备缺陷和元件损坏，</w:t>
      </w:r>
      <w:r>
        <w:rPr>
          <w:rFonts w:hint="eastAsia" w:eastAsia="宋体" w:cs="Times New Roman"/>
          <w:szCs w:val="21"/>
        </w:rPr>
        <w:t>报价人</w:t>
      </w:r>
      <w:r>
        <w:rPr>
          <w:rFonts w:eastAsia="宋体" w:cs="Times New Roman"/>
          <w:szCs w:val="21"/>
        </w:rPr>
        <w:t>应及时无偿修理或更换，直至符合规范要求。</w:t>
      </w:r>
      <w:r>
        <w:rPr>
          <w:rFonts w:hint="eastAsia" w:eastAsia="宋体" w:cs="Times New Roman"/>
          <w:szCs w:val="21"/>
        </w:rPr>
        <w:t>报价人</w:t>
      </w:r>
      <w:r>
        <w:rPr>
          <w:rFonts w:eastAsia="宋体" w:cs="Times New Roman"/>
          <w:szCs w:val="21"/>
        </w:rPr>
        <w:t>在设备保修期外及时更换损坏的设备，按成本收取维修费用。</w:t>
      </w:r>
    </w:p>
    <w:p>
      <w:r>
        <w:br w:type="page"/>
      </w:r>
    </w:p>
    <w:p>
      <w:pPr>
        <w:pStyle w:val="2"/>
      </w:pPr>
      <w:bookmarkStart w:id="202" w:name="_Toc79155079"/>
      <w:bookmarkStart w:id="203" w:name="_Toc6735990"/>
      <w:bookmarkStart w:id="204" w:name="_Toc79156684"/>
      <w:bookmarkStart w:id="205" w:name="_Toc2112"/>
      <w:bookmarkStart w:id="206" w:name="_Toc287602849"/>
      <w:bookmarkStart w:id="207" w:name="_Toc1820374327"/>
      <w:r>
        <w:t>技术差异表</w:t>
      </w:r>
      <w:bookmarkEnd w:id="202"/>
      <w:bookmarkEnd w:id="203"/>
      <w:bookmarkEnd w:id="204"/>
      <w:bookmarkEnd w:id="205"/>
      <w:bookmarkEnd w:id="206"/>
      <w:bookmarkEnd w:id="207"/>
    </w:p>
    <w:p>
      <w:pPr>
        <w:pStyle w:val="90"/>
        <w:adjustRightInd w:val="0"/>
        <w:snapToGrid w:val="0"/>
        <w:spacing w:line="360" w:lineRule="auto"/>
        <w:rPr>
          <w:rFonts w:eastAsia="宋体" w:cs="Times New Roman"/>
          <w:b/>
          <w:bCs/>
          <w:szCs w:val="21"/>
        </w:rPr>
      </w:pPr>
      <w:bookmarkStart w:id="208" w:name="_Toc226362579"/>
      <w:r>
        <w:rPr>
          <w:rFonts w:hint="eastAsia" w:eastAsia="宋体" w:cs="Times New Roman"/>
          <w:szCs w:val="21"/>
        </w:rPr>
        <w:t>报价人</w:t>
      </w:r>
      <w:r>
        <w:rPr>
          <w:rFonts w:eastAsia="宋体" w:cs="Times New Roman"/>
          <w:szCs w:val="21"/>
        </w:rPr>
        <w:t>应将所供设备与本技术规范书有差异之处，无论优于或劣于本技术规范书要求，均汇集至表</w:t>
      </w:r>
      <w:r>
        <w:rPr>
          <w:rFonts w:hint="eastAsia" w:eastAsia="宋体" w:cs="Times New Roman"/>
          <w:szCs w:val="21"/>
        </w:rPr>
        <w:t>9</w:t>
      </w:r>
      <w:r>
        <w:rPr>
          <w:rFonts w:eastAsia="宋体" w:cs="Times New Roman"/>
          <w:szCs w:val="21"/>
        </w:rPr>
        <w:t>.1。</w:t>
      </w:r>
    </w:p>
    <w:p>
      <w:pPr>
        <w:adjustRightInd w:val="0"/>
        <w:snapToGrid w:val="0"/>
        <w:spacing w:line="360" w:lineRule="auto"/>
        <w:ind w:firstLine="199"/>
        <w:jc w:val="center"/>
        <w:rPr>
          <w:szCs w:val="21"/>
        </w:rPr>
      </w:pPr>
      <w:r>
        <w:rPr>
          <w:szCs w:val="21"/>
        </w:rPr>
        <w:t>表</w:t>
      </w:r>
      <w:r>
        <w:rPr>
          <w:rFonts w:hint="eastAsia"/>
          <w:szCs w:val="21"/>
        </w:rPr>
        <w:t>9</w:t>
      </w:r>
      <w:r>
        <w:rPr>
          <w:szCs w:val="21"/>
        </w:rPr>
        <w:t>.1技术差异表</w:t>
      </w:r>
      <w:bookmarkEnd w:id="208"/>
      <w:r>
        <w:rPr>
          <w:szCs w:val="21"/>
        </w:rPr>
        <w:t>（</w:t>
      </w:r>
      <w:r>
        <w:rPr>
          <w:rFonts w:hint="eastAsia"/>
          <w:szCs w:val="21"/>
        </w:rPr>
        <w:t>报价人</w:t>
      </w:r>
      <w:r>
        <w:rPr>
          <w:szCs w:val="21"/>
        </w:rPr>
        <w:t>填写）</w:t>
      </w:r>
    </w:p>
    <w:tbl>
      <w:tblPr>
        <w:tblStyle w:val="35"/>
        <w:tblW w:w="9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4"/>
        <w:gridCol w:w="1256"/>
        <w:gridCol w:w="2932"/>
        <w:gridCol w:w="1360"/>
        <w:gridCol w:w="27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restart"/>
            <w:vAlign w:val="center"/>
          </w:tcPr>
          <w:p>
            <w:pPr>
              <w:spacing w:line="360" w:lineRule="auto"/>
              <w:jc w:val="center"/>
              <w:rPr>
                <w:szCs w:val="21"/>
              </w:rPr>
            </w:pPr>
            <w:r>
              <w:rPr>
                <w:szCs w:val="21"/>
              </w:rPr>
              <w:t>序</w:t>
            </w:r>
          </w:p>
          <w:p>
            <w:pPr>
              <w:spacing w:line="360" w:lineRule="auto"/>
              <w:jc w:val="center"/>
              <w:rPr>
                <w:szCs w:val="21"/>
              </w:rPr>
            </w:pPr>
            <w:r>
              <w:rPr>
                <w:szCs w:val="21"/>
              </w:rPr>
              <w:t>号</w:t>
            </w:r>
          </w:p>
        </w:tc>
        <w:tc>
          <w:tcPr>
            <w:tcW w:w="4188" w:type="dxa"/>
            <w:gridSpan w:val="2"/>
            <w:vAlign w:val="center"/>
          </w:tcPr>
          <w:p>
            <w:pPr>
              <w:spacing w:line="360" w:lineRule="auto"/>
              <w:jc w:val="center"/>
              <w:rPr>
                <w:szCs w:val="21"/>
              </w:rPr>
            </w:pPr>
            <w:r>
              <w:rPr>
                <w:szCs w:val="21"/>
              </w:rPr>
              <w:t>招标文件</w:t>
            </w:r>
          </w:p>
        </w:tc>
        <w:tc>
          <w:tcPr>
            <w:tcW w:w="4143" w:type="dxa"/>
            <w:gridSpan w:val="2"/>
            <w:vAlign w:val="center"/>
          </w:tcPr>
          <w:p>
            <w:pPr>
              <w:spacing w:line="360" w:lineRule="auto"/>
              <w:jc w:val="center"/>
              <w:rPr>
                <w:szCs w:val="21"/>
              </w:rPr>
            </w:pPr>
            <w:r>
              <w:rPr>
                <w:szCs w:val="21"/>
              </w:rPr>
              <w:t>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continue"/>
            <w:vAlign w:val="center"/>
          </w:tcPr>
          <w:p>
            <w:pPr>
              <w:spacing w:line="360" w:lineRule="auto"/>
              <w:jc w:val="center"/>
              <w:rPr>
                <w:szCs w:val="21"/>
              </w:rPr>
            </w:pPr>
          </w:p>
        </w:tc>
        <w:tc>
          <w:tcPr>
            <w:tcW w:w="1256" w:type="dxa"/>
            <w:vAlign w:val="center"/>
          </w:tcPr>
          <w:p>
            <w:pPr>
              <w:spacing w:line="360" w:lineRule="auto"/>
              <w:jc w:val="center"/>
              <w:rPr>
                <w:szCs w:val="21"/>
              </w:rPr>
            </w:pPr>
            <w:r>
              <w:rPr>
                <w:szCs w:val="21"/>
              </w:rPr>
              <w:t>条目</w:t>
            </w:r>
          </w:p>
        </w:tc>
        <w:tc>
          <w:tcPr>
            <w:tcW w:w="2932" w:type="dxa"/>
            <w:vAlign w:val="center"/>
          </w:tcPr>
          <w:p>
            <w:pPr>
              <w:spacing w:line="360" w:lineRule="auto"/>
              <w:jc w:val="center"/>
              <w:rPr>
                <w:szCs w:val="21"/>
              </w:rPr>
            </w:pPr>
            <w:r>
              <w:rPr>
                <w:szCs w:val="21"/>
              </w:rPr>
              <w:t>简要内容</w:t>
            </w:r>
          </w:p>
        </w:tc>
        <w:tc>
          <w:tcPr>
            <w:tcW w:w="1360" w:type="dxa"/>
            <w:vAlign w:val="center"/>
          </w:tcPr>
          <w:p>
            <w:pPr>
              <w:spacing w:line="360" w:lineRule="auto"/>
              <w:jc w:val="center"/>
              <w:rPr>
                <w:szCs w:val="21"/>
              </w:rPr>
            </w:pPr>
            <w:r>
              <w:rPr>
                <w:szCs w:val="21"/>
              </w:rPr>
              <w:t>条目</w:t>
            </w:r>
          </w:p>
        </w:tc>
        <w:tc>
          <w:tcPr>
            <w:tcW w:w="2783" w:type="dxa"/>
            <w:vAlign w:val="center"/>
          </w:tcPr>
          <w:p>
            <w:pPr>
              <w:spacing w:line="360" w:lineRule="auto"/>
              <w:jc w:val="center"/>
              <w:rPr>
                <w:szCs w:val="21"/>
              </w:rPr>
            </w:pPr>
            <w:r>
              <w:rPr>
                <w:szCs w:val="21"/>
              </w:rPr>
              <w:t>简要内容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spacing w:line="360" w:lineRule="auto"/>
              <w:jc w:val="center"/>
              <w:textAlignment w:val="bottom"/>
              <w:rPr>
                <w:szCs w:val="21"/>
              </w:rPr>
            </w:pPr>
          </w:p>
        </w:tc>
        <w:tc>
          <w:tcPr>
            <w:tcW w:w="1256" w:type="dxa"/>
            <w:vAlign w:val="center"/>
          </w:tcPr>
          <w:p>
            <w:pPr>
              <w:widowControl/>
              <w:autoSpaceDE w:val="0"/>
              <w:autoSpaceDN w:val="0"/>
              <w:spacing w:line="360" w:lineRule="auto"/>
              <w:jc w:val="center"/>
              <w:textAlignment w:val="bottom"/>
              <w:rPr>
                <w:szCs w:val="21"/>
              </w:rPr>
            </w:pPr>
          </w:p>
        </w:tc>
        <w:tc>
          <w:tcPr>
            <w:tcW w:w="2932" w:type="dxa"/>
            <w:vAlign w:val="center"/>
          </w:tcPr>
          <w:p>
            <w:pPr>
              <w:widowControl/>
              <w:autoSpaceDE w:val="0"/>
              <w:autoSpaceDN w:val="0"/>
              <w:spacing w:line="360" w:lineRule="auto"/>
              <w:jc w:val="center"/>
              <w:textAlignment w:val="bottom"/>
              <w:rPr>
                <w:szCs w:val="21"/>
              </w:rPr>
            </w:pPr>
          </w:p>
        </w:tc>
        <w:tc>
          <w:tcPr>
            <w:tcW w:w="1360" w:type="dxa"/>
            <w:vAlign w:val="center"/>
          </w:tcPr>
          <w:p>
            <w:pPr>
              <w:widowControl/>
              <w:autoSpaceDE w:val="0"/>
              <w:autoSpaceDN w:val="0"/>
              <w:spacing w:line="360" w:lineRule="auto"/>
              <w:jc w:val="center"/>
              <w:textAlignment w:val="bottom"/>
              <w:rPr>
                <w:szCs w:val="21"/>
              </w:rPr>
            </w:pPr>
          </w:p>
        </w:tc>
        <w:tc>
          <w:tcPr>
            <w:tcW w:w="2783" w:type="dxa"/>
            <w:vAlign w:val="center"/>
          </w:tcPr>
          <w:p>
            <w:pPr>
              <w:widowControl/>
              <w:autoSpaceDE w:val="0"/>
              <w:autoSpaceDN w:val="0"/>
              <w:spacing w:line="360" w:lineRule="auto"/>
              <w:jc w:val="center"/>
              <w:textAlignment w:val="bottom"/>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spacing w:line="360" w:lineRule="auto"/>
              <w:jc w:val="center"/>
              <w:textAlignment w:val="bottom"/>
              <w:rPr>
                <w:szCs w:val="21"/>
              </w:rPr>
            </w:pPr>
          </w:p>
        </w:tc>
        <w:tc>
          <w:tcPr>
            <w:tcW w:w="1256" w:type="dxa"/>
            <w:vAlign w:val="center"/>
          </w:tcPr>
          <w:p>
            <w:pPr>
              <w:widowControl/>
              <w:autoSpaceDE w:val="0"/>
              <w:autoSpaceDN w:val="0"/>
              <w:spacing w:line="360" w:lineRule="auto"/>
              <w:jc w:val="center"/>
              <w:textAlignment w:val="bottom"/>
              <w:rPr>
                <w:szCs w:val="21"/>
              </w:rPr>
            </w:pPr>
          </w:p>
        </w:tc>
        <w:tc>
          <w:tcPr>
            <w:tcW w:w="2932" w:type="dxa"/>
            <w:vAlign w:val="center"/>
          </w:tcPr>
          <w:p>
            <w:pPr>
              <w:widowControl/>
              <w:autoSpaceDE w:val="0"/>
              <w:autoSpaceDN w:val="0"/>
              <w:spacing w:line="360" w:lineRule="auto"/>
              <w:jc w:val="center"/>
              <w:textAlignment w:val="bottom"/>
              <w:rPr>
                <w:szCs w:val="21"/>
              </w:rPr>
            </w:pPr>
          </w:p>
        </w:tc>
        <w:tc>
          <w:tcPr>
            <w:tcW w:w="1360" w:type="dxa"/>
            <w:vAlign w:val="center"/>
          </w:tcPr>
          <w:p>
            <w:pPr>
              <w:widowControl/>
              <w:autoSpaceDE w:val="0"/>
              <w:autoSpaceDN w:val="0"/>
              <w:spacing w:line="360" w:lineRule="auto"/>
              <w:jc w:val="center"/>
              <w:textAlignment w:val="bottom"/>
              <w:rPr>
                <w:szCs w:val="21"/>
              </w:rPr>
            </w:pPr>
          </w:p>
        </w:tc>
        <w:tc>
          <w:tcPr>
            <w:tcW w:w="2783" w:type="dxa"/>
            <w:vAlign w:val="center"/>
          </w:tcPr>
          <w:p>
            <w:pPr>
              <w:widowControl/>
              <w:autoSpaceDE w:val="0"/>
              <w:autoSpaceDN w:val="0"/>
              <w:spacing w:line="360" w:lineRule="auto"/>
              <w:jc w:val="center"/>
              <w:textAlignment w:val="bottom"/>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spacing w:line="360" w:lineRule="auto"/>
              <w:jc w:val="center"/>
              <w:textAlignment w:val="bottom"/>
              <w:rPr>
                <w:szCs w:val="21"/>
              </w:rPr>
            </w:pPr>
          </w:p>
        </w:tc>
        <w:tc>
          <w:tcPr>
            <w:tcW w:w="1256" w:type="dxa"/>
            <w:vAlign w:val="center"/>
          </w:tcPr>
          <w:p>
            <w:pPr>
              <w:widowControl/>
              <w:autoSpaceDE w:val="0"/>
              <w:autoSpaceDN w:val="0"/>
              <w:spacing w:line="360" w:lineRule="auto"/>
              <w:jc w:val="center"/>
              <w:textAlignment w:val="bottom"/>
              <w:rPr>
                <w:szCs w:val="21"/>
              </w:rPr>
            </w:pPr>
          </w:p>
        </w:tc>
        <w:tc>
          <w:tcPr>
            <w:tcW w:w="2932" w:type="dxa"/>
            <w:vAlign w:val="center"/>
          </w:tcPr>
          <w:p>
            <w:pPr>
              <w:widowControl/>
              <w:autoSpaceDE w:val="0"/>
              <w:autoSpaceDN w:val="0"/>
              <w:spacing w:line="360" w:lineRule="auto"/>
              <w:jc w:val="center"/>
              <w:textAlignment w:val="bottom"/>
              <w:rPr>
                <w:szCs w:val="21"/>
              </w:rPr>
            </w:pPr>
          </w:p>
        </w:tc>
        <w:tc>
          <w:tcPr>
            <w:tcW w:w="1360" w:type="dxa"/>
            <w:vAlign w:val="center"/>
          </w:tcPr>
          <w:p>
            <w:pPr>
              <w:widowControl/>
              <w:autoSpaceDE w:val="0"/>
              <w:autoSpaceDN w:val="0"/>
              <w:spacing w:line="360" w:lineRule="auto"/>
              <w:jc w:val="center"/>
              <w:textAlignment w:val="bottom"/>
              <w:rPr>
                <w:szCs w:val="21"/>
              </w:rPr>
            </w:pPr>
          </w:p>
        </w:tc>
        <w:tc>
          <w:tcPr>
            <w:tcW w:w="2783" w:type="dxa"/>
            <w:vAlign w:val="center"/>
          </w:tcPr>
          <w:p>
            <w:pPr>
              <w:widowControl/>
              <w:autoSpaceDE w:val="0"/>
              <w:autoSpaceDN w:val="0"/>
              <w:spacing w:line="360" w:lineRule="auto"/>
              <w:jc w:val="center"/>
              <w:textAlignment w:val="bottom"/>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spacing w:line="360" w:lineRule="auto"/>
              <w:jc w:val="center"/>
              <w:textAlignment w:val="bottom"/>
              <w:rPr>
                <w:szCs w:val="21"/>
              </w:rPr>
            </w:pPr>
          </w:p>
        </w:tc>
        <w:tc>
          <w:tcPr>
            <w:tcW w:w="1256" w:type="dxa"/>
            <w:vAlign w:val="center"/>
          </w:tcPr>
          <w:p>
            <w:pPr>
              <w:widowControl/>
              <w:autoSpaceDE w:val="0"/>
              <w:autoSpaceDN w:val="0"/>
              <w:spacing w:line="360" w:lineRule="auto"/>
              <w:jc w:val="center"/>
              <w:textAlignment w:val="bottom"/>
              <w:rPr>
                <w:szCs w:val="21"/>
              </w:rPr>
            </w:pPr>
          </w:p>
        </w:tc>
        <w:tc>
          <w:tcPr>
            <w:tcW w:w="2932" w:type="dxa"/>
            <w:vAlign w:val="center"/>
          </w:tcPr>
          <w:p>
            <w:pPr>
              <w:widowControl/>
              <w:autoSpaceDE w:val="0"/>
              <w:autoSpaceDN w:val="0"/>
              <w:spacing w:line="360" w:lineRule="auto"/>
              <w:jc w:val="center"/>
              <w:textAlignment w:val="bottom"/>
              <w:rPr>
                <w:szCs w:val="21"/>
              </w:rPr>
            </w:pPr>
          </w:p>
        </w:tc>
        <w:tc>
          <w:tcPr>
            <w:tcW w:w="1360" w:type="dxa"/>
            <w:vAlign w:val="center"/>
          </w:tcPr>
          <w:p>
            <w:pPr>
              <w:widowControl/>
              <w:autoSpaceDE w:val="0"/>
              <w:autoSpaceDN w:val="0"/>
              <w:spacing w:line="360" w:lineRule="auto"/>
              <w:jc w:val="center"/>
              <w:textAlignment w:val="bottom"/>
              <w:rPr>
                <w:szCs w:val="21"/>
              </w:rPr>
            </w:pPr>
          </w:p>
        </w:tc>
        <w:tc>
          <w:tcPr>
            <w:tcW w:w="2783" w:type="dxa"/>
            <w:vAlign w:val="center"/>
          </w:tcPr>
          <w:p>
            <w:pPr>
              <w:widowControl/>
              <w:autoSpaceDE w:val="0"/>
              <w:autoSpaceDN w:val="0"/>
              <w:spacing w:line="360" w:lineRule="auto"/>
              <w:jc w:val="center"/>
              <w:textAlignment w:val="bottom"/>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spacing w:line="360" w:lineRule="auto"/>
              <w:jc w:val="center"/>
              <w:textAlignment w:val="bottom"/>
              <w:rPr>
                <w:szCs w:val="21"/>
              </w:rPr>
            </w:pPr>
          </w:p>
        </w:tc>
        <w:tc>
          <w:tcPr>
            <w:tcW w:w="1256" w:type="dxa"/>
            <w:vAlign w:val="center"/>
          </w:tcPr>
          <w:p>
            <w:pPr>
              <w:widowControl/>
              <w:autoSpaceDE w:val="0"/>
              <w:autoSpaceDN w:val="0"/>
              <w:spacing w:line="360" w:lineRule="auto"/>
              <w:jc w:val="center"/>
              <w:textAlignment w:val="bottom"/>
              <w:rPr>
                <w:szCs w:val="21"/>
              </w:rPr>
            </w:pPr>
          </w:p>
        </w:tc>
        <w:tc>
          <w:tcPr>
            <w:tcW w:w="2932" w:type="dxa"/>
            <w:vAlign w:val="center"/>
          </w:tcPr>
          <w:p>
            <w:pPr>
              <w:widowControl/>
              <w:autoSpaceDE w:val="0"/>
              <w:autoSpaceDN w:val="0"/>
              <w:spacing w:line="360" w:lineRule="auto"/>
              <w:jc w:val="center"/>
              <w:textAlignment w:val="bottom"/>
              <w:rPr>
                <w:szCs w:val="21"/>
              </w:rPr>
            </w:pPr>
          </w:p>
        </w:tc>
        <w:tc>
          <w:tcPr>
            <w:tcW w:w="1360" w:type="dxa"/>
            <w:vAlign w:val="center"/>
          </w:tcPr>
          <w:p>
            <w:pPr>
              <w:widowControl/>
              <w:autoSpaceDE w:val="0"/>
              <w:autoSpaceDN w:val="0"/>
              <w:spacing w:line="360" w:lineRule="auto"/>
              <w:jc w:val="center"/>
              <w:textAlignment w:val="bottom"/>
              <w:rPr>
                <w:szCs w:val="21"/>
              </w:rPr>
            </w:pPr>
          </w:p>
        </w:tc>
        <w:tc>
          <w:tcPr>
            <w:tcW w:w="2783" w:type="dxa"/>
            <w:vAlign w:val="center"/>
          </w:tcPr>
          <w:p>
            <w:pPr>
              <w:widowControl/>
              <w:autoSpaceDE w:val="0"/>
              <w:autoSpaceDN w:val="0"/>
              <w:spacing w:line="360" w:lineRule="auto"/>
              <w:jc w:val="center"/>
              <w:textAlignment w:val="bottom"/>
              <w:rPr>
                <w:szCs w:val="21"/>
              </w:rPr>
            </w:pPr>
          </w:p>
        </w:tc>
      </w:tr>
    </w:tbl>
    <w:p>
      <w:pPr>
        <w:pStyle w:val="20"/>
        <w:wordWrap w:val="0"/>
        <w:adjustRightInd w:val="0"/>
        <w:snapToGrid w:val="0"/>
        <w:spacing w:before="156" w:beforeLines="50" w:line="360" w:lineRule="auto"/>
        <w:jc w:val="right"/>
        <w:rPr>
          <w:rFonts w:ascii="Times New Roman" w:hAnsi="Times New Roman"/>
          <w:szCs w:val="21"/>
        </w:rPr>
      </w:pPr>
      <w:r>
        <w:rPr>
          <w:rFonts w:hint="eastAsia" w:ascii="Times New Roman" w:hAnsi="Times New Roman"/>
          <w:szCs w:val="21"/>
        </w:rPr>
        <w:t>报价人</w:t>
      </w:r>
      <w:r>
        <w:rPr>
          <w:rFonts w:ascii="Times New Roman" w:hAnsi="Times New Roman"/>
          <w:szCs w:val="21"/>
        </w:rPr>
        <w:t>：</w:t>
      </w:r>
    </w:p>
    <w:p>
      <w:pPr>
        <w:pStyle w:val="20"/>
        <w:wordWrap w:val="0"/>
        <w:adjustRightInd w:val="0"/>
        <w:snapToGrid w:val="0"/>
        <w:spacing w:before="156" w:beforeLines="50" w:line="360" w:lineRule="auto"/>
        <w:jc w:val="right"/>
        <w:rPr>
          <w:rFonts w:ascii="Times New Roman" w:hAnsi="Times New Roman"/>
          <w:szCs w:val="21"/>
        </w:rPr>
      </w:pPr>
      <w:r>
        <w:rPr>
          <w:rFonts w:ascii="Times New Roman" w:hAnsi="Times New Roman"/>
          <w:szCs w:val="21"/>
        </w:rPr>
        <w:t>盖章：</w:t>
      </w:r>
    </w:p>
    <w:p>
      <w:pPr>
        <w:pStyle w:val="17"/>
        <w:spacing w:line="360" w:lineRule="auto"/>
        <w:jc w:val="both"/>
        <w:outlineLvl w:val="9"/>
        <w:rPr>
          <w:rFonts w:ascii="Times New Roman" w:hAnsi="Times New Roman" w:cs="Times New Roman"/>
          <w:sz w:val="21"/>
          <w:szCs w:val="21"/>
        </w:rPr>
        <w:sectPr>
          <w:footerReference r:id="rId3" w:type="default"/>
          <w:pgSz w:w="11906" w:h="16838"/>
          <w:pgMar w:top="1440" w:right="1800" w:bottom="1440" w:left="1800" w:header="851" w:footer="992" w:gutter="0"/>
          <w:pgNumType w:start="1"/>
          <w:cols w:space="425" w:num="1"/>
          <w:docGrid w:type="lines" w:linePitch="312" w:charSpace="0"/>
        </w:sectPr>
      </w:pPr>
    </w:p>
    <w:p>
      <w:pPr>
        <w:pStyle w:val="2"/>
      </w:pPr>
      <w:bookmarkStart w:id="209" w:name="_Toc79156685"/>
      <w:bookmarkStart w:id="210" w:name="_Toc2093146191"/>
      <w:bookmarkStart w:id="211" w:name="_Toc282420857"/>
      <w:bookmarkStart w:id="212" w:name="_Toc287602850"/>
      <w:bookmarkStart w:id="213" w:name="_Toc6735991"/>
      <w:bookmarkStart w:id="214" w:name="_Toc282421446"/>
      <w:bookmarkStart w:id="215" w:name="_Toc14944"/>
      <w:bookmarkStart w:id="216" w:name="_Toc79155080"/>
      <w:r>
        <w:rPr>
          <w:rFonts w:hint="eastAsia"/>
        </w:rPr>
        <w:t>报价人</w:t>
      </w:r>
      <w:r>
        <w:t>需说明的其他问题</w:t>
      </w:r>
      <w:bookmarkEnd w:id="209"/>
      <w:bookmarkEnd w:id="210"/>
      <w:bookmarkEnd w:id="211"/>
      <w:bookmarkEnd w:id="212"/>
      <w:bookmarkEnd w:id="213"/>
      <w:bookmarkEnd w:id="214"/>
      <w:bookmarkEnd w:id="215"/>
      <w:bookmarkEnd w:id="216"/>
    </w:p>
    <w:p>
      <w:pPr>
        <w:spacing w:line="360" w:lineRule="auto"/>
        <w:ind w:firstLine="420" w:firstLineChars="200"/>
      </w:pPr>
      <w:r>
        <w:t>如有需说明的其他问题，</w:t>
      </w:r>
      <w:r>
        <w:rPr>
          <w:rFonts w:hint="eastAsia"/>
        </w:rPr>
        <w:t>报价人</w:t>
      </w:r>
      <w:r>
        <w:t>应通过书面形式提交，并加盖公章。</w:t>
      </w:r>
    </w:p>
    <w:p>
      <w:pPr>
        <w:pStyle w:val="2"/>
        <w:sectPr>
          <w:headerReference r:id="rId4" w:type="default"/>
          <w:footerReference r:id="rId5" w:type="default"/>
          <w:pgSz w:w="11906" w:h="16838"/>
          <w:pgMar w:top="1440" w:right="1466" w:bottom="1440" w:left="1440" w:header="851" w:footer="992" w:gutter="0"/>
          <w:cols w:space="720" w:num="1"/>
          <w:docGrid w:type="lines" w:linePitch="312" w:charSpace="0"/>
        </w:sectPr>
      </w:pPr>
    </w:p>
    <w:p>
      <w:pPr>
        <w:pStyle w:val="2"/>
      </w:pPr>
      <w:bookmarkStart w:id="217" w:name="_Toc6203"/>
      <w:bookmarkStart w:id="218" w:name="_Toc116566657"/>
      <w:bookmarkStart w:id="219" w:name="_Toc667989360"/>
      <w:bookmarkStart w:id="220" w:name="_Toc14481"/>
      <w:r>
        <w:t>双方职责</w:t>
      </w:r>
      <w:bookmarkEnd w:id="217"/>
      <w:bookmarkEnd w:id="218"/>
      <w:bookmarkEnd w:id="219"/>
      <w:bookmarkEnd w:id="220"/>
    </w:p>
    <w:p>
      <w:pPr>
        <w:pStyle w:val="3"/>
        <w:rPr>
          <w:rFonts w:ascii="Times New Roman" w:hAnsi="Times New Roman"/>
          <w:b/>
          <w:bCs w:val="0"/>
          <w:sz w:val="21"/>
          <w:szCs w:val="21"/>
        </w:rPr>
      </w:pPr>
      <w:bookmarkStart w:id="221" w:name="_Toc116566658"/>
      <w:bookmarkStart w:id="222" w:name="_Toc18407"/>
      <w:bookmarkStart w:id="223" w:name="_Toc14948"/>
      <w:bookmarkStart w:id="224" w:name="_Toc1584760777"/>
      <w:r>
        <w:rPr>
          <w:rFonts w:hint="eastAsia" w:ascii="Times New Roman" w:hAnsi="Times New Roman"/>
          <w:b/>
          <w:bCs w:val="0"/>
          <w:sz w:val="21"/>
          <w:szCs w:val="21"/>
        </w:rPr>
        <w:t>采购人</w:t>
      </w:r>
      <w:r>
        <w:rPr>
          <w:rFonts w:ascii="Times New Roman" w:hAnsi="Times New Roman"/>
          <w:b/>
          <w:bCs w:val="0"/>
          <w:sz w:val="21"/>
          <w:szCs w:val="21"/>
        </w:rPr>
        <w:t>职责</w:t>
      </w:r>
      <w:bookmarkEnd w:id="221"/>
      <w:bookmarkEnd w:id="222"/>
      <w:bookmarkEnd w:id="223"/>
      <w:bookmarkEnd w:id="224"/>
    </w:p>
    <w:p>
      <w:pPr>
        <w:tabs>
          <w:tab w:val="left" w:pos="1985"/>
        </w:tabs>
        <w:spacing w:line="360" w:lineRule="auto"/>
        <w:ind w:firstLine="420" w:firstLineChars="200"/>
        <w:rPr>
          <w:szCs w:val="21"/>
        </w:rPr>
      </w:pPr>
      <w:r>
        <w:rPr>
          <w:rFonts w:hint="eastAsia"/>
          <w:szCs w:val="21"/>
        </w:rPr>
        <w:t>采购人</w:t>
      </w:r>
      <w:r>
        <w:rPr>
          <w:szCs w:val="21"/>
        </w:rPr>
        <w:t>有权对中标方的技术建议书的内容进行取舍。</w:t>
      </w:r>
    </w:p>
    <w:p>
      <w:pPr>
        <w:tabs>
          <w:tab w:val="left" w:pos="1985"/>
        </w:tabs>
        <w:spacing w:line="360" w:lineRule="auto"/>
        <w:ind w:firstLine="420" w:firstLineChars="200"/>
        <w:rPr>
          <w:szCs w:val="21"/>
        </w:rPr>
      </w:pPr>
      <w:r>
        <w:rPr>
          <w:szCs w:val="21"/>
        </w:rPr>
        <w:t>确认中标方提供的技术建议书。</w:t>
      </w:r>
    </w:p>
    <w:p>
      <w:pPr>
        <w:tabs>
          <w:tab w:val="left" w:pos="1985"/>
        </w:tabs>
        <w:spacing w:line="360" w:lineRule="auto"/>
        <w:ind w:firstLine="420" w:firstLineChars="200"/>
        <w:rPr>
          <w:szCs w:val="21"/>
        </w:rPr>
      </w:pPr>
      <w:r>
        <w:rPr>
          <w:szCs w:val="21"/>
        </w:rPr>
        <w:t>组织到货验收。</w:t>
      </w:r>
    </w:p>
    <w:p>
      <w:pPr>
        <w:tabs>
          <w:tab w:val="left" w:pos="1985"/>
        </w:tabs>
        <w:spacing w:line="360" w:lineRule="auto"/>
        <w:ind w:firstLine="420" w:firstLineChars="200"/>
        <w:rPr>
          <w:szCs w:val="21"/>
        </w:rPr>
      </w:pPr>
      <w:r>
        <w:rPr>
          <w:rFonts w:hint="eastAsia"/>
          <w:szCs w:val="21"/>
        </w:rPr>
        <w:t>采购人</w:t>
      </w:r>
      <w:r>
        <w:rPr>
          <w:szCs w:val="21"/>
        </w:rPr>
        <w:t>提供设备安装及运行所必须的条件和环境。</w:t>
      </w:r>
    </w:p>
    <w:p>
      <w:pPr>
        <w:tabs>
          <w:tab w:val="left" w:pos="1985"/>
        </w:tabs>
        <w:spacing w:line="360" w:lineRule="auto"/>
        <w:ind w:firstLine="420" w:firstLineChars="200"/>
        <w:rPr>
          <w:szCs w:val="21"/>
        </w:rPr>
      </w:pPr>
      <w:r>
        <w:rPr>
          <w:szCs w:val="21"/>
        </w:rPr>
        <w:t>负责对供货产品进行组织统检或者抽检工作。</w:t>
      </w:r>
    </w:p>
    <w:p>
      <w:pPr>
        <w:tabs>
          <w:tab w:val="left" w:pos="1985"/>
        </w:tabs>
        <w:spacing w:line="360" w:lineRule="auto"/>
        <w:ind w:firstLine="420" w:firstLineChars="200"/>
        <w:rPr>
          <w:szCs w:val="21"/>
        </w:rPr>
      </w:pPr>
      <w:r>
        <w:rPr>
          <w:szCs w:val="21"/>
        </w:rPr>
        <w:t>负责提供本系统硬件设备的现场布置图。</w:t>
      </w:r>
    </w:p>
    <w:p>
      <w:pPr>
        <w:tabs>
          <w:tab w:val="left" w:pos="1985"/>
        </w:tabs>
        <w:spacing w:line="360" w:lineRule="auto"/>
        <w:ind w:firstLine="420" w:firstLineChars="200"/>
        <w:rPr>
          <w:szCs w:val="21"/>
        </w:rPr>
      </w:pPr>
      <w:r>
        <w:rPr>
          <w:szCs w:val="21"/>
        </w:rPr>
        <w:t>负责协调与本系统互联的各个系统的接口工作。</w:t>
      </w:r>
    </w:p>
    <w:p>
      <w:pPr>
        <w:pStyle w:val="3"/>
        <w:rPr>
          <w:rFonts w:ascii="Times New Roman" w:hAnsi="Times New Roman"/>
          <w:b/>
          <w:bCs w:val="0"/>
          <w:sz w:val="21"/>
          <w:szCs w:val="21"/>
        </w:rPr>
      </w:pPr>
      <w:bookmarkStart w:id="225" w:name="_Toc940"/>
      <w:bookmarkStart w:id="226" w:name="_Toc116566659"/>
      <w:bookmarkStart w:id="227" w:name="_Toc1774058002"/>
      <w:bookmarkStart w:id="228" w:name="_Toc19962"/>
      <w:r>
        <w:rPr>
          <w:rFonts w:ascii="Times New Roman" w:hAnsi="Times New Roman"/>
          <w:b/>
          <w:bCs w:val="0"/>
          <w:sz w:val="21"/>
          <w:szCs w:val="21"/>
        </w:rPr>
        <w:t>中标方职责</w:t>
      </w:r>
      <w:bookmarkEnd w:id="225"/>
      <w:bookmarkEnd w:id="226"/>
      <w:bookmarkEnd w:id="227"/>
      <w:bookmarkEnd w:id="228"/>
    </w:p>
    <w:p>
      <w:pPr>
        <w:tabs>
          <w:tab w:val="left" w:pos="1985"/>
        </w:tabs>
        <w:spacing w:line="360" w:lineRule="auto"/>
        <w:ind w:firstLine="420" w:firstLineChars="200"/>
        <w:rPr>
          <w:szCs w:val="21"/>
        </w:rPr>
      </w:pPr>
      <w:r>
        <w:rPr>
          <w:szCs w:val="21"/>
        </w:rPr>
        <w:t>负责提供</w:t>
      </w:r>
      <w:r>
        <w:rPr>
          <w:rFonts w:hint="eastAsia"/>
          <w:szCs w:val="21"/>
        </w:rPr>
        <w:t>符合本技术规范书要求</w:t>
      </w:r>
      <w:r>
        <w:rPr>
          <w:szCs w:val="21"/>
        </w:rPr>
        <w:t>的产品；若出现产品质量不符合本技术规范书的情况，该中标方的本项目所有产品将被退回，</w:t>
      </w:r>
      <w:r>
        <w:rPr>
          <w:rFonts w:hint="eastAsia"/>
          <w:szCs w:val="21"/>
        </w:rPr>
        <w:t>采购人</w:t>
      </w:r>
      <w:r>
        <w:rPr>
          <w:szCs w:val="21"/>
        </w:rPr>
        <w:t>对中标方</w:t>
      </w:r>
      <w:r>
        <w:rPr>
          <w:rFonts w:hint="eastAsia"/>
          <w:szCs w:val="21"/>
        </w:rPr>
        <w:t>的</w:t>
      </w:r>
      <w:r>
        <w:rPr>
          <w:szCs w:val="21"/>
        </w:rPr>
        <w:t>评价</w:t>
      </w:r>
      <w:r>
        <w:rPr>
          <w:rFonts w:hint="eastAsia"/>
          <w:szCs w:val="21"/>
        </w:rPr>
        <w:t>将影响中标方在后续参与招标项目中的评分</w:t>
      </w:r>
      <w:r>
        <w:rPr>
          <w:szCs w:val="21"/>
        </w:rPr>
        <w:t>。</w:t>
      </w:r>
    </w:p>
    <w:p>
      <w:pPr>
        <w:tabs>
          <w:tab w:val="left" w:pos="1985"/>
        </w:tabs>
        <w:spacing w:line="360" w:lineRule="auto"/>
        <w:ind w:firstLine="420" w:firstLineChars="200"/>
        <w:rPr>
          <w:szCs w:val="21"/>
        </w:rPr>
      </w:pPr>
      <w:r>
        <w:rPr>
          <w:szCs w:val="21"/>
        </w:rPr>
        <w:t>负责提供本项目所需的设备及辅材，完成现场指导、调试及参加现场验收。</w:t>
      </w:r>
    </w:p>
    <w:p>
      <w:pPr>
        <w:tabs>
          <w:tab w:val="left" w:pos="1985"/>
        </w:tabs>
        <w:spacing w:line="360" w:lineRule="auto"/>
        <w:ind w:firstLine="420" w:firstLineChars="200"/>
        <w:rPr>
          <w:szCs w:val="21"/>
        </w:rPr>
      </w:pPr>
      <w:r>
        <w:rPr>
          <w:szCs w:val="21"/>
        </w:rPr>
        <w:t>负责对</w:t>
      </w:r>
      <w:r>
        <w:rPr>
          <w:rFonts w:hint="eastAsia"/>
          <w:szCs w:val="21"/>
        </w:rPr>
        <w:t>采购人</w:t>
      </w:r>
      <w:r>
        <w:rPr>
          <w:szCs w:val="21"/>
        </w:rPr>
        <w:t>专业人员的技术培训（包括硬件、软件的维护及运行培训）。</w:t>
      </w:r>
    </w:p>
    <w:p>
      <w:pPr>
        <w:tabs>
          <w:tab w:val="left" w:pos="1985"/>
        </w:tabs>
        <w:spacing w:line="360" w:lineRule="auto"/>
        <w:ind w:firstLine="420" w:firstLineChars="200"/>
        <w:rPr>
          <w:szCs w:val="21"/>
        </w:rPr>
      </w:pPr>
      <w:r>
        <w:rPr>
          <w:szCs w:val="21"/>
        </w:rPr>
        <w:t>负责提供供货范围内所有设备的文件资料和运行维护手册。</w:t>
      </w:r>
    </w:p>
    <w:p>
      <w:pPr>
        <w:tabs>
          <w:tab w:val="left" w:pos="1985"/>
        </w:tabs>
        <w:spacing w:line="360" w:lineRule="auto"/>
        <w:ind w:firstLine="420" w:firstLineChars="200"/>
        <w:rPr>
          <w:szCs w:val="21"/>
        </w:rPr>
      </w:pPr>
      <w:r>
        <w:rPr>
          <w:szCs w:val="21"/>
        </w:rPr>
        <w:t>负责本项目设备的运输和运输保险，包括将产品运输至</w:t>
      </w:r>
      <w:r>
        <w:rPr>
          <w:rFonts w:hint="eastAsia"/>
          <w:szCs w:val="21"/>
        </w:rPr>
        <w:t>采购人</w:t>
      </w:r>
      <w:r>
        <w:rPr>
          <w:szCs w:val="21"/>
        </w:rPr>
        <w:t>厂房的运输费用以及从</w:t>
      </w:r>
      <w:r>
        <w:rPr>
          <w:rFonts w:hint="eastAsia"/>
          <w:szCs w:val="21"/>
        </w:rPr>
        <w:t>采购人</w:t>
      </w:r>
      <w:r>
        <w:rPr>
          <w:szCs w:val="21"/>
        </w:rPr>
        <w:t>厂房运输至指定位置的二次运输费用。</w:t>
      </w:r>
    </w:p>
    <w:p>
      <w:pPr>
        <w:tabs>
          <w:tab w:val="left" w:pos="1985"/>
        </w:tabs>
        <w:spacing w:line="360" w:lineRule="auto"/>
        <w:ind w:firstLine="420" w:firstLineChars="200"/>
        <w:rPr>
          <w:szCs w:val="21"/>
        </w:rPr>
      </w:pPr>
      <w:r>
        <w:rPr>
          <w:szCs w:val="21"/>
        </w:rPr>
        <w:t>负责本项目在质保期内的正常运行。</w:t>
      </w:r>
    </w:p>
    <w:p>
      <w:pPr>
        <w:tabs>
          <w:tab w:val="left" w:pos="1985"/>
        </w:tabs>
        <w:spacing w:line="360" w:lineRule="auto"/>
        <w:ind w:firstLine="420" w:firstLineChars="200"/>
        <w:rPr>
          <w:szCs w:val="21"/>
        </w:rPr>
      </w:pPr>
      <w:r>
        <w:rPr>
          <w:szCs w:val="21"/>
        </w:rPr>
        <w:t>协助</w:t>
      </w:r>
      <w:r>
        <w:rPr>
          <w:rFonts w:hint="eastAsia"/>
          <w:szCs w:val="21"/>
        </w:rPr>
        <w:t>采购人</w:t>
      </w:r>
      <w:r>
        <w:rPr>
          <w:szCs w:val="21"/>
        </w:rPr>
        <w:t>对所供项目进行扩容升级、增加功能等工作，并优惠提供最新开发的应用软件。</w:t>
      </w:r>
    </w:p>
    <w:p>
      <w:pPr>
        <w:tabs>
          <w:tab w:val="left" w:pos="1985"/>
        </w:tabs>
        <w:spacing w:line="360" w:lineRule="auto"/>
        <w:ind w:firstLine="420" w:firstLineChars="200"/>
        <w:rPr>
          <w:szCs w:val="21"/>
        </w:rPr>
      </w:pPr>
      <w:r>
        <w:rPr>
          <w:szCs w:val="21"/>
        </w:rPr>
        <w:t>中标方提供的设备参数或配置接线有变化时，应及时书面通知</w:t>
      </w:r>
      <w:r>
        <w:rPr>
          <w:rFonts w:hint="eastAsia"/>
          <w:szCs w:val="21"/>
        </w:rPr>
        <w:t>采购人</w:t>
      </w:r>
      <w:r>
        <w:rPr>
          <w:szCs w:val="21"/>
        </w:rPr>
        <w:t>，否则由此引起的一切后果将由中标方承担。</w:t>
      </w:r>
    </w:p>
    <w:p>
      <w:pPr>
        <w:adjustRightInd w:val="0"/>
        <w:spacing w:line="360" w:lineRule="auto"/>
        <w:ind w:firstLine="420" w:firstLineChars="200"/>
        <w:rPr>
          <w:szCs w:val="21"/>
        </w:rPr>
      </w:pPr>
      <w:r>
        <w:rPr>
          <w:szCs w:val="21"/>
        </w:rPr>
        <w:t>供货时提供下列资料：出厂试验报告、产品合格证，维护、修理说明书。中标方应提供上述资料的电子版本1份。</w:t>
      </w:r>
    </w:p>
    <w:p>
      <w:pPr>
        <w:widowControl/>
        <w:jc w:val="left"/>
        <w:rPr>
          <w:szCs w:val="21"/>
        </w:rPr>
      </w:pPr>
      <w:r>
        <w:rPr>
          <w:szCs w:val="21"/>
        </w:rPr>
        <w:br w:type="page"/>
      </w:r>
    </w:p>
    <w:p>
      <w:pPr>
        <w:pStyle w:val="2"/>
        <w:numPr>
          <w:ilvl w:val="0"/>
          <w:numId w:val="0"/>
        </w:numPr>
        <w:ind w:left="432"/>
      </w:pPr>
      <w:bookmarkStart w:id="229" w:name="_Toc1814533689"/>
      <w:bookmarkStart w:id="230" w:name="_Toc25980"/>
      <w:r>
        <w:t>附  录  A  有线RS485通信方案</w:t>
      </w:r>
      <w:bookmarkEnd w:id="229"/>
      <w:bookmarkEnd w:id="230"/>
    </w:p>
    <w:p>
      <w:pPr>
        <w:rPr>
          <w:b/>
          <w:bCs/>
          <w:szCs w:val="21"/>
        </w:rPr>
      </w:pPr>
      <w:r>
        <w:rPr>
          <w:sz w:val="20"/>
        </w:rPr>
        <w:drawing>
          <wp:anchor distT="0" distB="0" distL="0" distR="0" simplePos="0" relativeHeight="251663360" behindDoc="1" locked="0" layoutInCell="1" allowOverlap="1">
            <wp:simplePos x="0" y="0"/>
            <wp:positionH relativeFrom="page">
              <wp:posOffset>1805305</wp:posOffset>
            </wp:positionH>
            <wp:positionV relativeFrom="paragraph">
              <wp:posOffset>332740</wp:posOffset>
            </wp:positionV>
            <wp:extent cx="4290060" cy="2035810"/>
            <wp:effectExtent l="0" t="0" r="0" b="0"/>
            <wp:wrapTopAndBottom/>
            <wp:docPr id="254771323" name="Image 1"/>
            <wp:cNvGraphicFramePr/>
            <a:graphic xmlns:a="http://schemas.openxmlformats.org/drawingml/2006/main">
              <a:graphicData uri="http://schemas.openxmlformats.org/drawingml/2006/picture">
                <pic:pic xmlns:pic="http://schemas.openxmlformats.org/drawingml/2006/picture">
                  <pic:nvPicPr>
                    <pic:cNvPr id="254771323" name="Image 1"/>
                    <pic:cNvPicPr/>
                  </pic:nvPicPr>
                  <pic:blipFill>
                    <a:blip r:embed="rId16" cstate="print"/>
                    <a:stretch>
                      <a:fillRect/>
                    </a:stretch>
                  </pic:blipFill>
                  <pic:spPr>
                    <a:xfrm>
                      <a:off x="0" y="0"/>
                      <a:ext cx="4289909" cy="2035968"/>
                    </a:xfrm>
                    <a:prstGeom prst="rect">
                      <a:avLst/>
                    </a:prstGeom>
                  </pic:spPr>
                </pic:pic>
              </a:graphicData>
            </a:graphic>
          </wp:anchor>
        </w:drawing>
      </w:r>
      <w:r>
        <w:rPr>
          <w:rFonts w:hint="eastAsia"/>
          <w:b/>
          <w:bCs/>
          <w:szCs w:val="21"/>
        </w:rPr>
        <w:t>1、</w:t>
      </w:r>
      <w:r>
        <w:rPr>
          <w:b/>
          <w:bCs/>
          <w:szCs w:val="21"/>
        </w:rPr>
        <w:t>概述</w:t>
      </w:r>
    </w:p>
    <w:p>
      <w:pPr>
        <w:spacing w:line="360" w:lineRule="auto"/>
        <w:ind w:firstLine="420" w:firstLineChars="200"/>
      </w:pPr>
      <w:bookmarkStart w:id="231" w:name="_Hlk195099890"/>
      <w:r>
        <w:t>其中，Modbus-RTU(RS485)通信在一路 RS485 总线上最大容纳 30 个终端设备接入，性能指标要求见下表：</w:t>
      </w:r>
    </w:p>
    <w:bookmarkEnd w:id="231"/>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5"/>
        <w:gridCol w:w="44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5" w:type="dxa"/>
          </w:tcPr>
          <w:p>
            <w:pPr>
              <w:spacing w:line="360" w:lineRule="auto"/>
              <w:rPr>
                <w:szCs w:val="21"/>
              </w:rPr>
            </w:pPr>
            <w:r>
              <w:rPr>
                <w:szCs w:val="21"/>
              </w:rPr>
              <w:t>场景</w:t>
            </w:r>
          </w:p>
        </w:tc>
        <w:tc>
          <w:tcPr>
            <w:tcW w:w="4495" w:type="dxa"/>
          </w:tcPr>
          <w:p>
            <w:pPr>
              <w:spacing w:line="360" w:lineRule="auto"/>
              <w:rPr>
                <w:szCs w:val="21"/>
              </w:rPr>
            </w:pPr>
            <w:r>
              <w:rPr>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5" w:type="dxa"/>
          </w:tcPr>
          <w:p>
            <w:pPr>
              <w:spacing w:line="360" w:lineRule="auto"/>
              <w:rPr>
                <w:szCs w:val="21"/>
              </w:rPr>
            </w:pPr>
            <w:r>
              <w:rPr>
                <w:spacing w:val="-3"/>
              </w:rPr>
              <w:t>平台及终端设备首次上电</w:t>
            </w:r>
          </w:p>
        </w:tc>
        <w:tc>
          <w:tcPr>
            <w:tcW w:w="4495" w:type="dxa"/>
          </w:tcPr>
          <w:p>
            <w:pPr>
              <w:pStyle w:val="214"/>
              <w:spacing w:before="2"/>
              <w:ind w:left="0"/>
              <w:rPr>
                <w:rFonts w:ascii="Times New Roman" w:hAnsi="Times New Roman" w:cs="Times New Roman"/>
                <w:sz w:val="21"/>
              </w:rPr>
            </w:pPr>
            <w:r>
              <w:rPr>
                <w:rFonts w:ascii="Times New Roman" w:hAnsi="Times New Roman" w:cs="Times New Roman"/>
                <w:spacing w:val="-15"/>
                <w:sz w:val="21"/>
              </w:rPr>
              <w:t xml:space="preserve">平台在 </w:t>
            </w:r>
            <w:r>
              <w:rPr>
                <w:rFonts w:ascii="Times New Roman" w:hAnsi="Times New Roman" w:cs="Times New Roman"/>
                <w:spacing w:val="-2"/>
                <w:sz w:val="21"/>
              </w:rPr>
              <w:t>10</w:t>
            </w:r>
            <w:r>
              <w:rPr>
                <w:rFonts w:ascii="Times New Roman" w:hAnsi="Times New Roman" w:cs="Times New Roman"/>
                <w:spacing w:val="-10"/>
                <w:sz w:val="21"/>
              </w:rPr>
              <w:t xml:space="preserve"> 秒内感知终端设备，</w:t>
            </w:r>
            <w:r>
              <w:rPr>
                <w:rFonts w:ascii="Times New Roman" w:hAnsi="Times New Roman" w:cs="Times New Roman"/>
                <w:spacing w:val="-2"/>
                <w:sz w:val="21"/>
              </w:rPr>
              <w:t>30</w:t>
            </w:r>
            <w:r>
              <w:rPr>
                <w:rFonts w:ascii="Times New Roman" w:hAnsi="Times New Roman" w:cs="Times New Roman"/>
                <w:spacing w:val="-14"/>
                <w:sz w:val="21"/>
              </w:rPr>
              <w:t xml:space="preserve"> 秒内实现</w:t>
            </w:r>
          </w:p>
          <w:p>
            <w:pPr>
              <w:spacing w:line="360" w:lineRule="auto"/>
              <w:rPr>
                <w:szCs w:val="21"/>
              </w:rPr>
            </w:pPr>
            <w:r>
              <w:rPr>
                <w:spacing w:val="-7"/>
              </w:rPr>
              <w:t>设备接入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5" w:type="dxa"/>
          </w:tcPr>
          <w:p>
            <w:pPr>
              <w:spacing w:line="360" w:lineRule="auto"/>
              <w:rPr>
                <w:szCs w:val="21"/>
              </w:rPr>
            </w:pPr>
            <w:r>
              <w:rPr>
                <w:spacing w:val="-3"/>
              </w:rPr>
              <w:t>平台运行中，终端设备首次上电</w:t>
            </w:r>
          </w:p>
        </w:tc>
        <w:tc>
          <w:tcPr>
            <w:tcW w:w="4495" w:type="dxa"/>
          </w:tcPr>
          <w:p>
            <w:pPr>
              <w:pStyle w:val="214"/>
              <w:spacing w:before="1"/>
              <w:ind w:left="106"/>
              <w:rPr>
                <w:rFonts w:ascii="Times New Roman" w:hAnsi="Times New Roman" w:cs="Times New Roman"/>
                <w:sz w:val="21"/>
              </w:rPr>
            </w:pPr>
            <w:r>
              <w:rPr>
                <w:rFonts w:ascii="Times New Roman" w:hAnsi="Times New Roman" w:cs="Times New Roman"/>
                <w:spacing w:val="-15"/>
                <w:sz w:val="21"/>
              </w:rPr>
              <w:t xml:space="preserve">平台在 </w:t>
            </w:r>
            <w:r>
              <w:rPr>
                <w:rFonts w:ascii="Times New Roman" w:hAnsi="Times New Roman" w:cs="Times New Roman"/>
                <w:spacing w:val="-2"/>
                <w:sz w:val="21"/>
              </w:rPr>
              <w:t>30</w:t>
            </w:r>
            <w:r>
              <w:rPr>
                <w:rFonts w:ascii="Times New Roman" w:hAnsi="Times New Roman" w:cs="Times New Roman"/>
                <w:spacing w:val="-10"/>
                <w:sz w:val="21"/>
              </w:rPr>
              <w:t xml:space="preserve"> 秒内感知终端设备，</w:t>
            </w:r>
            <w:r>
              <w:rPr>
                <w:rFonts w:ascii="Times New Roman" w:hAnsi="Times New Roman" w:cs="Times New Roman"/>
                <w:spacing w:val="-2"/>
                <w:sz w:val="21"/>
              </w:rPr>
              <w:t>40</w:t>
            </w:r>
            <w:r>
              <w:rPr>
                <w:rFonts w:ascii="Times New Roman" w:hAnsi="Times New Roman" w:cs="Times New Roman"/>
                <w:spacing w:val="-14"/>
                <w:sz w:val="21"/>
              </w:rPr>
              <w:t xml:space="preserve"> 秒内实现</w:t>
            </w:r>
          </w:p>
          <w:p>
            <w:pPr>
              <w:spacing w:line="360" w:lineRule="auto"/>
              <w:rPr>
                <w:szCs w:val="21"/>
              </w:rPr>
            </w:pPr>
            <w:r>
              <w:rPr>
                <w:spacing w:val="-7"/>
              </w:rPr>
              <w:t>设备接入</w:t>
            </w:r>
          </w:p>
        </w:tc>
      </w:tr>
    </w:tbl>
    <w:p>
      <w:pPr>
        <w:rPr>
          <w:b/>
          <w:bCs/>
          <w:szCs w:val="21"/>
        </w:rPr>
      </w:pPr>
      <w:r>
        <w:rPr>
          <w:rFonts w:hint="eastAsia"/>
          <w:b/>
          <w:bCs/>
          <w:szCs w:val="21"/>
        </w:rPr>
        <w:t>2、</w:t>
      </w:r>
      <w:r>
        <w:rPr>
          <w:b/>
          <w:bCs/>
          <w:szCs w:val="21"/>
        </w:rPr>
        <w:t>定义</w:t>
      </w:r>
    </w:p>
    <w:p>
      <w:pPr>
        <w:spacing w:line="360" w:lineRule="auto"/>
      </w:pPr>
      <w:r>
        <w:t>平台：</w:t>
      </w:r>
    </w:p>
    <w:p>
      <w:pPr>
        <w:spacing w:line="360" w:lineRule="auto"/>
      </w:pPr>
      <w:r>
        <w:t xml:space="preserve">    统一通过网口、RS485口接入终端设备，基于物模型实现一体化应用。</w:t>
      </w:r>
    </w:p>
    <w:p>
      <w:pPr>
        <w:spacing w:line="360" w:lineRule="auto"/>
      </w:pPr>
      <w:r>
        <w:t>终端设备（网口）：</w:t>
      </w:r>
    </w:p>
    <w:p>
      <w:pPr>
        <w:spacing w:line="360" w:lineRule="auto"/>
        <w:ind w:firstLine="420" w:firstLineChars="200"/>
      </w:pPr>
      <w:r>
        <w:t>具备网络口的终端设备。</w:t>
      </w:r>
    </w:p>
    <w:p>
      <w:pPr>
        <w:spacing w:line="360" w:lineRule="auto"/>
      </w:pPr>
      <w:r>
        <w:t>终端设备（485）：</w:t>
      </w:r>
    </w:p>
    <w:p>
      <w:pPr>
        <w:spacing w:line="360" w:lineRule="auto"/>
        <w:ind w:firstLine="420" w:firstLineChars="200"/>
      </w:pPr>
      <w:r>
        <w:t>具备RS485口的终端设备，终端设备出厂应具备通过RS485向外传输设备id的能力。</w:t>
      </w:r>
    </w:p>
    <w:p>
      <w:pPr>
        <w:spacing w:line="360" w:lineRule="auto"/>
      </w:pPr>
      <w:r>
        <w:t>RS485设备即插即用：</w:t>
      </w:r>
    </w:p>
    <w:p>
      <w:pPr>
        <w:spacing w:line="360" w:lineRule="auto"/>
        <w:ind w:firstLine="420" w:firstLineChars="200"/>
      </w:pPr>
      <w:r>
        <w:t>设备接入RS485总线后，无需进行RS485通信配置及平台配置即可实现数据交互。</w:t>
      </w:r>
    </w:p>
    <w:p>
      <w:pPr>
        <w:rPr>
          <w:b/>
          <w:bCs/>
          <w:szCs w:val="21"/>
        </w:rPr>
      </w:pPr>
      <w:r>
        <w:rPr>
          <w:rFonts w:hint="eastAsia"/>
          <w:b/>
          <w:bCs/>
          <w:szCs w:val="21"/>
        </w:rPr>
        <w:t>3、</w:t>
      </w:r>
      <w:r>
        <w:rPr>
          <w:b/>
          <w:bCs/>
          <w:szCs w:val="21"/>
        </w:rPr>
        <w:t>通信机制规定</w:t>
      </w:r>
    </w:p>
    <w:p>
      <w:pPr>
        <w:spacing w:line="360" w:lineRule="auto"/>
        <w:ind w:firstLine="420" w:firstLineChars="200"/>
      </w:pPr>
      <w:r>
        <w:t>数据编码字节高低遵循Modbus标准，设备出厂RS485通信配置应设置为波特率19200， 八位数据位，一位停止位，无校验。设备发现配置、通信建立部分基于Modbus扩展实现。 通信地址及功能码定义见下表。</w:t>
      </w:r>
    </w:p>
    <w:tbl>
      <w:tblPr>
        <w:tblStyle w:val="2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25"/>
        <w:gridCol w:w="1925"/>
        <w:gridCol w:w="1925"/>
        <w:gridCol w:w="22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925" w:type="dxa"/>
          </w:tcPr>
          <w:p>
            <w:pPr>
              <w:pStyle w:val="214"/>
              <w:spacing w:before="50"/>
              <w:rPr>
                <w:rFonts w:ascii="Times New Roman" w:hAnsi="Times New Roman" w:cs="Times New Roman"/>
                <w:sz w:val="21"/>
                <w:szCs w:val="21"/>
              </w:rPr>
            </w:pPr>
            <w:r>
              <w:rPr>
                <w:rFonts w:ascii="Times New Roman" w:hAnsi="Times New Roman" w:cs="Times New Roman"/>
                <w:spacing w:val="-8"/>
                <w:sz w:val="21"/>
                <w:szCs w:val="21"/>
              </w:rPr>
              <w:t>用途</w:t>
            </w:r>
          </w:p>
        </w:tc>
        <w:tc>
          <w:tcPr>
            <w:tcW w:w="1925" w:type="dxa"/>
          </w:tcPr>
          <w:p>
            <w:pPr>
              <w:pStyle w:val="214"/>
              <w:spacing w:before="50"/>
              <w:rPr>
                <w:rFonts w:ascii="Times New Roman" w:hAnsi="Times New Roman" w:cs="Times New Roman"/>
                <w:sz w:val="21"/>
                <w:szCs w:val="21"/>
              </w:rPr>
            </w:pPr>
            <w:r>
              <w:rPr>
                <w:rFonts w:ascii="Times New Roman" w:hAnsi="Times New Roman" w:cs="Times New Roman"/>
                <w:spacing w:val="-8"/>
                <w:sz w:val="21"/>
                <w:szCs w:val="21"/>
              </w:rPr>
              <w:t>地址</w:t>
            </w:r>
          </w:p>
        </w:tc>
        <w:tc>
          <w:tcPr>
            <w:tcW w:w="1925" w:type="dxa"/>
          </w:tcPr>
          <w:p>
            <w:pPr>
              <w:pStyle w:val="214"/>
              <w:spacing w:before="50"/>
              <w:rPr>
                <w:rFonts w:ascii="Times New Roman" w:hAnsi="Times New Roman" w:cs="Times New Roman"/>
                <w:sz w:val="21"/>
                <w:szCs w:val="21"/>
              </w:rPr>
            </w:pPr>
            <w:r>
              <w:rPr>
                <w:rFonts w:ascii="Times New Roman" w:hAnsi="Times New Roman" w:cs="Times New Roman"/>
                <w:spacing w:val="-5"/>
                <w:sz w:val="21"/>
                <w:szCs w:val="21"/>
              </w:rPr>
              <w:t>功能码</w:t>
            </w:r>
          </w:p>
        </w:tc>
        <w:tc>
          <w:tcPr>
            <w:tcW w:w="2211" w:type="dxa"/>
          </w:tcPr>
          <w:p>
            <w:pPr>
              <w:pStyle w:val="214"/>
              <w:spacing w:before="50"/>
              <w:rPr>
                <w:rFonts w:ascii="Times New Roman" w:hAnsi="Times New Roman" w:cs="Times New Roman"/>
                <w:sz w:val="21"/>
                <w:szCs w:val="21"/>
              </w:rPr>
            </w:pPr>
            <w:r>
              <w:rPr>
                <w:rFonts w:ascii="Times New Roman" w:hAnsi="Times New Roman" w:cs="Times New Roman"/>
                <w:spacing w:val="-7"/>
                <w:sz w:val="21"/>
                <w:szCs w:val="21"/>
              </w:rPr>
              <w:t>应答机制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1925" w:type="dxa"/>
          </w:tcPr>
          <w:p>
            <w:pPr>
              <w:pStyle w:val="214"/>
              <w:spacing w:before="50"/>
              <w:rPr>
                <w:rFonts w:ascii="Times New Roman" w:hAnsi="Times New Roman" w:cs="Times New Roman"/>
                <w:sz w:val="21"/>
                <w:szCs w:val="21"/>
              </w:rPr>
            </w:pPr>
            <w:r>
              <w:rPr>
                <w:rFonts w:ascii="Times New Roman" w:hAnsi="Times New Roman" w:cs="Times New Roman"/>
                <w:spacing w:val="-7"/>
                <w:sz w:val="21"/>
                <w:szCs w:val="21"/>
              </w:rPr>
              <w:t>数据交互</w:t>
            </w:r>
          </w:p>
        </w:tc>
        <w:tc>
          <w:tcPr>
            <w:tcW w:w="1925" w:type="dxa"/>
          </w:tcPr>
          <w:p>
            <w:pPr>
              <w:pStyle w:val="214"/>
              <w:spacing w:before="50"/>
              <w:rPr>
                <w:rFonts w:ascii="Times New Roman" w:hAnsi="Times New Roman" w:cs="Times New Roman"/>
                <w:sz w:val="21"/>
                <w:szCs w:val="21"/>
              </w:rPr>
            </w:pPr>
            <w:r>
              <w:rPr>
                <w:rFonts w:ascii="Times New Roman" w:hAnsi="Times New Roman" w:cs="Times New Roman"/>
                <w:sz w:val="21"/>
                <w:szCs w:val="21"/>
              </w:rPr>
              <w:t>1</w:t>
            </w:r>
            <w:r>
              <w:rPr>
                <w:rFonts w:ascii="Times New Roman" w:hAnsi="Times New Roman" w:cs="Times New Roman"/>
                <w:spacing w:val="-1"/>
                <w:sz w:val="21"/>
                <w:szCs w:val="21"/>
              </w:rPr>
              <w:t xml:space="preserve"> </w:t>
            </w:r>
            <w:r>
              <w:rPr>
                <w:rFonts w:ascii="Times New Roman" w:hAnsi="Times New Roman" w:cs="Times New Roman"/>
                <w:sz w:val="21"/>
                <w:szCs w:val="21"/>
              </w:rPr>
              <w:t>~</w:t>
            </w:r>
            <w:r>
              <w:rPr>
                <w:rFonts w:ascii="Times New Roman" w:hAnsi="Times New Roman" w:cs="Times New Roman"/>
                <w:spacing w:val="-2"/>
                <w:sz w:val="21"/>
                <w:szCs w:val="21"/>
              </w:rPr>
              <w:t xml:space="preserve"> </w:t>
            </w:r>
            <w:r>
              <w:rPr>
                <w:rFonts w:ascii="Times New Roman" w:hAnsi="Times New Roman" w:cs="Times New Roman"/>
                <w:spacing w:val="-5"/>
                <w:sz w:val="21"/>
                <w:szCs w:val="21"/>
              </w:rPr>
              <w:t>247</w:t>
            </w:r>
          </w:p>
        </w:tc>
        <w:tc>
          <w:tcPr>
            <w:tcW w:w="1925" w:type="dxa"/>
          </w:tcPr>
          <w:p>
            <w:pPr>
              <w:pStyle w:val="214"/>
              <w:spacing w:before="50"/>
              <w:rPr>
                <w:rFonts w:ascii="Times New Roman" w:hAnsi="Times New Roman" w:cs="Times New Roman"/>
                <w:sz w:val="21"/>
                <w:szCs w:val="21"/>
              </w:rPr>
            </w:pPr>
            <w:r>
              <w:rPr>
                <w:rFonts w:ascii="Times New Roman" w:hAnsi="Times New Roman" w:cs="Times New Roman"/>
                <w:spacing w:val="5"/>
                <w:sz w:val="21"/>
                <w:szCs w:val="21"/>
              </w:rPr>
              <w:t>遵循标准</w:t>
            </w:r>
            <w:r>
              <w:rPr>
                <w:rFonts w:ascii="Times New Roman" w:hAnsi="Times New Roman" w:cs="Times New Roman"/>
                <w:spacing w:val="-2"/>
                <w:sz w:val="21"/>
                <w:szCs w:val="21"/>
              </w:rPr>
              <w:t>Modbus</w:t>
            </w:r>
          </w:p>
        </w:tc>
        <w:tc>
          <w:tcPr>
            <w:tcW w:w="2211" w:type="dxa"/>
          </w:tcPr>
          <w:p>
            <w:pPr>
              <w:pStyle w:val="214"/>
              <w:spacing w:before="50"/>
              <w:rPr>
                <w:rFonts w:ascii="Times New Roman" w:hAnsi="Times New Roman" w:cs="Times New Roman"/>
                <w:sz w:val="21"/>
                <w:szCs w:val="21"/>
              </w:rPr>
            </w:pPr>
            <w:r>
              <w:rPr>
                <w:rFonts w:ascii="Times New Roman" w:hAnsi="Times New Roman" w:cs="Times New Roman"/>
                <w:spacing w:val="-12"/>
                <w:sz w:val="21"/>
                <w:szCs w:val="21"/>
              </w:rPr>
              <w:t xml:space="preserve">遵循标准 </w:t>
            </w:r>
            <w:r>
              <w:rPr>
                <w:rFonts w:ascii="Times New Roman" w:hAnsi="Times New Roman" w:cs="Times New Roman"/>
                <w:spacing w:val="-4"/>
                <w:sz w:val="21"/>
                <w:szCs w:val="21"/>
              </w:rPr>
              <w:t>Modbus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925" w:type="dxa"/>
          </w:tcPr>
          <w:p>
            <w:pPr>
              <w:pStyle w:val="214"/>
              <w:spacing w:before="0" w:line="368" w:lineRule="exact"/>
              <w:rPr>
                <w:rFonts w:ascii="Times New Roman" w:hAnsi="Times New Roman" w:cs="Times New Roman"/>
                <w:sz w:val="21"/>
                <w:szCs w:val="21"/>
              </w:rPr>
            </w:pPr>
            <w:r>
              <w:rPr>
                <w:rFonts w:ascii="Times New Roman" w:hAnsi="Times New Roman" w:cs="Times New Roman"/>
                <w:spacing w:val="-4"/>
                <w:sz w:val="21"/>
                <w:szCs w:val="21"/>
              </w:rPr>
              <w:t>设备探测</w:t>
            </w:r>
          </w:p>
        </w:tc>
        <w:tc>
          <w:tcPr>
            <w:tcW w:w="1925" w:type="dxa"/>
          </w:tcPr>
          <w:p>
            <w:pPr>
              <w:pStyle w:val="214"/>
              <w:spacing w:before="0" w:line="368" w:lineRule="exact"/>
              <w:rPr>
                <w:rFonts w:ascii="Times New Roman" w:hAnsi="Times New Roman" w:cs="Times New Roman"/>
                <w:sz w:val="21"/>
                <w:szCs w:val="21"/>
              </w:rPr>
            </w:pPr>
            <w:r>
              <w:rPr>
                <w:rFonts w:ascii="Times New Roman" w:hAnsi="Times New Roman" w:cs="Times New Roman"/>
                <w:spacing w:val="-5"/>
                <w:w w:val="95"/>
                <w:sz w:val="21"/>
                <w:szCs w:val="21"/>
              </w:rPr>
              <w:t>248</w:t>
            </w:r>
          </w:p>
        </w:tc>
        <w:tc>
          <w:tcPr>
            <w:tcW w:w="1925" w:type="dxa"/>
          </w:tcPr>
          <w:p>
            <w:pPr>
              <w:pStyle w:val="214"/>
              <w:spacing w:before="0" w:line="368" w:lineRule="exact"/>
              <w:rPr>
                <w:rFonts w:ascii="Times New Roman" w:hAnsi="Times New Roman" w:cs="Times New Roman"/>
                <w:sz w:val="21"/>
                <w:szCs w:val="21"/>
              </w:rPr>
            </w:pPr>
            <w:r>
              <w:rPr>
                <w:rFonts w:ascii="Times New Roman" w:hAnsi="Times New Roman" w:cs="Times New Roman"/>
                <w:spacing w:val="-5"/>
                <w:w w:val="85"/>
                <w:sz w:val="21"/>
                <w:szCs w:val="21"/>
              </w:rPr>
              <w:t>41H</w:t>
            </w:r>
          </w:p>
        </w:tc>
        <w:tc>
          <w:tcPr>
            <w:tcW w:w="2211" w:type="dxa"/>
          </w:tcPr>
          <w:p>
            <w:pPr>
              <w:pStyle w:val="214"/>
              <w:spacing w:before="0" w:line="368" w:lineRule="exact"/>
              <w:rPr>
                <w:rFonts w:ascii="Times New Roman" w:hAnsi="Times New Roman" w:cs="Times New Roman"/>
                <w:sz w:val="21"/>
                <w:szCs w:val="21"/>
              </w:rPr>
            </w:pPr>
            <w:r>
              <w:rPr>
                <w:rFonts w:ascii="Times New Roman" w:hAnsi="Times New Roman" w:cs="Times New Roman"/>
                <w:spacing w:val="-4"/>
                <w:sz w:val="21"/>
                <w:szCs w:val="21"/>
              </w:rPr>
              <w:t>随机延迟应答机制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1925" w:type="dxa"/>
          </w:tcPr>
          <w:p>
            <w:pPr>
              <w:pStyle w:val="214"/>
              <w:spacing w:before="0" w:line="366" w:lineRule="exact"/>
              <w:rPr>
                <w:rFonts w:ascii="Times New Roman" w:hAnsi="Times New Roman" w:cs="Times New Roman"/>
                <w:sz w:val="21"/>
                <w:szCs w:val="21"/>
              </w:rPr>
            </w:pPr>
            <w:r>
              <w:rPr>
                <w:rFonts w:ascii="Times New Roman" w:hAnsi="Times New Roman" w:cs="Times New Roman"/>
                <w:spacing w:val="-4"/>
                <w:sz w:val="21"/>
                <w:szCs w:val="21"/>
              </w:rPr>
              <w:t>通信配置</w:t>
            </w:r>
          </w:p>
        </w:tc>
        <w:tc>
          <w:tcPr>
            <w:tcW w:w="1925" w:type="dxa"/>
          </w:tcPr>
          <w:p>
            <w:pPr>
              <w:pStyle w:val="214"/>
              <w:spacing w:before="0" w:line="366" w:lineRule="exact"/>
              <w:rPr>
                <w:rFonts w:ascii="Times New Roman" w:hAnsi="Times New Roman" w:cs="Times New Roman"/>
                <w:sz w:val="21"/>
                <w:szCs w:val="21"/>
              </w:rPr>
            </w:pPr>
            <w:r>
              <w:rPr>
                <w:rFonts w:ascii="Times New Roman" w:hAnsi="Times New Roman" w:cs="Times New Roman"/>
                <w:spacing w:val="-5"/>
                <w:w w:val="95"/>
                <w:sz w:val="21"/>
                <w:szCs w:val="21"/>
              </w:rPr>
              <w:t>249</w:t>
            </w:r>
          </w:p>
        </w:tc>
        <w:tc>
          <w:tcPr>
            <w:tcW w:w="1925" w:type="dxa"/>
          </w:tcPr>
          <w:p>
            <w:pPr>
              <w:pStyle w:val="214"/>
              <w:spacing w:before="0" w:line="366" w:lineRule="exact"/>
              <w:rPr>
                <w:rFonts w:ascii="Times New Roman" w:hAnsi="Times New Roman" w:cs="Times New Roman"/>
                <w:sz w:val="21"/>
                <w:szCs w:val="21"/>
              </w:rPr>
            </w:pPr>
            <w:r>
              <w:rPr>
                <w:rFonts w:ascii="Times New Roman" w:hAnsi="Times New Roman" w:cs="Times New Roman"/>
                <w:spacing w:val="-5"/>
                <w:w w:val="85"/>
                <w:sz w:val="21"/>
                <w:szCs w:val="21"/>
              </w:rPr>
              <w:t>42H</w:t>
            </w:r>
          </w:p>
        </w:tc>
        <w:tc>
          <w:tcPr>
            <w:tcW w:w="2211" w:type="dxa"/>
          </w:tcPr>
          <w:p>
            <w:pPr>
              <w:pStyle w:val="214"/>
              <w:spacing w:before="0" w:line="366" w:lineRule="exact"/>
              <w:rPr>
                <w:rFonts w:ascii="Times New Roman" w:hAnsi="Times New Roman" w:cs="Times New Roman"/>
                <w:sz w:val="21"/>
                <w:szCs w:val="21"/>
              </w:rPr>
            </w:pPr>
            <w:r>
              <w:rPr>
                <w:rFonts w:ascii="Times New Roman" w:hAnsi="Times New Roman" w:cs="Times New Roman"/>
                <w:spacing w:val="-5"/>
                <w:sz w:val="21"/>
                <w:szCs w:val="21"/>
              </w:rPr>
              <w:t>无应答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925" w:type="dxa"/>
          </w:tcPr>
          <w:p>
            <w:pPr>
              <w:pStyle w:val="214"/>
              <w:spacing w:before="0" w:line="367" w:lineRule="exact"/>
              <w:rPr>
                <w:rFonts w:ascii="Times New Roman" w:hAnsi="Times New Roman" w:cs="Times New Roman"/>
                <w:sz w:val="21"/>
                <w:szCs w:val="21"/>
              </w:rPr>
            </w:pPr>
            <w:r>
              <w:rPr>
                <w:rFonts w:ascii="Times New Roman" w:hAnsi="Times New Roman" w:cs="Times New Roman"/>
                <w:spacing w:val="-6"/>
                <w:sz w:val="21"/>
                <w:szCs w:val="21"/>
              </w:rPr>
              <w:t>关联</w:t>
            </w:r>
          </w:p>
        </w:tc>
        <w:tc>
          <w:tcPr>
            <w:tcW w:w="1925" w:type="dxa"/>
          </w:tcPr>
          <w:p>
            <w:pPr>
              <w:pStyle w:val="214"/>
              <w:spacing w:before="50"/>
              <w:rPr>
                <w:rFonts w:ascii="Times New Roman" w:hAnsi="Times New Roman" w:cs="Times New Roman"/>
                <w:sz w:val="21"/>
                <w:szCs w:val="21"/>
              </w:rPr>
            </w:pPr>
            <w:r>
              <w:rPr>
                <w:rFonts w:ascii="Times New Roman" w:hAnsi="Times New Roman" w:cs="Times New Roman"/>
                <w:sz w:val="21"/>
                <w:szCs w:val="21"/>
              </w:rPr>
              <w:t>1</w:t>
            </w:r>
            <w:r>
              <w:rPr>
                <w:rFonts w:ascii="Times New Roman" w:hAnsi="Times New Roman" w:cs="Times New Roman"/>
                <w:spacing w:val="-1"/>
                <w:sz w:val="21"/>
                <w:szCs w:val="21"/>
              </w:rPr>
              <w:t xml:space="preserve"> </w:t>
            </w:r>
            <w:r>
              <w:rPr>
                <w:rFonts w:ascii="Times New Roman" w:hAnsi="Times New Roman" w:cs="Times New Roman"/>
                <w:sz w:val="21"/>
                <w:szCs w:val="21"/>
              </w:rPr>
              <w:t>~</w:t>
            </w:r>
            <w:r>
              <w:rPr>
                <w:rFonts w:ascii="Times New Roman" w:hAnsi="Times New Roman" w:cs="Times New Roman"/>
                <w:spacing w:val="-2"/>
                <w:sz w:val="21"/>
                <w:szCs w:val="21"/>
              </w:rPr>
              <w:t xml:space="preserve"> </w:t>
            </w:r>
            <w:r>
              <w:rPr>
                <w:rFonts w:ascii="Times New Roman" w:hAnsi="Times New Roman" w:cs="Times New Roman"/>
                <w:spacing w:val="-5"/>
                <w:sz w:val="21"/>
                <w:szCs w:val="21"/>
              </w:rPr>
              <w:t>247</w:t>
            </w:r>
          </w:p>
        </w:tc>
        <w:tc>
          <w:tcPr>
            <w:tcW w:w="1925" w:type="dxa"/>
          </w:tcPr>
          <w:p>
            <w:pPr>
              <w:pStyle w:val="214"/>
              <w:spacing w:before="0" w:line="367" w:lineRule="exact"/>
              <w:rPr>
                <w:rFonts w:ascii="Times New Roman" w:hAnsi="Times New Roman" w:cs="Times New Roman"/>
                <w:sz w:val="21"/>
                <w:szCs w:val="21"/>
              </w:rPr>
            </w:pPr>
            <w:r>
              <w:rPr>
                <w:rFonts w:ascii="Times New Roman" w:hAnsi="Times New Roman" w:cs="Times New Roman"/>
                <w:spacing w:val="-5"/>
                <w:w w:val="85"/>
                <w:sz w:val="21"/>
                <w:szCs w:val="21"/>
              </w:rPr>
              <w:t>43H</w:t>
            </w:r>
          </w:p>
        </w:tc>
        <w:tc>
          <w:tcPr>
            <w:tcW w:w="2211" w:type="dxa"/>
          </w:tcPr>
          <w:p>
            <w:pPr>
              <w:pStyle w:val="214"/>
              <w:spacing w:before="50"/>
              <w:rPr>
                <w:rFonts w:ascii="Times New Roman" w:hAnsi="Times New Roman" w:cs="Times New Roman"/>
                <w:sz w:val="21"/>
                <w:szCs w:val="21"/>
              </w:rPr>
            </w:pPr>
            <w:r>
              <w:rPr>
                <w:rFonts w:ascii="Times New Roman" w:hAnsi="Times New Roman" w:cs="Times New Roman"/>
                <w:spacing w:val="-12"/>
                <w:sz w:val="21"/>
                <w:szCs w:val="21"/>
              </w:rPr>
              <w:t xml:space="preserve">遵循标准 </w:t>
            </w:r>
            <w:r>
              <w:rPr>
                <w:rFonts w:ascii="Times New Roman" w:hAnsi="Times New Roman" w:cs="Times New Roman"/>
                <w:spacing w:val="-4"/>
                <w:sz w:val="21"/>
                <w:szCs w:val="21"/>
              </w:rPr>
              <w:t>Modbus</w:t>
            </w:r>
          </w:p>
        </w:tc>
      </w:tr>
    </w:tbl>
    <w:p>
      <w:pPr>
        <w:spacing w:line="360" w:lineRule="auto"/>
        <w:ind w:firstLine="420" w:firstLineChars="200"/>
      </w:pPr>
      <w:r>
        <w:t>1）先探测后配置的通信机制，适用于设备较多，且主站不清楚设备 id 分布的情况：平台在数据交互通信过程中应周期进行设备发现配置处理，探测到新设备上线后进行通信建立处理。</w:t>
      </w:r>
    </w:p>
    <w:p>
      <w:pPr>
        <w:spacing w:line="360" w:lineRule="auto"/>
      </w:pPr>
      <w:r>
        <w:rPr>
          <w:sz w:val="20"/>
        </w:rPr>
        <w:drawing>
          <wp:anchor distT="0" distB="0" distL="0" distR="0" simplePos="0" relativeHeight="251664384" behindDoc="1" locked="0" layoutInCell="1" allowOverlap="1">
            <wp:simplePos x="0" y="0"/>
            <wp:positionH relativeFrom="page">
              <wp:posOffset>1394460</wp:posOffset>
            </wp:positionH>
            <wp:positionV relativeFrom="paragraph">
              <wp:posOffset>199390</wp:posOffset>
            </wp:positionV>
            <wp:extent cx="4663440" cy="4899025"/>
            <wp:effectExtent l="0" t="0" r="0" b="0"/>
            <wp:wrapTopAndBottom/>
            <wp:docPr id="1882017422" name="Image 4"/>
            <wp:cNvGraphicFramePr/>
            <a:graphic xmlns:a="http://schemas.openxmlformats.org/drawingml/2006/main">
              <a:graphicData uri="http://schemas.openxmlformats.org/drawingml/2006/picture">
                <pic:pic xmlns:pic="http://schemas.openxmlformats.org/drawingml/2006/picture">
                  <pic:nvPicPr>
                    <pic:cNvPr id="1882017422" name="Image 4"/>
                    <pic:cNvPicPr/>
                  </pic:nvPicPr>
                  <pic:blipFill>
                    <a:blip r:embed="rId17" cstate="print"/>
                    <a:stretch>
                      <a:fillRect/>
                    </a:stretch>
                  </pic:blipFill>
                  <pic:spPr>
                    <a:xfrm>
                      <a:off x="0" y="0"/>
                      <a:ext cx="4663440" cy="4899025"/>
                    </a:xfrm>
                    <a:prstGeom prst="rect">
                      <a:avLst/>
                    </a:prstGeom>
                  </pic:spPr>
                </pic:pic>
              </a:graphicData>
            </a:graphic>
          </wp:anchor>
        </w:drawing>
      </w:r>
    </w:p>
    <w:p>
      <w:pPr>
        <w:spacing w:line="360" w:lineRule="auto"/>
        <w:ind w:firstLine="420" w:firstLineChars="200"/>
      </w:pPr>
      <w:r>
        <w:t>1）直接配置的通信机制（同时可用于 OTA 配置），适用于设备较少，且主站清楚设备 id 分布的情况：平台在数据交互通信过程中应周期进行设备配置处理，并周期进行关联建立。</w:t>
      </w:r>
    </w:p>
    <w:p>
      <w:pPr>
        <w:spacing w:line="360" w:lineRule="auto"/>
      </w:pPr>
      <w:r>
        <w:rPr>
          <w:sz w:val="20"/>
        </w:rPr>
        <w:drawing>
          <wp:anchor distT="0" distB="0" distL="0" distR="0" simplePos="0" relativeHeight="251665408" behindDoc="1" locked="0" layoutInCell="1" allowOverlap="1">
            <wp:simplePos x="0" y="0"/>
            <wp:positionH relativeFrom="margin">
              <wp:align>center</wp:align>
            </wp:positionH>
            <wp:positionV relativeFrom="paragraph">
              <wp:posOffset>64770</wp:posOffset>
            </wp:positionV>
            <wp:extent cx="4177665" cy="5080635"/>
            <wp:effectExtent l="0" t="0" r="0" b="5715"/>
            <wp:wrapTopAndBottom/>
            <wp:docPr id="926246008" name="Image 5"/>
            <wp:cNvGraphicFramePr/>
            <a:graphic xmlns:a="http://schemas.openxmlformats.org/drawingml/2006/main">
              <a:graphicData uri="http://schemas.openxmlformats.org/drawingml/2006/picture">
                <pic:pic xmlns:pic="http://schemas.openxmlformats.org/drawingml/2006/picture">
                  <pic:nvPicPr>
                    <pic:cNvPr id="926246008" name="Image 5"/>
                    <pic:cNvPicPr/>
                  </pic:nvPicPr>
                  <pic:blipFill>
                    <a:blip r:embed="rId18" cstate="print"/>
                    <a:stretch>
                      <a:fillRect/>
                    </a:stretch>
                  </pic:blipFill>
                  <pic:spPr>
                    <a:xfrm>
                      <a:off x="0" y="0"/>
                      <a:ext cx="4177632" cy="5080635"/>
                    </a:xfrm>
                    <a:prstGeom prst="rect">
                      <a:avLst/>
                    </a:prstGeom>
                  </pic:spPr>
                </pic:pic>
              </a:graphicData>
            </a:graphic>
          </wp:anchor>
        </w:drawing>
      </w:r>
      <w:r>
        <w:t>3.1 随机延迟应答机制</w:t>
      </w:r>
    </w:p>
    <w:p>
      <w:pPr>
        <w:spacing w:line="360" w:lineRule="auto"/>
        <w:ind w:firstLine="420" w:firstLineChars="200"/>
      </w:pPr>
      <w:r>
        <w:t>所有未配置地址的设备在收到需随机延迟应答的请求报文时，生成随机数 x（随机数小于请求报文中随机数最大值），设备在收到请求报文后的 x*间隔时间（单位毫秒）后应答。</w:t>
      </w:r>
    </w:p>
    <w:p>
      <w:pPr>
        <w:spacing w:line="360" w:lineRule="auto"/>
        <w:ind w:firstLine="420" w:firstLineChars="200"/>
      </w:pPr>
      <w:r>
        <w:t>其中，间隔时间处理，计算如下：</w:t>
      </w:r>
    </w:p>
    <w:p>
      <w:pPr>
        <w:spacing w:line="360" w:lineRule="auto"/>
        <w:ind w:firstLine="420" w:firstLineChars="200"/>
      </w:pPr>
      <w:r>
        <w:t>1/19200*10（起始位+数据位+停止位）*13（应答帧字节数）≈6.77ms，按 7ms 计算。</w:t>
      </w:r>
    </w:p>
    <w:p>
      <w:pPr>
        <w:spacing w:line="360" w:lineRule="auto"/>
      </w:pPr>
      <w:r>
        <w:t>3.2 设备探测及通信配置机制</w:t>
      </w:r>
    </w:p>
    <w:p>
      <w:pPr>
        <w:spacing w:line="360" w:lineRule="auto"/>
        <w:ind w:firstLine="420" w:firstLineChars="200"/>
      </w:pPr>
      <w:r>
        <w:t>平台在初始化上电后，应首先进行设备探测处理，连续探测 5 次；</w:t>
      </w:r>
    </w:p>
    <w:p>
      <w:pPr>
        <w:spacing w:line="360" w:lineRule="auto"/>
        <w:ind w:firstLine="420" w:firstLineChars="200"/>
      </w:pPr>
      <w:r>
        <w:t>平台在数据交互通信过程中，周期进行设备探测处理，探测周期推荐为 30 秒。</w:t>
      </w:r>
    </w:p>
    <w:p>
      <w:pPr>
        <w:spacing w:line="360" w:lineRule="auto"/>
        <w:ind w:firstLine="420" w:firstLineChars="200"/>
      </w:pPr>
      <w:r>
        <w:t>探测步骤如下：</w:t>
      </w:r>
    </w:p>
    <w:p>
      <w:pPr>
        <w:spacing w:line="360" w:lineRule="auto"/>
        <w:ind w:firstLine="420" w:firstLineChars="200"/>
      </w:pPr>
      <w:r>
        <w:t>1）向设备探测地址发送探测请求；</w:t>
      </w:r>
    </w:p>
    <w:p>
      <w:pPr>
        <w:spacing w:line="360" w:lineRule="auto"/>
        <w:ind w:firstLine="420" w:firstLineChars="200"/>
      </w:pPr>
      <w:r>
        <w:t>2）在监听时间[1]内监听应答，记录监听到的所有应答的设备 id，此期间平台需保持静默，不发送任何请求；</w:t>
      </w:r>
    </w:p>
    <w:p>
      <w:pPr>
        <w:spacing w:line="360" w:lineRule="auto"/>
        <w:ind w:firstLine="420" w:firstLineChars="200"/>
      </w:pPr>
      <w:r>
        <w:t>3）监听时间后，平台将各个设备 id 和分配的地址统一下发，设备记录分配地址并保存到非易失性存储器中；</w:t>
      </w:r>
    </w:p>
    <w:p>
      <w:pPr>
        <w:spacing w:line="360" w:lineRule="auto"/>
        <w:ind w:firstLine="420" w:firstLineChars="200"/>
      </w:pPr>
      <w:r>
        <w:t>4）平台逐一与配置地址进行通信关联，通信关联正常则设备接入成功。可以开始正常数据交互。</w:t>
      </w:r>
    </w:p>
    <w:p>
      <w:pPr>
        <w:spacing w:line="360" w:lineRule="auto"/>
        <w:ind w:firstLine="420" w:firstLineChars="200"/>
      </w:pPr>
      <w:r>
        <w:t>所有未分配 Modbus 通信地址的设备在上线运行后，应主动监听探测地址的请求报文，设备收到请求报文后，以随机延迟应答机制应答设备 id 及设备类型。平台通过设备类型及模型版本加载对应物模型（寄存器、离散量及线圈定义）。</w:t>
      </w:r>
    </w:p>
    <w:p>
      <w:pPr>
        <w:spacing w:line="360" w:lineRule="auto"/>
        <w:ind w:firstLine="420" w:firstLineChars="200"/>
      </w:pPr>
      <w:r>
        <w:t>所有设备在上线运行期间，应主动监听通信配置地址的请求，收到配置请求后检索设备 id，找到自身设备 id 后重置通信地址。</w:t>
      </w:r>
    </w:p>
    <w:p>
      <w:pPr>
        <w:spacing w:line="360" w:lineRule="auto"/>
        <w:ind w:firstLine="420" w:firstLineChars="200"/>
      </w:pPr>
      <w:r>
        <w:t>注[1]：监听时间计算方法如下：7（间隔时间）*4（每个设备平均分配的窗口时间）*</w:t>
      </w:r>
    </w:p>
    <w:p>
      <w:pPr>
        <w:spacing w:line="360" w:lineRule="auto"/>
      </w:pPr>
      <w:r>
        <w:t>（30-485 总线已配置地址设备个数），最大为 840ms，为避免子站接收解析缓慢的情况，该值限制大于等于 84ms。</w:t>
      </w:r>
    </w:p>
    <w:p>
      <w:pPr>
        <w:spacing w:line="360" w:lineRule="auto"/>
        <w:rPr>
          <w:szCs w:val="21"/>
        </w:rPr>
      </w:pPr>
      <w:r>
        <w:rPr>
          <w:szCs w:val="21"/>
        </w:rPr>
        <w:t>3.3 设备关联断开判断机制</w:t>
      </w:r>
    </w:p>
    <w:p>
      <w:pPr>
        <w:spacing w:line="360" w:lineRule="auto"/>
        <w:ind w:firstLine="420" w:firstLineChars="200"/>
        <w:rPr>
          <w:szCs w:val="21"/>
        </w:rPr>
      </w:pPr>
      <w:r>
        <w:rPr>
          <w:szCs w:val="21"/>
        </w:rPr>
        <w:t xml:space="preserve">平台判定设备关联断开机制，满足以下条件之一： </w:t>
      </w:r>
    </w:p>
    <w:p>
      <w:pPr>
        <w:spacing w:line="360" w:lineRule="auto"/>
        <w:ind w:firstLine="420" w:firstLineChars="200"/>
        <w:rPr>
          <w:szCs w:val="21"/>
        </w:rPr>
      </w:pPr>
      <w:r>
        <w:rPr>
          <w:szCs w:val="21"/>
        </w:rPr>
        <w:t>1） 刚分配地址的设备，默认处于断开状态；</w:t>
      </w:r>
    </w:p>
    <w:p>
      <w:pPr>
        <w:spacing w:line="360" w:lineRule="auto"/>
        <w:ind w:firstLine="420" w:firstLineChars="200"/>
        <w:rPr>
          <w:szCs w:val="21"/>
        </w:rPr>
      </w:pPr>
      <w:r>
        <w:rPr>
          <w:szCs w:val="21"/>
        </w:rPr>
        <w:t>2） 数据交互时，设备超时未应答（推荐参数：请求超时 150ms 未应答，连续超时 3 次，共 450ms）。</w:t>
      </w:r>
    </w:p>
    <w:p>
      <w:pPr>
        <w:spacing w:line="360" w:lineRule="auto"/>
        <w:ind w:firstLine="420" w:firstLineChars="200"/>
        <w:rPr>
          <w:szCs w:val="21"/>
        </w:rPr>
      </w:pPr>
      <w:r>
        <w:rPr>
          <w:szCs w:val="21"/>
        </w:rPr>
        <w:t>设备判定自身关联断开机制，满足以下条件之一：</w:t>
      </w:r>
    </w:p>
    <w:p>
      <w:pPr>
        <w:spacing w:line="360" w:lineRule="auto"/>
        <w:ind w:firstLine="420" w:firstLineChars="200"/>
        <w:rPr>
          <w:szCs w:val="21"/>
        </w:rPr>
      </w:pPr>
      <w:r>
        <w:rPr>
          <w:szCs w:val="21"/>
        </w:rPr>
        <w:t>1） 设备重新上电运行；</w:t>
      </w:r>
    </w:p>
    <w:p>
      <w:pPr>
        <w:spacing w:line="360" w:lineRule="auto"/>
        <w:ind w:firstLine="420" w:firstLineChars="200"/>
        <w:rPr>
          <w:szCs w:val="21"/>
        </w:rPr>
      </w:pPr>
      <w:r>
        <w:rPr>
          <w:szCs w:val="21"/>
        </w:rPr>
        <w:t>2）设备收到的通信配置报文中含有本设备 id，应认为本设备处于断开状态；</w:t>
      </w:r>
    </w:p>
    <w:p>
      <w:pPr>
        <w:spacing w:line="360" w:lineRule="auto"/>
        <w:ind w:firstLine="420" w:firstLineChars="200"/>
        <w:rPr>
          <w:szCs w:val="21"/>
        </w:rPr>
      </w:pPr>
      <w:r>
        <w:rPr>
          <w:szCs w:val="21"/>
        </w:rPr>
        <w:t>3）设备收到关联请求报文且设备 id 与自身设备 id 匹配，应认为此时处于断开状态，并进行肯定响应。</w:t>
      </w:r>
    </w:p>
    <w:p>
      <w:pPr>
        <w:rPr>
          <w:b/>
          <w:bCs/>
          <w:szCs w:val="21"/>
        </w:rPr>
      </w:pPr>
      <w:r>
        <w:rPr>
          <w:rFonts w:hint="eastAsia"/>
          <w:b/>
          <w:bCs/>
          <w:szCs w:val="21"/>
        </w:rPr>
        <w:t>4、</w:t>
      </w:r>
      <w:r>
        <w:rPr>
          <w:b/>
          <w:bCs/>
          <w:szCs w:val="21"/>
        </w:rPr>
        <w:t>设备发现及配置</w:t>
      </w:r>
    </w:p>
    <w:p>
      <w:pPr>
        <w:spacing w:line="360" w:lineRule="auto"/>
      </w:pPr>
      <w:r>
        <w:t>4.1 设备探测</w:t>
      </w:r>
    </w:p>
    <w:p>
      <w:r>
        <w:t>设备探测请求及应答报文定义</w:t>
      </w:r>
    </w:p>
    <w:tbl>
      <w:tblPr>
        <w:tblStyle w:val="2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4"/>
        <w:gridCol w:w="2074"/>
        <w:gridCol w:w="2074"/>
        <w:gridCol w:w="20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4148" w:type="dxa"/>
            <w:gridSpan w:val="2"/>
          </w:tcPr>
          <w:p>
            <w:pPr>
              <w:pStyle w:val="214"/>
              <w:ind w:left="8"/>
              <w:jc w:val="center"/>
              <w:rPr>
                <w:rFonts w:ascii="Times New Roman" w:hAnsi="Times New Roman" w:cs="Times New Roman"/>
                <w:sz w:val="21"/>
              </w:rPr>
            </w:pPr>
            <w:r>
              <w:rPr>
                <w:rFonts w:ascii="Times New Roman" w:hAnsi="Times New Roman" w:cs="Times New Roman"/>
                <w:spacing w:val="-8"/>
                <w:sz w:val="21"/>
              </w:rPr>
              <w:t>请求</w:t>
            </w:r>
          </w:p>
        </w:tc>
        <w:tc>
          <w:tcPr>
            <w:tcW w:w="4148" w:type="dxa"/>
            <w:gridSpan w:val="2"/>
          </w:tcPr>
          <w:p>
            <w:pPr>
              <w:pStyle w:val="214"/>
              <w:ind w:left="8" w:right="1"/>
              <w:jc w:val="center"/>
              <w:rPr>
                <w:rFonts w:ascii="Times New Roman" w:hAnsi="Times New Roman" w:cs="Times New Roman"/>
                <w:sz w:val="21"/>
              </w:rPr>
            </w:pPr>
            <w:r>
              <w:rPr>
                <w:rFonts w:ascii="Times New Roman" w:hAnsi="Times New Roman" w:cs="Times New Roman"/>
                <w:spacing w:val="-8"/>
                <w:sz w:val="21"/>
              </w:rPr>
              <w:t>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074" w:type="dxa"/>
          </w:tcPr>
          <w:p>
            <w:pPr>
              <w:pStyle w:val="214"/>
              <w:rPr>
                <w:rFonts w:ascii="Times New Roman" w:hAnsi="Times New Roman" w:cs="Times New Roman"/>
                <w:sz w:val="21"/>
              </w:rPr>
            </w:pPr>
            <w:r>
              <w:rPr>
                <w:rFonts w:ascii="Times New Roman" w:hAnsi="Times New Roman" w:cs="Times New Roman"/>
                <w:spacing w:val="-5"/>
                <w:sz w:val="21"/>
              </w:rPr>
              <w:t>字段名</w:t>
            </w:r>
          </w:p>
        </w:tc>
        <w:tc>
          <w:tcPr>
            <w:tcW w:w="2074" w:type="dxa"/>
          </w:tcPr>
          <w:p>
            <w:pPr>
              <w:pStyle w:val="214"/>
              <w:rPr>
                <w:rFonts w:ascii="Times New Roman" w:hAnsi="Times New Roman" w:cs="Times New Roman"/>
                <w:sz w:val="21"/>
              </w:rPr>
            </w:pPr>
            <w:r>
              <w:rPr>
                <w:rFonts w:ascii="Times New Roman" w:hAnsi="Times New Roman" w:cs="Times New Roman"/>
                <w:spacing w:val="-7"/>
                <w:sz w:val="21"/>
              </w:rPr>
              <w:t>十六进制</w:t>
            </w:r>
          </w:p>
        </w:tc>
        <w:tc>
          <w:tcPr>
            <w:tcW w:w="2074" w:type="dxa"/>
          </w:tcPr>
          <w:p>
            <w:pPr>
              <w:pStyle w:val="214"/>
              <w:ind w:left="106"/>
              <w:rPr>
                <w:rFonts w:ascii="Times New Roman" w:hAnsi="Times New Roman" w:cs="Times New Roman"/>
                <w:sz w:val="21"/>
              </w:rPr>
            </w:pPr>
            <w:r>
              <w:rPr>
                <w:rFonts w:ascii="Times New Roman" w:hAnsi="Times New Roman" w:cs="Times New Roman"/>
                <w:spacing w:val="-5"/>
                <w:sz w:val="21"/>
              </w:rPr>
              <w:t>字段名</w:t>
            </w:r>
          </w:p>
        </w:tc>
        <w:tc>
          <w:tcPr>
            <w:tcW w:w="2074" w:type="dxa"/>
          </w:tcPr>
          <w:p>
            <w:pPr>
              <w:pStyle w:val="214"/>
              <w:ind w:left="106"/>
              <w:rPr>
                <w:rFonts w:ascii="Times New Roman" w:hAnsi="Times New Roman" w:cs="Times New Roman"/>
                <w:sz w:val="21"/>
              </w:rPr>
            </w:pPr>
            <w:r>
              <w:rPr>
                <w:rFonts w:ascii="Times New Roman" w:hAnsi="Times New Roman" w:cs="Times New Roman"/>
                <w:spacing w:val="-7"/>
                <w:sz w:val="21"/>
              </w:rPr>
              <w:t>十六进制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074" w:type="dxa"/>
          </w:tcPr>
          <w:p>
            <w:pPr>
              <w:pStyle w:val="214"/>
              <w:spacing w:before="22"/>
              <w:rPr>
                <w:rFonts w:ascii="Times New Roman" w:hAnsi="Times New Roman" w:cs="Times New Roman"/>
                <w:sz w:val="21"/>
              </w:rPr>
            </w:pPr>
            <w:r>
              <w:rPr>
                <w:rFonts w:ascii="Times New Roman" w:hAnsi="Times New Roman" w:cs="Times New Roman"/>
                <w:spacing w:val="-8"/>
                <w:sz w:val="21"/>
              </w:rPr>
              <w:t>地址</w:t>
            </w:r>
          </w:p>
        </w:tc>
        <w:tc>
          <w:tcPr>
            <w:tcW w:w="2074" w:type="dxa"/>
          </w:tcPr>
          <w:p>
            <w:pPr>
              <w:pStyle w:val="214"/>
              <w:spacing w:before="22"/>
              <w:rPr>
                <w:rFonts w:ascii="Times New Roman" w:hAnsi="Times New Roman" w:cs="Times New Roman"/>
                <w:sz w:val="21"/>
              </w:rPr>
            </w:pPr>
            <w:r>
              <w:rPr>
                <w:rFonts w:ascii="Times New Roman" w:hAnsi="Times New Roman" w:cs="Times New Roman"/>
                <w:spacing w:val="-5"/>
                <w:sz w:val="21"/>
              </w:rPr>
              <w:t>F8</w:t>
            </w:r>
          </w:p>
        </w:tc>
        <w:tc>
          <w:tcPr>
            <w:tcW w:w="2074" w:type="dxa"/>
          </w:tcPr>
          <w:p>
            <w:pPr>
              <w:pStyle w:val="214"/>
              <w:spacing w:before="22"/>
              <w:ind w:left="106"/>
              <w:rPr>
                <w:rFonts w:ascii="Times New Roman" w:hAnsi="Times New Roman" w:cs="Times New Roman"/>
                <w:sz w:val="21"/>
              </w:rPr>
            </w:pPr>
            <w:r>
              <w:rPr>
                <w:rFonts w:ascii="Times New Roman" w:hAnsi="Times New Roman" w:cs="Times New Roman"/>
                <w:spacing w:val="-8"/>
                <w:sz w:val="21"/>
              </w:rPr>
              <w:t>地址</w:t>
            </w:r>
          </w:p>
        </w:tc>
        <w:tc>
          <w:tcPr>
            <w:tcW w:w="2074" w:type="dxa"/>
          </w:tcPr>
          <w:p>
            <w:pPr>
              <w:pStyle w:val="214"/>
              <w:spacing w:before="22"/>
              <w:ind w:left="106"/>
              <w:rPr>
                <w:rFonts w:ascii="Times New Roman" w:hAnsi="Times New Roman" w:cs="Times New Roman"/>
                <w:sz w:val="21"/>
              </w:rPr>
            </w:pPr>
            <w:r>
              <w:rPr>
                <w:rFonts w:ascii="Times New Roman" w:hAnsi="Times New Roman" w:cs="Times New Roman"/>
                <w:spacing w:val="-5"/>
                <w:sz w:val="21"/>
              </w:rPr>
              <w:t>F8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074" w:type="dxa"/>
          </w:tcPr>
          <w:p>
            <w:pPr>
              <w:pStyle w:val="214"/>
              <w:spacing w:before="21"/>
              <w:rPr>
                <w:rFonts w:ascii="Times New Roman" w:hAnsi="Times New Roman" w:cs="Times New Roman"/>
                <w:sz w:val="21"/>
              </w:rPr>
            </w:pPr>
            <w:r>
              <w:rPr>
                <w:rFonts w:ascii="Times New Roman" w:hAnsi="Times New Roman" w:cs="Times New Roman"/>
                <w:spacing w:val="-8"/>
                <w:sz w:val="21"/>
              </w:rPr>
              <w:t>功能</w:t>
            </w:r>
          </w:p>
        </w:tc>
        <w:tc>
          <w:tcPr>
            <w:tcW w:w="2074" w:type="dxa"/>
          </w:tcPr>
          <w:p>
            <w:pPr>
              <w:pStyle w:val="214"/>
              <w:spacing w:before="21"/>
              <w:rPr>
                <w:rFonts w:ascii="Times New Roman" w:hAnsi="Times New Roman" w:cs="Times New Roman"/>
                <w:sz w:val="21"/>
              </w:rPr>
            </w:pPr>
            <w:r>
              <w:rPr>
                <w:rFonts w:ascii="Times New Roman" w:hAnsi="Times New Roman" w:cs="Times New Roman"/>
                <w:spacing w:val="-5"/>
                <w:sz w:val="21"/>
              </w:rPr>
              <w:t>41</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8"/>
                <w:sz w:val="21"/>
              </w:rPr>
              <w:t>功能</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5"/>
                <w:sz w:val="21"/>
              </w:rPr>
              <w:t>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074" w:type="dxa"/>
          </w:tcPr>
          <w:p>
            <w:pPr>
              <w:pStyle w:val="214"/>
              <w:spacing w:before="21"/>
              <w:rPr>
                <w:rFonts w:ascii="Times New Roman" w:hAnsi="Times New Roman" w:cs="Times New Roman"/>
                <w:position w:val="11"/>
                <w:sz w:val="10"/>
              </w:rPr>
            </w:pPr>
            <w:r>
              <w:rPr>
                <w:rFonts w:ascii="Times New Roman" w:hAnsi="Times New Roman" w:cs="Times New Roman"/>
                <w:spacing w:val="-2"/>
                <w:sz w:val="21"/>
              </w:rPr>
              <w:t>随机数最大值</w:t>
            </w:r>
            <w:r>
              <w:rPr>
                <w:rFonts w:ascii="Times New Roman" w:hAnsi="Times New Roman" w:cs="Times New Roman"/>
                <w:spacing w:val="-12"/>
                <w:position w:val="11"/>
                <w:sz w:val="10"/>
              </w:rPr>
              <w:t>[1]</w:t>
            </w:r>
          </w:p>
        </w:tc>
        <w:tc>
          <w:tcPr>
            <w:tcW w:w="2074" w:type="dxa"/>
          </w:tcPr>
          <w:p>
            <w:pPr>
              <w:pStyle w:val="214"/>
              <w:spacing w:before="21"/>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字节</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7"/>
                <w:sz w:val="21"/>
              </w:rPr>
              <w:t>设备类型</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4"/>
                <w:sz w:val="21"/>
              </w:rPr>
              <w:t>2</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074" w:type="dxa"/>
          </w:tcPr>
          <w:p>
            <w:pPr>
              <w:pStyle w:val="214"/>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Lo</w:t>
            </w:r>
          </w:p>
        </w:tc>
        <w:tc>
          <w:tcPr>
            <w:tcW w:w="2074" w:type="dxa"/>
          </w:tcPr>
          <w:p>
            <w:pPr>
              <w:pStyle w:val="214"/>
              <w:spacing w:before="0"/>
              <w:ind w:left="0"/>
              <w:rPr>
                <w:rFonts w:ascii="Times New Roman" w:hAnsi="Times New Roman" w:cs="Times New Roman"/>
                <w:sz w:val="20"/>
              </w:rPr>
            </w:pPr>
          </w:p>
        </w:tc>
        <w:tc>
          <w:tcPr>
            <w:tcW w:w="2074" w:type="dxa"/>
          </w:tcPr>
          <w:p>
            <w:pPr>
              <w:pStyle w:val="214"/>
              <w:ind w:left="106"/>
              <w:rPr>
                <w:rFonts w:ascii="Times New Roman" w:hAnsi="Times New Roman" w:cs="Times New Roman"/>
                <w:sz w:val="21"/>
              </w:rPr>
            </w:pPr>
            <w:r>
              <w:rPr>
                <w:rFonts w:ascii="Times New Roman" w:hAnsi="Times New Roman" w:cs="Times New Roman"/>
                <w:spacing w:val="-7"/>
                <w:sz w:val="21"/>
              </w:rPr>
              <w:t>模型版本</w:t>
            </w:r>
          </w:p>
        </w:tc>
        <w:tc>
          <w:tcPr>
            <w:tcW w:w="2074" w:type="dxa"/>
          </w:tcPr>
          <w:p>
            <w:pPr>
              <w:pStyle w:val="214"/>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2074" w:type="dxa"/>
          </w:tcPr>
          <w:p>
            <w:pPr>
              <w:pStyle w:val="214"/>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Hi</w:t>
            </w:r>
          </w:p>
        </w:tc>
        <w:tc>
          <w:tcPr>
            <w:tcW w:w="2074" w:type="dxa"/>
          </w:tcPr>
          <w:p>
            <w:pPr>
              <w:pStyle w:val="214"/>
              <w:spacing w:before="0"/>
              <w:ind w:left="0"/>
              <w:rPr>
                <w:rFonts w:ascii="Times New Roman" w:hAnsi="Times New Roman" w:cs="Times New Roman"/>
                <w:sz w:val="20"/>
              </w:rPr>
            </w:pPr>
          </w:p>
        </w:tc>
        <w:tc>
          <w:tcPr>
            <w:tcW w:w="2074" w:type="dxa"/>
          </w:tcPr>
          <w:p>
            <w:pPr>
              <w:pStyle w:val="214"/>
              <w:ind w:left="106"/>
              <w:rPr>
                <w:rFonts w:ascii="Times New Roman" w:hAnsi="Times New Roman" w:cs="Times New Roman"/>
                <w:sz w:val="21"/>
              </w:rPr>
            </w:pPr>
            <w:r>
              <w:rPr>
                <w:rFonts w:ascii="Times New Roman" w:hAnsi="Times New Roman" w:cs="Times New Roman"/>
                <w:spacing w:val="-19"/>
                <w:sz w:val="21"/>
              </w:rPr>
              <w:t xml:space="preserve">设备 </w:t>
            </w:r>
            <w:r>
              <w:rPr>
                <w:rFonts w:ascii="Times New Roman" w:hAnsi="Times New Roman" w:cs="Times New Roman"/>
                <w:spacing w:val="-5"/>
                <w:sz w:val="21"/>
              </w:rPr>
              <w:t>id</w:t>
            </w:r>
          </w:p>
        </w:tc>
        <w:tc>
          <w:tcPr>
            <w:tcW w:w="2074" w:type="dxa"/>
          </w:tcPr>
          <w:p>
            <w:pPr>
              <w:pStyle w:val="214"/>
              <w:ind w:left="106"/>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2074" w:type="dxa"/>
          </w:tcPr>
          <w:p>
            <w:pPr>
              <w:pStyle w:val="214"/>
              <w:rPr>
                <w:rFonts w:ascii="Times New Roman" w:hAnsi="Times New Roman" w:cs="Times New Roman"/>
                <w:spacing w:val="-15"/>
                <w:sz w:val="21"/>
              </w:rPr>
            </w:pPr>
          </w:p>
        </w:tc>
        <w:tc>
          <w:tcPr>
            <w:tcW w:w="2074" w:type="dxa"/>
          </w:tcPr>
          <w:p>
            <w:pPr>
              <w:pStyle w:val="214"/>
              <w:spacing w:before="0"/>
              <w:ind w:left="0"/>
              <w:rPr>
                <w:rFonts w:ascii="Times New Roman" w:hAnsi="Times New Roman" w:cs="Times New Roman"/>
                <w:sz w:val="20"/>
              </w:rPr>
            </w:pPr>
          </w:p>
        </w:tc>
        <w:tc>
          <w:tcPr>
            <w:tcW w:w="2074" w:type="dxa"/>
          </w:tcPr>
          <w:p>
            <w:pPr>
              <w:pStyle w:val="214"/>
              <w:ind w:left="106"/>
              <w:rPr>
                <w:rFonts w:ascii="Times New Roman" w:hAnsi="Times New Roman" w:cs="Times New Roman"/>
                <w:spacing w:val="-19"/>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Lo</w:t>
            </w:r>
          </w:p>
        </w:tc>
        <w:tc>
          <w:tcPr>
            <w:tcW w:w="2074" w:type="dxa"/>
          </w:tcPr>
          <w:p>
            <w:pPr>
              <w:pStyle w:val="214"/>
              <w:ind w:left="106"/>
              <w:rPr>
                <w:rFonts w:ascii="Times New Roman" w:hAnsi="Times New Roman" w:cs="Times New Roman"/>
                <w:spacing w:val="-4"/>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2074" w:type="dxa"/>
          </w:tcPr>
          <w:p>
            <w:pPr>
              <w:pStyle w:val="214"/>
              <w:rPr>
                <w:rFonts w:ascii="Times New Roman" w:hAnsi="Times New Roman" w:cs="Times New Roman"/>
                <w:spacing w:val="-15"/>
                <w:sz w:val="21"/>
              </w:rPr>
            </w:pPr>
          </w:p>
        </w:tc>
        <w:tc>
          <w:tcPr>
            <w:tcW w:w="2074" w:type="dxa"/>
          </w:tcPr>
          <w:p>
            <w:pPr>
              <w:pStyle w:val="214"/>
              <w:spacing w:before="0"/>
              <w:ind w:left="0"/>
              <w:rPr>
                <w:rFonts w:ascii="Times New Roman" w:hAnsi="Times New Roman" w:cs="Times New Roman"/>
                <w:sz w:val="20"/>
              </w:rPr>
            </w:pPr>
          </w:p>
        </w:tc>
        <w:tc>
          <w:tcPr>
            <w:tcW w:w="2074" w:type="dxa"/>
          </w:tcPr>
          <w:p>
            <w:pPr>
              <w:pStyle w:val="214"/>
              <w:ind w:left="106"/>
              <w:rPr>
                <w:rFonts w:ascii="Times New Roman" w:hAnsi="Times New Roman" w:cs="Times New Roman"/>
                <w:spacing w:val="-19"/>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Hi</w:t>
            </w:r>
          </w:p>
        </w:tc>
        <w:tc>
          <w:tcPr>
            <w:tcW w:w="2074" w:type="dxa"/>
          </w:tcPr>
          <w:p>
            <w:pPr>
              <w:pStyle w:val="214"/>
              <w:ind w:left="106"/>
              <w:rPr>
                <w:rFonts w:ascii="Times New Roman" w:hAnsi="Times New Roman" w:cs="Times New Roman"/>
                <w:spacing w:val="-4"/>
                <w:sz w:val="21"/>
              </w:rPr>
            </w:pPr>
          </w:p>
        </w:tc>
      </w:tr>
    </w:tbl>
    <w:p>
      <w:r>
        <w:t>注[1]：随机数最大值按总线剩余最大可接入设备数量*4 计算，且该值必须大于等于 12.</w:t>
      </w:r>
    </w:p>
    <w:p>
      <w:pPr>
        <w:spacing w:line="360" w:lineRule="auto"/>
      </w:pPr>
      <w:r>
        <w:t>4.2 通信配置</w:t>
      </w:r>
    </w:p>
    <w:p>
      <w:pPr>
        <w:ind w:firstLine="420" w:firstLineChars="200"/>
      </w:pPr>
      <w:r>
        <w:t>通信配置请求报文定义</w:t>
      </w:r>
    </w:p>
    <w:tbl>
      <w:tblPr>
        <w:tblStyle w:val="209"/>
        <w:tblW w:w="0" w:type="auto"/>
        <w:tblInd w:w="23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4"/>
        <w:gridCol w:w="20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148" w:type="dxa"/>
            <w:gridSpan w:val="2"/>
          </w:tcPr>
          <w:p>
            <w:pPr>
              <w:pStyle w:val="214"/>
              <w:ind w:left="8" w:right="1"/>
              <w:jc w:val="center"/>
              <w:rPr>
                <w:rFonts w:ascii="Times New Roman" w:hAnsi="Times New Roman" w:cs="Times New Roman"/>
                <w:sz w:val="21"/>
              </w:rPr>
            </w:pPr>
            <w:r>
              <w:rPr>
                <w:rFonts w:ascii="Times New Roman" w:hAnsi="Times New Roman" w:cs="Times New Roman"/>
                <w:spacing w:val="-8"/>
                <w:sz w:val="21"/>
              </w:rPr>
              <w:t>请求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rPr>
                <w:rFonts w:ascii="Times New Roman" w:hAnsi="Times New Roman" w:cs="Times New Roman"/>
                <w:sz w:val="21"/>
              </w:rPr>
            </w:pPr>
            <w:r>
              <w:rPr>
                <w:rFonts w:ascii="Times New Roman" w:hAnsi="Times New Roman" w:cs="Times New Roman"/>
                <w:spacing w:val="-5"/>
                <w:sz w:val="21"/>
              </w:rPr>
              <w:t>字段名</w:t>
            </w:r>
          </w:p>
        </w:tc>
        <w:tc>
          <w:tcPr>
            <w:tcW w:w="2074" w:type="dxa"/>
          </w:tcPr>
          <w:p>
            <w:pPr>
              <w:pStyle w:val="214"/>
              <w:ind w:left="106"/>
              <w:rPr>
                <w:rFonts w:ascii="Times New Roman" w:hAnsi="Times New Roman" w:cs="Times New Roman"/>
                <w:sz w:val="21"/>
              </w:rPr>
            </w:pPr>
            <w:r>
              <w:rPr>
                <w:rFonts w:ascii="Times New Roman" w:hAnsi="Times New Roman" w:cs="Times New Roman"/>
                <w:spacing w:val="-7"/>
                <w:sz w:val="21"/>
              </w:rPr>
              <w:t>十六进制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rPr>
                <w:rFonts w:ascii="Times New Roman" w:hAnsi="Times New Roman" w:cs="Times New Roman"/>
                <w:sz w:val="21"/>
              </w:rPr>
            </w:pPr>
            <w:r>
              <w:rPr>
                <w:rFonts w:ascii="Times New Roman" w:hAnsi="Times New Roman" w:cs="Times New Roman"/>
                <w:spacing w:val="-8"/>
                <w:sz w:val="21"/>
              </w:rPr>
              <w:t>地址</w:t>
            </w:r>
          </w:p>
        </w:tc>
        <w:tc>
          <w:tcPr>
            <w:tcW w:w="2074" w:type="dxa"/>
          </w:tcPr>
          <w:p>
            <w:pPr>
              <w:pStyle w:val="214"/>
              <w:ind w:left="106"/>
              <w:rPr>
                <w:rFonts w:ascii="Times New Roman" w:hAnsi="Times New Roman" w:cs="Times New Roman"/>
                <w:sz w:val="21"/>
              </w:rPr>
            </w:pPr>
            <w:r>
              <w:rPr>
                <w:rFonts w:ascii="Times New Roman" w:hAnsi="Times New Roman" w:cs="Times New Roman"/>
                <w:spacing w:val="-5"/>
                <w:sz w:val="21"/>
              </w:rPr>
              <w:t>F9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22"/>
              <w:rPr>
                <w:rFonts w:ascii="Times New Roman" w:hAnsi="Times New Roman" w:cs="Times New Roman"/>
                <w:sz w:val="21"/>
              </w:rPr>
            </w:pPr>
            <w:r>
              <w:rPr>
                <w:rFonts w:ascii="Times New Roman" w:hAnsi="Times New Roman" w:cs="Times New Roman"/>
                <w:spacing w:val="-8"/>
                <w:sz w:val="21"/>
              </w:rPr>
              <w:t>功能</w:t>
            </w:r>
          </w:p>
        </w:tc>
        <w:tc>
          <w:tcPr>
            <w:tcW w:w="2074" w:type="dxa"/>
          </w:tcPr>
          <w:p>
            <w:pPr>
              <w:pStyle w:val="214"/>
              <w:spacing w:before="22"/>
              <w:ind w:left="106"/>
              <w:rPr>
                <w:rFonts w:ascii="Times New Roman" w:hAnsi="Times New Roman" w:cs="Times New Roman"/>
                <w:sz w:val="21"/>
              </w:rPr>
            </w:pPr>
            <w:r>
              <w:rPr>
                <w:rFonts w:ascii="Times New Roman" w:hAnsi="Times New Roman" w:cs="Times New Roman"/>
                <w:spacing w:val="-5"/>
                <w:sz w:val="21"/>
              </w:rPr>
              <w:t>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074" w:type="dxa"/>
          </w:tcPr>
          <w:p>
            <w:pPr>
              <w:pStyle w:val="214"/>
              <w:spacing w:before="21"/>
              <w:rPr>
                <w:rFonts w:ascii="Times New Roman" w:hAnsi="Times New Roman" w:cs="Times New Roman"/>
                <w:sz w:val="21"/>
              </w:rPr>
            </w:pPr>
            <w:r>
              <w:rPr>
                <w:rFonts w:ascii="Times New Roman" w:hAnsi="Times New Roman" w:cs="Times New Roman"/>
                <w:spacing w:val="-7"/>
                <w:sz w:val="21"/>
              </w:rPr>
              <w:t>时钟信息</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z w:val="21"/>
              </w:rPr>
              <w:t>8</w:t>
            </w:r>
            <w:r>
              <w:rPr>
                <w:rFonts w:ascii="Times New Roman" w:hAnsi="Times New Roman" w:cs="Times New Roman"/>
                <w:spacing w:val="-6"/>
                <w:sz w:val="21"/>
              </w:rPr>
              <w:t xml:space="preserve"> 字节，</w:t>
            </w:r>
            <w:r>
              <w:rPr>
                <w:rFonts w:ascii="Times New Roman" w:hAnsi="Times New Roman" w:cs="Times New Roman"/>
                <w:sz w:val="21"/>
              </w:rPr>
              <w:t>UTC</w:t>
            </w:r>
            <w:r>
              <w:rPr>
                <w:rFonts w:ascii="Times New Roman" w:hAnsi="Times New Roman" w:cs="Times New Roman"/>
                <w:spacing w:val="-9"/>
                <w:sz w:val="21"/>
              </w:rPr>
              <w:t xml:space="preserve"> 秒，精</w:t>
            </w:r>
          </w:p>
          <w:p>
            <w:pPr>
              <w:pStyle w:val="214"/>
              <w:spacing w:before="43"/>
              <w:ind w:left="106"/>
              <w:rPr>
                <w:rFonts w:ascii="Times New Roman" w:hAnsi="Times New Roman" w:cs="Times New Roman"/>
                <w:sz w:val="21"/>
              </w:rPr>
            </w:pPr>
            <w:r>
              <w:rPr>
                <w:rFonts w:ascii="Times New Roman" w:hAnsi="Times New Roman" w:cs="Times New Roman"/>
                <w:spacing w:val="-9"/>
                <w:sz w:val="21"/>
              </w:rPr>
              <w:t xml:space="preserve">确到小数点后 </w:t>
            </w:r>
            <w:r>
              <w:rPr>
                <w:rFonts w:ascii="Times New Roman" w:hAnsi="Times New Roman" w:cs="Times New Roman"/>
                <w:spacing w:val="-2"/>
                <w:sz w:val="21"/>
              </w:rPr>
              <w:t>6</w:t>
            </w:r>
            <w:r>
              <w:rPr>
                <w:rFonts w:ascii="Times New Roman" w:hAnsi="Times New Roman" w:cs="Times New Roman"/>
                <w:spacing w:val="-31"/>
                <w:sz w:val="21"/>
              </w:rPr>
              <w:t xml:space="preserve"> 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21"/>
              <w:rPr>
                <w:rFonts w:ascii="Times New Roman" w:hAnsi="Times New Roman" w:cs="Times New Roman"/>
                <w:sz w:val="21"/>
              </w:rPr>
            </w:pPr>
            <w:r>
              <w:rPr>
                <w:rFonts w:ascii="Times New Roman" w:hAnsi="Times New Roman" w:cs="Times New Roman"/>
                <w:spacing w:val="-7"/>
                <w:sz w:val="21"/>
              </w:rPr>
              <w:t>设备个数</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074" w:type="dxa"/>
          </w:tcPr>
          <w:p>
            <w:pPr>
              <w:pStyle w:val="214"/>
              <w:rPr>
                <w:rFonts w:ascii="Times New Roman" w:hAnsi="Times New Roman" w:cs="Times New Roman"/>
                <w:sz w:val="21"/>
              </w:rPr>
            </w:pPr>
            <w:r>
              <w:rPr>
                <w:rFonts w:ascii="Times New Roman" w:hAnsi="Times New Roman" w:cs="Times New Roman"/>
                <w:spacing w:val="-20"/>
                <w:sz w:val="21"/>
              </w:rPr>
              <w:t xml:space="preserve">设备 </w:t>
            </w:r>
            <w:r>
              <w:rPr>
                <w:rFonts w:ascii="Times New Roman" w:hAnsi="Times New Roman" w:cs="Times New Roman"/>
                <w:spacing w:val="-5"/>
                <w:sz w:val="21"/>
              </w:rPr>
              <w:t>id</w:t>
            </w:r>
          </w:p>
        </w:tc>
        <w:tc>
          <w:tcPr>
            <w:tcW w:w="2074" w:type="dxa"/>
          </w:tcPr>
          <w:p>
            <w:pPr>
              <w:pStyle w:val="214"/>
              <w:ind w:left="106"/>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rPr>
                <w:rFonts w:ascii="Times New Roman" w:hAnsi="Times New Roman" w:cs="Times New Roman"/>
                <w:sz w:val="21"/>
              </w:rPr>
            </w:pPr>
            <w:r>
              <w:rPr>
                <w:rFonts w:ascii="Times New Roman" w:hAnsi="Times New Roman" w:cs="Times New Roman"/>
                <w:spacing w:val="-7"/>
                <w:sz w:val="21"/>
              </w:rPr>
              <w:t>设备地址</w:t>
            </w:r>
          </w:p>
        </w:tc>
        <w:tc>
          <w:tcPr>
            <w:tcW w:w="2074" w:type="dxa"/>
          </w:tcPr>
          <w:p>
            <w:pPr>
              <w:pStyle w:val="214"/>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074" w:type="dxa"/>
          </w:tcPr>
          <w:p>
            <w:pPr>
              <w:pStyle w:val="214"/>
              <w:rPr>
                <w:rFonts w:ascii="Times New Roman" w:hAnsi="Times New Roman" w:cs="Times New Roman"/>
                <w:sz w:val="21"/>
              </w:rPr>
            </w:pPr>
            <w:r>
              <w:rPr>
                <w:rFonts w:ascii="Times New Roman" w:hAnsi="Times New Roman" w:cs="Times New Roman"/>
                <w:spacing w:val="-10"/>
                <w:sz w:val="21"/>
              </w:rPr>
              <w:t>…</w:t>
            </w:r>
          </w:p>
        </w:tc>
        <w:tc>
          <w:tcPr>
            <w:tcW w:w="2074" w:type="dxa"/>
          </w:tcPr>
          <w:p>
            <w:pPr>
              <w:pStyle w:val="214"/>
              <w:ind w:left="106"/>
              <w:rPr>
                <w:rFonts w:ascii="Times New Roman" w:hAnsi="Times New Roman" w:cs="Times New Roman"/>
                <w:sz w:val="21"/>
              </w:rPr>
            </w:pPr>
            <w:r>
              <w:rPr>
                <w:rFonts w:ascii="Times New Roman" w:hAnsi="Times New Roman" w:cs="Times New Roman"/>
                <w:spacing w:val="-10"/>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22"/>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Lo</w:t>
            </w:r>
          </w:p>
        </w:tc>
        <w:tc>
          <w:tcPr>
            <w:tcW w:w="2074" w:type="dxa"/>
          </w:tcPr>
          <w:p>
            <w:pPr>
              <w:pStyle w:val="214"/>
              <w:spacing w:before="0"/>
              <w:ind w:left="0"/>
              <w:rPr>
                <w:rFonts w:ascii="Times New Roman" w:hAnsi="Times New Roman" w:cs="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21"/>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Hi</w:t>
            </w:r>
          </w:p>
        </w:tc>
        <w:tc>
          <w:tcPr>
            <w:tcW w:w="2074" w:type="dxa"/>
          </w:tcPr>
          <w:p>
            <w:pPr>
              <w:pStyle w:val="214"/>
              <w:spacing w:before="0"/>
              <w:ind w:left="0"/>
              <w:rPr>
                <w:rFonts w:ascii="Times New Roman" w:hAnsi="Times New Roman" w:cs="Times New Roman"/>
                <w:sz w:val="20"/>
              </w:rPr>
            </w:pPr>
          </w:p>
        </w:tc>
      </w:tr>
    </w:tbl>
    <w:p>
      <w:pPr>
        <w:spacing w:line="360" w:lineRule="auto"/>
      </w:pPr>
      <w:r>
        <w:t>4.3 设备关联</w:t>
      </w:r>
    </w:p>
    <w:p>
      <w:pPr>
        <w:ind w:firstLine="420" w:firstLineChars="200"/>
      </w:pPr>
      <w:r>
        <w:t>设备关联请求及应答报文定义</w:t>
      </w:r>
    </w:p>
    <w:tbl>
      <w:tblPr>
        <w:tblStyle w:val="209"/>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4"/>
        <w:gridCol w:w="2074"/>
        <w:gridCol w:w="2074"/>
        <w:gridCol w:w="20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148" w:type="dxa"/>
            <w:gridSpan w:val="2"/>
          </w:tcPr>
          <w:p>
            <w:pPr>
              <w:pStyle w:val="214"/>
              <w:spacing w:before="21"/>
              <w:ind w:left="8"/>
              <w:jc w:val="center"/>
              <w:rPr>
                <w:rFonts w:ascii="Times New Roman" w:hAnsi="Times New Roman" w:cs="Times New Roman"/>
                <w:sz w:val="21"/>
              </w:rPr>
            </w:pPr>
            <w:r>
              <w:rPr>
                <w:rFonts w:ascii="Times New Roman" w:hAnsi="Times New Roman" w:cs="Times New Roman"/>
                <w:spacing w:val="-8"/>
                <w:sz w:val="21"/>
              </w:rPr>
              <w:t>请求</w:t>
            </w:r>
          </w:p>
        </w:tc>
        <w:tc>
          <w:tcPr>
            <w:tcW w:w="4148" w:type="dxa"/>
            <w:gridSpan w:val="2"/>
          </w:tcPr>
          <w:p>
            <w:pPr>
              <w:pStyle w:val="214"/>
              <w:spacing w:before="21"/>
              <w:ind w:left="8" w:right="1"/>
              <w:jc w:val="center"/>
              <w:rPr>
                <w:rFonts w:ascii="Times New Roman" w:hAnsi="Times New Roman" w:cs="Times New Roman"/>
                <w:position w:val="11"/>
                <w:sz w:val="10"/>
              </w:rPr>
            </w:pPr>
            <w:r>
              <w:rPr>
                <w:rFonts w:ascii="Times New Roman" w:hAnsi="Times New Roman" w:cs="Times New Roman"/>
                <w:spacing w:val="-2"/>
                <w:sz w:val="21"/>
              </w:rPr>
              <w:t>肯定响应</w:t>
            </w:r>
            <w:r>
              <w:rPr>
                <w:rFonts w:ascii="Times New Roman" w:hAnsi="Times New Roman" w:cs="Times New Roman"/>
                <w:spacing w:val="-10"/>
                <w:position w:val="11"/>
                <w:sz w:val="10"/>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21"/>
              <w:rPr>
                <w:rFonts w:ascii="Times New Roman" w:hAnsi="Times New Roman" w:cs="Times New Roman"/>
                <w:sz w:val="21"/>
              </w:rPr>
            </w:pPr>
            <w:r>
              <w:rPr>
                <w:rFonts w:ascii="Times New Roman" w:hAnsi="Times New Roman" w:cs="Times New Roman"/>
                <w:spacing w:val="-5"/>
                <w:sz w:val="21"/>
              </w:rPr>
              <w:t>字段名</w:t>
            </w:r>
          </w:p>
        </w:tc>
        <w:tc>
          <w:tcPr>
            <w:tcW w:w="2074" w:type="dxa"/>
          </w:tcPr>
          <w:p>
            <w:pPr>
              <w:pStyle w:val="214"/>
              <w:spacing w:before="21"/>
              <w:rPr>
                <w:rFonts w:ascii="Times New Roman" w:hAnsi="Times New Roman" w:cs="Times New Roman"/>
                <w:sz w:val="21"/>
              </w:rPr>
            </w:pPr>
            <w:r>
              <w:rPr>
                <w:rFonts w:ascii="Times New Roman" w:hAnsi="Times New Roman" w:cs="Times New Roman"/>
                <w:spacing w:val="-7"/>
                <w:sz w:val="21"/>
              </w:rPr>
              <w:t>十六进制</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5"/>
                <w:sz w:val="21"/>
              </w:rPr>
              <w:t>字段名</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7"/>
                <w:sz w:val="21"/>
              </w:rPr>
              <w:t>十六进制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074" w:type="dxa"/>
          </w:tcPr>
          <w:p>
            <w:pPr>
              <w:pStyle w:val="214"/>
              <w:rPr>
                <w:rFonts w:ascii="Times New Roman" w:hAnsi="Times New Roman" w:cs="Times New Roman"/>
                <w:sz w:val="21"/>
              </w:rPr>
            </w:pPr>
            <w:r>
              <w:rPr>
                <w:rFonts w:ascii="Times New Roman" w:hAnsi="Times New Roman" w:cs="Times New Roman"/>
                <w:spacing w:val="-8"/>
                <w:sz w:val="21"/>
              </w:rPr>
              <w:t>地址</w:t>
            </w:r>
          </w:p>
        </w:tc>
        <w:tc>
          <w:tcPr>
            <w:tcW w:w="2074" w:type="dxa"/>
          </w:tcPr>
          <w:p>
            <w:pPr>
              <w:pStyle w:val="214"/>
              <w:rPr>
                <w:rFonts w:ascii="Times New Roman" w:hAnsi="Times New Roman" w:cs="Times New Roman"/>
                <w:sz w:val="21"/>
              </w:rPr>
            </w:pPr>
            <w:r>
              <w:rPr>
                <w:rFonts w:ascii="Times New Roman" w:hAnsi="Times New Roman" w:cs="Times New Roman"/>
                <w:spacing w:val="-7"/>
                <w:sz w:val="21"/>
              </w:rPr>
              <w:t>设备地址</w:t>
            </w:r>
          </w:p>
        </w:tc>
        <w:tc>
          <w:tcPr>
            <w:tcW w:w="2074" w:type="dxa"/>
          </w:tcPr>
          <w:p>
            <w:pPr>
              <w:pStyle w:val="214"/>
              <w:ind w:left="106"/>
              <w:rPr>
                <w:rFonts w:ascii="Times New Roman" w:hAnsi="Times New Roman" w:cs="Times New Roman"/>
                <w:sz w:val="21"/>
              </w:rPr>
            </w:pPr>
            <w:r>
              <w:rPr>
                <w:rFonts w:ascii="Times New Roman" w:hAnsi="Times New Roman" w:cs="Times New Roman"/>
                <w:spacing w:val="-8"/>
                <w:sz w:val="21"/>
              </w:rPr>
              <w:t>地址</w:t>
            </w:r>
          </w:p>
        </w:tc>
        <w:tc>
          <w:tcPr>
            <w:tcW w:w="2074" w:type="dxa"/>
          </w:tcPr>
          <w:p>
            <w:pPr>
              <w:pStyle w:val="214"/>
              <w:ind w:left="106"/>
              <w:rPr>
                <w:rFonts w:ascii="Times New Roman" w:hAnsi="Times New Roman" w:cs="Times New Roman"/>
                <w:sz w:val="21"/>
              </w:rPr>
            </w:pPr>
            <w:r>
              <w:rPr>
                <w:rFonts w:ascii="Times New Roman" w:hAnsi="Times New Roman" w:cs="Times New Roman"/>
                <w:spacing w:val="-7"/>
                <w:sz w:val="21"/>
              </w:rPr>
              <w:t>设备地址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rPr>
                <w:rFonts w:ascii="Times New Roman" w:hAnsi="Times New Roman" w:cs="Times New Roman"/>
                <w:sz w:val="21"/>
              </w:rPr>
            </w:pPr>
            <w:r>
              <w:rPr>
                <w:rFonts w:ascii="Times New Roman" w:hAnsi="Times New Roman" w:cs="Times New Roman"/>
                <w:spacing w:val="-8"/>
                <w:sz w:val="21"/>
              </w:rPr>
              <w:t>功能</w:t>
            </w:r>
          </w:p>
        </w:tc>
        <w:tc>
          <w:tcPr>
            <w:tcW w:w="2074" w:type="dxa"/>
          </w:tcPr>
          <w:p>
            <w:pPr>
              <w:pStyle w:val="214"/>
              <w:rPr>
                <w:rFonts w:ascii="Times New Roman" w:hAnsi="Times New Roman" w:cs="Times New Roman"/>
                <w:sz w:val="21"/>
              </w:rPr>
            </w:pPr>
            <w:r>
              <w:rPr>
                <w:rFonts w:ascii="Times New Roman" w:hAnsi="Times New Roman" w:cs="Times New Roman"/>
                <w:spacing w:val="-5"/>
                <w:sz w:val="21"/>
              </w:rPr>
              <w:t>43</w:t>
            </w:r>
          </w:p>
        </w:tc>
        <w:tc>
          <w:tcPr>
            <w:tcW w:w="2074" w:type="dxa"/>
          </w:tcPr>
          <w:p>
            <w:pPr>
              <w:pStyle w:val="214"/>
              <w:ind w:left="106"/>
              <w:rPr>
                <w:rFonts w:ascii="Times New Roman" w:hAnsi="Times New Roman" w:cs="Times New Roman"/>
                <w:sz w:val="21"/>
              </w:rPr>
            </w:pPr>
            <w:r>
              <w:rPr>
                <w:rFonts w:ascii="Times New Roman" w:hAnsi="Times New Roman" w:cs="Times New Roman"/>
                <w:spacing w:val="-8"/>
                <w:sz w:val="21"/>
              </w:rPr>
              <w:t>功能</w:t>
            </w:r>
          </w:p>
        </w:tc>
        <w:tc>
          <w:tcPr>
            <w:tcW w:w="2074" w:type="dxa"/>
          </w:tcPr>
          <w:p>
            <w:pPr>
              <w:pStyle w:val="214"/>
              <w:ind w:left="106"/>
              <w:rPr>
                <w:rFonts w:ascii="Times New Roman" w:hAnsi="Times New Roman" w:cs="Times New Roman"/>
                <w:sz w:val="21"/>
              </w:rPr>
            </w:pPr>
            <w:r>
              <w:rPr>
                <w:rFonts w:ascii="Times New Roman" w:hAnsi="Times New Roman" w:cs="Times New Roman"/>
                <w:spacing w:val="-5"/>
                <w:sz w:val="21"/>
              </w:rPr>
              <w:t>43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rPr>
                <w:rFonts w:ascii="Times New Roman" w:hAnsi="Times New Roman" w:cs="Times New Roman"/>
                <w:sz w:val="21"/>
              </w:rPr>
            </w:pPr>
            <w:r>
              <w:rPr>
                <w:rFonts w:ascii="Times New Roman" w:hAnsi="Times New Roman" w:cs="Times New Roman"/>
                <w:spacing w:val="-19"/>
                <w:sz w:val="21"/>
              </w:rPr>
              <w:t xml:space="preserve">设备 </w:t>
            </w:r>
            <w:r>
              <w:rPr>
                <w:rFonts w:ascii="Times New Roman" w:hAnsi="Times New Roman" w:cs="Times New Roman"/>
                <w:spacing w:val="-5"/>
                <w:sz w:val="21"/>
              </w:rPr>
              <w:t>id</w:t>
            </w:r>
          </w:p>
        </w:tc>
        <w:tc>
          <w:tcPr>
            <w:tcW w:w="2074" w:type="dxa"/>
          </w:tcPr>
          <w:p>
            <w:pPr>
              <w:pStyle w:val="214"/>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字节</w:t>
            </w:r>
          </w:p>
        </w:tc>
        <w:tc>
          <w:tcPr>
            <w:tcW w:w="2074" w:type="dxa"/>
          </w:tcPr>
          <w:p>
            <w:pPr>
              <w:pStyle w:val="214"/>
              <w:ind w:left="106"/>
              <w:rPr>
                <w:rFonts w:ascii="Times New Roman" w:hAnsi="Times New Roman" w:cs="Times New Roman"/>
                <w:sz w:val="21"/>
              </w:rPr>
            </w:pPr>
            <w:r>
              <w:rPr>
                <w:rFonts w:ascii="Times New Roman" w:hAnsi="Times New Roman" w:cs="Times New Roman"/>
                <w:spacing w:val="-7"/>
                <w:sz w:val="21"/>
              </w:rPr>
              <w:t>设备类型</w:t>
            </w:r>
          </w:p>
        </w:tc>
        <w:tc>
          <w:tcPr>
            <w:tcW w:w="2074" w:type="dxa"/>
          </w:tcPr>
          <w:p>
            <w:pPr>
              <w:pStyle w:val="214"/>
              <w:ind w:left="106"/>
              <w:rPr>
                <w:rFonts w:ascii="Times New Roman" w:hAnsi="Times New Roman" w:cs="Times New Roman"/>
                <w:sz w:val="21"/>
              </w:rPr>
            </w:pPr>
            <w:r>
              <w:rPr>
                <w:rFonts w:ascii="Times New Roman" w:hAnsi="Times New Roman" w:cs="Times New Roman"/>
                <w:spacing w:val="-4"/>
                <w:sz w:val="21"/>
              </w:rPr>
              <w:t>2</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22"/>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Lo</w:t>
            </w:r>
          </w:p>
        </w:tc>
        <w:tc>
          <w:tcPr>
            <w:tcW w:w="2074" w:type="dxa"/>
          </w:tcPr>
          <w:p>
            <w:pPr>
              <w:pStyle w:val="214"/>
              <w:spacing w:before="0"/>
              <w:ind w:left="0"/>
              <w:rPr>
                <w:rFonts w:ascii="Times New Roman" w:hAnsi="Times New Roman" w:cs="Times New Roman"/>
                <w:sz w:val="20"/>
              </w:rPr>
            </w:pPr>
          </w:p>
        </w:tc>
        <w:tc>
          <w:tcPr>
            <w:tcW w:w="2074" w:type="dxa"/>
          </w:tcPr>
          <w:p>
            <w:pPr>
              <w:pStyle w:val="214"/>
              <w:spacing w:before="22"/>
              <w:ind w:left="106"/>
              <w:rPr>
                <w:rFonts w:ascii="Times New Roman" w:hAnsi="Times New Roman" w:cs="Times New Roman"/>
                <w:sz w:val="21"/>
              </w:rPr>
            </w:pPr>
            <w:r>
              <w:rPr>
                <w:rFonts w:ascii="Times New Roman" w:hAnsi="Times New Roman" w:cs="Times New Roman"/>
                <w:spacing w:val="-7"/>
                <w:sz w:val="21"/>
              </w:rPr>
              <w:t>模型版本</w:t>
            </w:r>
          </w:p>
        </w:tc>
        <w:tc>
          <w:tcPr>
            <w:tcW w:w="2074" w:type="dxa"/>
          </w:tcPr>
          <w:p>
            <w:pPr>
              <w:pStyle w:val="214"/>
              <w:spacing w:before="22"/>
              <w:ind w:left="106"/>
              <w:rPr>
                <w:rFonts w:ascii="Times New Roman" w:hAnsi="Times New Roman" w:cs="Times New Roman"/>
                <w:sz w:val="21"/>
              </w:rPr>
            </w:pPr>
            <w:r>
              <w:rPr>
                <w:rFonts w:ascii="Times New Roman" w:hAnsi="Times New Roman" w:cs="Times New Roman"/>
                <w:spacing w:val="-4"/>
                <w:sz w:val="21"/>
              </w:rPr>
              <w:t>1</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074" w:type="dxa"/>
          </w:tcPr>
          <w:p>
            <w:pPr>
              <w:pStyle w:val="214"/>
              <w:spacing w:before="21"/>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Hi</w:t>
            </w:r>
          </w:p>
        </w:tc>
        <w:tc>
          <w:tcPr>
            <w:tcW w:w="2074" w:type="dxa"/>
          </w:tcPr>
          <w:p>
            <w:pPr>
              <w:pStyle w:val="214"/>
              <w:spacing w:before="0"/>
              <w:ind w:left="0"/>
              <w:rPr>
                <w:rFonts w:ascii="Times New Roman" w:hAnsi="Times New Roman" w:cs="Times New Roman"/>
                <w:sz w:val="20"/>
              </w:rPr>
            </w:pP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19"/>
                <w:sz w:val="21"/>
              </w:rPr>
              <w:t xml:space="preserve">设备 </w:t>
            </w:r>
            <w:r>
              <w:rPr>
                <w:rFonts w:ascii="Times New Roman" w:hAnsi="Times New Roman" w:cs="Times New Roman"/>
                <w:spacing w:val="-5"/>
                <w:sz w:val="21"/>
              </w:rPr>
              <w:t>id</w:t>
            </w: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4"/>
                <w:sz w:val="21"/>
              </w:rPr>
              <w:t>6</w:t>
            </w:r>
            <w:r>
              <w:rPr>
                <w:rFonts w:ascii="Times New Roman" w:hAnsi="Times New Roman" w:cs="Times New Roman"/>
                <w:spacing w:val="-22"/>
                <w:sz w:val="21"/>
              </w:rPr>
              <w:t xml:space="preserve"> 字节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0"/>
              <w:ind w:left="0"/>
              <w:rPr>
                <w:rFonts w:ascii="Times New Roman" w:hAnsi="Times New Roman" w:cs="Times New Roman"/>
                <w:sz w:val="20"/>
              </w:rPr>
            </w:pPr>
          </w:p>
        </w:tc>
        <w:tc>
          <w:tcPr>
            <w:tcW w:w="2074" w:type="dxa"/>
          </w:tcPr>
          <w:p>
            <w:pPr>
              <w:pStyle w:val="214"/>
              <w:spacing w:before="0"/>
              <w:ind w:left="0"/>
              <w:rPr>
                <w:rFonts w:ascii="Times New Roman" w:hAnsi="Times New Roman" w:cs="Times New Roman"/>
                <w:sz w:val="20"/>
              </w:rPr>
            </w:pPr>
          </w:p>
        </w:tc>
        <w:tc>
          <w:tcPr>
            <w:tcW w:w="2074" w:type="dxa"/>
          </w:tcPr>
          <w:p>
            <w:pPr>
              <w:pStyle w:val="214"/>
              <w:spacing w:before="21"/>
              <w:ind w:left="106"/>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Lo</w:t>
            </w:r>
          </w:p>
        </w:tc>
        <w:tc>
          <w:tcPr>
            <w:tcW w:w="2074" w:type="dxa"/>
          </w:tcPr>
          <w:p>
            <w:pPr>
              <w:pStyle w:val="214"/>
              <w:spacing w:before="0"/>
              <w:ind w:left="0"/>
              <w:rPr>
                <w:rFonts w:ascii="Times New Roman" w:hAnsi="Times New Roman" w:cs="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074" w:type="dxa"/>
          </w:tcPr>
          <w:p>
            <w:pPr>
              <w:pStyle w:val="214"/>
              <w:spacing w:before="0"/>
              <w:ind w:left="0"/>
              <w:rPr>
                <w:rFonts w:ascii="Times New Roman" w:hAnsi="Times New Roman" w:cs="Times New Roman"/>
                <w:sz w:val="20"/>
              </w:rPr>
            </w:pPr>
          </w:p>
        </w:tc>
        <w:tc>
          <w:tcPr>
            <w:tcW w:w="2074" w:type="dxa"/>
          </w:tcPr>
          <w:p>
            <w:pPr>
              <w:pStyle w:val="214"/>
              <w:spacing w:before="0"/>
              <w:ind w:left="0"/>
              <w:rPr>
                <w:rFonts w:ascii="Times New Roman" w:hAnsi="Times New Roman" w:cs="Times New Roman"/>
                <w:sz w:val="20"/>
              </w:rPr>
            </w:pPr>
          </w:p>
        </w:tc>
        <w:tc>
          <w:tcPr>
            <w:tcW w:w="2074" w:type="dxa"/>
          </w:tcPr>
          <w:p>
            <w:pPr>
              <w:pStyle w:val="214"/>
              <w:ind w:left="106"/>
              <w:rPr>
                <w:rFonts w:ascii="Times New Roman" w:hAnsi="Times New Roman" w:cs="Times New Roman"/>
                <w:sz w:val="21"/>
              </w:rPr>
            </w:pPr>
            <w:r>
              <w:rPr>
                <w:rFonts w:ascii="Times New Roman" w:hAnsi="Times New Roman" w:cs="Times New Roman"/>
                <w:spacing w:val="-15"/>
                <w:sz w:val="21"/>
              </w:rPr>
              <w:t xml:space="preserve">校验字 </w:t>
            </w:r>
            <w:r>
              <w:rPr>
                <w:rFonts w:ascii="Times New Roman" w:hAnsi="Times New Roman" w:cs="Times New Roman"/>
                <w:spacing w:val="-5"/>
                <w:sz w:val="21"/>
              </w:rPr>
              <w:t>Hi</w:t>
            </w:r>
          </w:p>
        </w:tc>
        <w:tc>
          <w:tcPr>
            <w:tcW w:w="2074" w:type="dxa"/>
          </w:tcPr>
          <w:p>
            <w:pPr>
              <w:pStyle w:val="214"/>
              <w:spacing w:before="0"/>
              <w:ind w:left="0"/>
              <w:rPr>
                <w:rFonts w:ascii="Times New Roman" w:hAnsi="Times New Roman" w:cs="Times New Roman"/>
                <w:sz w:val="20"/>
              </w:rPr>
            </w:pPr>
          </w:p>
        </w:tc>
      </w:tr>
    </w:tbl>
    <w:p>
      <w:pPr>
        <w:spacing w:line="360" w:lineRule="auto"/>
      </w:pPr>
      <w:r>
        <w:t>注[1]：收到请求报文中设备 id 与自身设备 id 不匹配时，不进行任何响应，设备重置保存至非易失存储器的通信地址，重新作为未配置地址的设备运行。</w:t>
      </w:r>
    </w:p>
    <w:p>
      <w:pPr>
        <w:rPr>
          <w:b/>
          <w:bCs/>
          <w:szCs w:val="21"/>
        </w:rPr>
      </w:pPr>
      <w:r>
        <w:rPr>
          <w:rFonts w:hint="eastAsia"/>
          <w:b/>
          <w:bCs/>
          <w:szCs w:val="21"/>
        </w:rPr>
        <w:t>5、</w:t>
      </w:r>
      <w:r>
        <w:rPr>
          <w:b/>
          <w:bCs/>
          <w:szCs w:val="21"/>
        </w:rPr>
        <w:t>业务数据交互</w:t>
      </w:r>
    </w:p>
    <w:p>
      <w:pPr>
        <w:spacing w:line="360" w:lineRule="auto"/>
        <w:ind w:firstLine="420" w:firstLineChars="200"/>
      </w:pPr>
      <w:r>
        <w:t>遵循标准 Modbus 报文定义，业务功能与协议标准的映射关系如下：</w:t>
      </w:r>
    </w:p>
    <w:tbl>
      <w:tblPr>
        <w:tblStyle w:val="209"/>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65"/>
        <w:gridCol w:w="2765"/>
        <w:gridCol w:w="27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765" w:type="dxa"/>
          </w:tcPr>
          <w:p>
            <w:pPr>
              <w:pStyle w:val="214"/>
              <w:spacing w:before="21"/>
              <w:ind w:left="7"/>
              <w:jc w:val="center"/>
              <w:rPr>
                <w:rFonts w:ascii="Times New Roman" w:hAnsi="Times New Roman" w:cs="Times New Roman"/>
                <w:sz w:val="21"/>
              </w:rPr>
            </w:pPr>
            <w:r>
              <w:rPr>
                <w:rFonts w:ascii="Times New Roman" w:hAnsi="Times New Roman" w:cs="Times New Roman"/>
                <w:spacing w:val="-7"/>
                <w:sz w:val="21"/>
              </w:rPr>
              <w:t>业务功能</w:t>
            </w:r>
          </w:p>
        </w:tc>
        <w:tc>
          <w:tcPr>
            <w:tcW w:w="2765" w:type="dxa"/>
          </w:tcPr>
          <w:p>
            <w:pPr>
              <w:pStyle w:val="214"/>
              <w:spacing w:before="21"/>
              <w:ind w:left="7" w:right="1"/>
              <w:jc w:val="center"/>
              <w:rPr>
                <w:rFonts w:ascii="Times New Roman" w:hAnsi="Times New Roman" w:cs="Times New Roman"/>
                <w:sz w:val="21"/>
              </w:rPr>
            </w:pPr>
            <w:r>
              <w:rPr>
                <w:rFonts w:ascii="Times New Roman" w:hAnsi="Times New Roman" w:cs="Times New Roman"/>
                <w:spacing w:val="-7"/>
                <w:sz w:val="21"/>
              </w:rPr>
              <w:t>协议标准</w:t>
            </w:r>
          </w:p>
        </w:tc>
        <w:tc>
          <w:tcPr>
            <w:tcW w:w="2766" w:type="dxa"/>
          </w:tcPr>
          <w:p>
            <w:pPr>
              <w:pStyle w:val="214"/>
              <w:spacing w:before="21"/>
              <w:ind w:left="858"/>
              <w:rPr>
                <w:rFonts w:ascii="Times New Roman" w:hAnsi="Times New Roman" w:cs="Times New Roman"/>
                <w:sz w:val="21"/>
              </w:rPr>
            </w:pPr>
            <w:r>
              <w:rPr>
                <w:rFonts w:ascii="Times New Roman" w:hAnsi="Times New Roman" w:cs="Times New Roman"/>
                <w:spacing w:val="-4"/>
                <w:sz w:val="21"/>
              </w:rPr>
              <w:t>支持功能码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765" w:type="dxa"/>
          </w:tcPr>
          <w:p>
            <w:pPr>
              <w:pStyle w:val="214"/>
              <w:rPr>
                <w:rFonts w:ascii="Times New Roman" w:hAnsi="Times New Roman" w:cs="Times New Roman"/>
                <w:sz w:val="21"/>
              </w:rPr>
            </w:pPr>
            <w:r>
              <w:rPr>
                <w:rFonts w:ascii="Times New Roman" w:hAnsi="Times New Roman" w:cs="Times New Roman"/>
                <w:spacing w:val="-7"/>
                <w:sz w:val="21"/>
              </w:rPr>
              <w:t>遥信上送</w:t>
            </w:r>
          </w:p>
        </w:tc>
        <w:tc>
          <w:tcPr>
            <w:tcW w:w="2765" w:type="dxa"/>
          </w:tcPr>
          <w:p>
            <w:pPr>
              <w:pStyle w:val="214"/>
              <w:rPr>
                <w:rFonts w:ascii="Times New Roman" w:hAnsi="Times New Roman" w:cs="Times New Roman"/>
                <w:sz w:val="21"/>
              </w:rPr>
            </w:pPr>
            <w:r>
              <w:rPr>
                <w:rFonts w:ascii="Times New Roman" w:hAnsi="Times New Roman" w:cs="Times New Roman"/>
                <w:spacing w:val="-2"/>
                <w:sz w:val="21"/>
              </w:rPr>
              <w:t>离散量（</w:t>
            </w:r>
            <w:r>
              <w:rPr>
                <w:rFonts w:ascii="Times New Roman" w:hAnsi="Times New Roman" w:cs="Times New Roman"/>
                <w:spacing w:val="-12"/>
                <w:sz w:val="21"/>
              </w:rPr>
              <w:t xml:space="preserve">起始地址 </w:t>
            </w:r>
            <w:r>
              <w:rPr>
                <w:rFonts w:ascii="Times New Roman" w:hAnsi="Times New Roman" w:cs="Times New Roman"/>
                <w:spacing w:val="-5"/>
                <w:sz w:val="21"/>
              </w:rPr>
              <w:t>0）</w:t>
            </w:r>
          </w:p>
        </w:tc>
        <w:tc>
          <w:tcPr>
            <w:tcW w:w="2766" w:type="dxa"/>
          </w:tcPr>
          <w:p>
            <w:pPr>
              <w:pStyle w:val="214"/>
              <w:rPr>
                <w:rFonts w:ascii="Times New Roman" w:hAnsi="Times New Roman" w:cs="Times New Roman"/>
                <w:sz w:val="21"/>
              </w:rPr>
            </w:pPr>
            <w:r>
              <w:rPr>
                <w:rFonts w:ascii="Times New Roman" w:hAnsi="Times New Roman" w:cs="Times New Roman"/>
                <w:spacing w:val="-4"/>
                <w:sz w:val="21"/>
              </w:rPr>
              <w:t>0x02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2765" w:type="dxa"/>
          </w:tcPr>
          <w:p>
            <w:pPr>
              <w:pStyle w:val="214"/>
              <w:rPr>
                <w:rFonts w:ascii="Times New Roman" w:hAnsi="Times New Roman" w:cs="Times New Roman"/>
                <w:sz w:val="21"/>
              </w:rPr>
            </w:pPr>
            <w:r>
              <w:rPr>
                <w:rFonts w:ascii="Times New Roman" w:hAnsi="Times New Roman" w:cs="Times New Roman"/>
                <w:spacing w:val="-7"/>
                <w:sz w:val="21"/>
              </w:rPr>
              <w:t>遥测上送</w:t>
            </w:r>
          </w:p>
        </w:tc>
        <w:tc>
          <w:tcPr>
            <w:tcW w:w="2765" w:type="dxa"/>
          </w:tcPr>
          <w:p>
            <w:pPr>
              <w:pStyle w:val="214"/>
              <w:rPr>
                <w:rFonts w:ascii="Times New Roman" w:hAnsi="Times New Roman" w:cs="Times New Roman"/>
                <w:sz w:val="21"/>
              </w:rPr>
            </w:pPr>
            <w:r>
              <w:rPr>
                <w:rFonts w:ascii="Times New Roman" w:hAnsi="Times New Roman" w:cs="Times New Roman"/>
                <w:spacing w:val="-2"/>
                <w:sz w:val="21"/>
              </w:rPr>
              <w:t>输入寄存器（</w:t>
            </w:r>
            <w:r>
              <w:rPr>
                <w:rFonts w:ascii="Times New Roman" w:hAnsi="Times New Roman" w:cs="Times New Roman"/>
                <w:spacing w:val="-12"/>
                <w:sz w:val="21"/>
              </w:rPr>
              <w:t xml:space="preserve">起始地址 </w:t>
            </w:r>
            <w:r>
              <w:rPr>
                <w:rFonts w:ascii="Times New Roman" w:hAnsi="Times New Roman" w:cs="Times New Roman"/>
                <w:spacing w:val="-5"/>
                <w:sz w:val="21"/>
              </w:rPr>
              <w:t>0）</w:t>
            </w:r>
          </w:p>
        </w:tc>
        <w:tc>
          <w:tcPr>
            <w:tcW w:w="2766" w:type="dxa"/>
          </w:tcPr>
          <w:p>
            <w:pPr>
              <w:pStyle w:val="214"/>
              <w:rPr>
                <w:rFonts w:ascii="Times New Roman" w:hAnsi="Times New Roman" w:cs="Times New Roman"/>
                <w:sz w:val="21"/>
              </w:rPr>
            </w:pPr>
            <w:r>
              <w:rPr>
                <w:rFonts w:ascii="Times New Roman" w:hAnsi="Times New Roman" w:cs="Times New Roman"/>
                <w:spacing w:val="-4"/>
                <w:sz w:val="21"/>
              </w:rPr>
              <w:t>0x04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2765" w:type="dxa"/>
          </w:tcPr>
          <w:p>
            <w:pPr>
              <w:pStyle w:val="214"/>
              <w:spacing w:before="22" w:line="268" w:lineRule="exact"/>
              <w:rPr>
                <w:rFonts w:ascii="Times New Roman" w:hAnsi="Times New Roman" w:cs="Times New Roman"/>
                <w:sz w:val="21"/>
              </w:rPr>
            </w:pPr>
            <w:r>
              <w:rPr>
                <w:rFonts w:ascii="Times New Roman" w:hAnsi="Times New Roman" w:cs="Times New Roman"/>
                <w:spacing w:val="-7"/>
                <w:sz w:val="21"/>
              </w:rPr>
              <w:t>遥控下发</w:t>
            </w:r>
          </w:p>
        </w:tc>
        <w:tc>
          <w:tcPr>
            <w:tcW w:w="2765" w:type="dxa"/>
          </w:tcPr>
          <w:p>
            <w:pPr>
              <w:pStyle w:val="214"/>
              <w:spacing w:before="22" w:line="268" w:lineRule="exact"/>
              <w:rPr>
                <w:rFonts w:ascii="Times New Roman" w:hAnsi="Times New Roman" w:cs="Times New Roman"/>
                <w:sz w:val="21"/>
              </w:rPr>
            </w:pPr>
            <w:r>
              <w:rPr>
                <w:rFonts w:ascii="Times New Roman" w:hAnsi="Times New Roman" w:cs="Times New Roman"/>
                <w:spacing w:val="-2"/>
                <w:sz w:val="21"/>
              </w:rPr>
              <w:t>线圈（</w:t>
            </w:r>
            <w:r>
              <w:rPr>
                <w:rFonts w:ascii="Times New Roman" w:hAnsi="Times New Roman" w:cs="Times New Roman"/>
                <w:spacing w:val="-12"/>
                <w:sz w:val="21"/>
              </w:rPr>
              <w:t xml:space="preserve">起始地址 </w:t>
            </w:r>
            <w:r>
              <w:rPr>
                <w:rFonts w:ascii="Times New Roman" w:hAnsi="Times New Roman" w:cs="Times New Roman"/>
                <w:spacing w:val="-5"/>
                <w:sz w:val="21"/>
              </w:rPr>
              <w:t>0）</w:t>
            </w:r>
          </w:p>
        </w:tc>
        <w:tc>
          <w:tcPr>
            <w:tcW w:w="2766" w:type="dxa"/>
          </w:tcPr>
          <w:p>
            <w:pPr>
              <w:pStyle w:val="214"/>
              <w:spacing w:before="22" w:line="268" w:lineRule="exact"/>
              <w:rPr>
                <w:rFonts w:ascii="Times New Roman" w:hAnsi="Times New Roman" w:cs="Times New Roman"/>
                <w:sz w:val="21"/>
              </w:rPr>
            </w:pPr>
            <w:r>
              <w:rPr>
                <w:rFonts w:ascii="Times New Roman" w:hAnsi="Times New Roman" w:cs="Times New Roman"/>
                <w:spacing w:val="-2"/>
                <w:sz w:val="21"/>
              </w:rPr>
              <w:t>0x05/0x0F</w:t>
            </w:r>
          </w:p>
        </w:tc>
      </w:tr>
    </w:tbl>
    <w:p>
      <w:pPr>
        <w:spacing w:line="360" w:lineRule="auto"/>
        <w:rPr>
          <w:b/>
          <w:bCs/>
          <w:szCs w:val="21"/>
        </w:rPr>
      </w:pPr>
      <w:r>
        <w:rPr>
          <w:rFonts w:hint="eastAsia"/>
          <w:b/>
          <w:bCs/>
          <w:szCs w:val="21"/>
        </w:rPr>
        <w:t>6、</w:t>
      </w:r>
      <w:r>
        <w:rPr>
          <w:b/>
          <w:bCs/>
          <w:szCs w:val="21"/>
        </w:rPr>
        <w:t>设备模型</w:t>
      </w:r>
    </w:p>
    <w:p>
      <w:pPr>
        <w:jc w:val="center"/>
      </w:pPr>
      <w:r>
        <w:t>设备类型编号表定义如下</w:t>
      </w:r>
    </w:p>
    <w:tbl>
      <w:tblPr>
        <w:tblStyle w:val="209"/>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1"/>
        <w:gridCol w:w="70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1"/>
              <w:rPr>
                <w:sz w:val="21"/>
              </w:rPr>
            </w:pPr>
            <w:r>
              <w:rPr>
                <w:spacing w:val="-8"/>
                <w:sz w:val="21"/>
              </w:rPr>
              <w:t>编号</w:t>
            </w:r>
          </w:p>
        </w:tc>
        <w:tc>
          <w:tcPr>
            <w:tcW w:w="7025" w:type="dxa"/>
          </w:tcPr>
          <w:p>
            <w:pPr>
              <w:pStyle w:val="214"/>
              <w:spacing w:before="21"/>
              <w:ind w:left="108"/>
              <w:rPr>
                <w:sz w:val="21"/>
              </w:rPr>
            </w:pPr>
            <w:r>
              <w:rPr>
                <w:spacing w:val="-7"/>
                <w:sz w:val="21"/>
              </w:rPr>
              <w:t>设备类型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1"/>
              <w:rPr>
                <w:sz w:val="21"/>
              </w:rPr>
            </w:pPr>
            <w:r>
              <w:rPr>
                <w:spacing w:val="-10"/>
                <w:sz w:val="21"/>
              </w:rPr>
              <w:t>1</w:t>
            </w:r>
          </w:p>
        </w:tc>
        <w:tc>
          <w:tcPr>
            <w:tcW w:w="7025" w:type="dxa"/>
          </w:tcPr>
          <w:p>
            <w:pPr>
              <w:pStyle w:val="214"/>
              <w:spacing w:before="21"/>
              <w:ind w:left="108"/>
              <w:rPr>
                <w:sz w:val="21"/>
              </w:rPr>
            </w:pPr>
            <w:r>
              <w:rPr>
                <w:spacing w:val="-4"/>
                <w:sz w:val="21"/>
              </w:rPr>
              <w:t>灯光控制器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rPr>
                <w:sz w:val="21"/>
              </w:rPr>
            </w:pPr>
            <w:r>
              <w:rPr>
                <w:spacing w:val="-10"/>
                <w:sz w:val="21"/>
              </w:rPr>
              <w:t>2</w:t>
            </w:r>
          </w:p>
        </w:tc>
        <w:tc>
          <w:tcPr>
            <w:tcW w:w="7025" w:type="dxa"/>
          </w:tcPr>
          <w:p>
            <w:pPr>
              <w:pStyle w:val="214"/>
              <w:ind w:left="108"/>
              <w:rPr>
                <w:sz w:val="21"/>
              </w:rPr>
            </w:pPr>
            <w:r>
              <w:rPr>
                <w:spacing w:val="-4"/>
                <w:sz w:val="21"/>
              </w:rPr>
              <w:t>远方风机控制器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71" w:type="dxa"/>
          </w:tcPr>
          <w:p>
            <w:pPr>
              <w:pStyle w:val="214"/>
              <w:rPr>
                <w:sz w:val="21"/>
              </w:rPr>
            </w:pPr>
            <w:r>
              <w:rPr>
                <w:spacing w:val="-10"/>
                <w:sz w:val="21"/>
              </w:rPr>
              <w:t>3</w:t>
            </w:r>
          </w:p>
        </w:tc>
        <w:tc>
          <w:tcPr>
            <w:tcW w:w="7025" w:type="dxa"/>
          </w:tcPr>
          <w:p>
            <w:pPr>
              <w:pStyle w:val="214"/>
              <w:ind w:left="108"/>
              <w:rPr>
                <w:sz w:val="21"/>
              </w:rPr>
            </w:pPr>
            <w:r>
              <w:rPr>
                <w:spacing w:val="-4"/>
                <w:sz w:val="21"/>
              </w:rPr>
              <w:t>远方空调控制器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2"/>
              <w:rPr>
                <w:sz w:val="21"/>
              </w:rPr>
            </w:pPr>
            <w:r>
              <w:rPr>
                <w:spacing w:val="-10"/>
                <w:sz w:val="21"/>
              </w:rPr>
              <w:t>4</w:t>
            </w:r>
          </w:p>
        </w:tc>
        <w:tc>
          <w:tcPr>
            <w:tcW w:w="7025" w:type="dxa"/>
          </w:tcPr>
          <w:p>
            <w:pPr>
              <w:pStyle w:val="214"/>
              <w:spacing w:before="22"/>
              <w:ind w:left="108"/>
              <w:rPr>
                <w:sz w:val="21"/>
              </w:rPr>
            </w:pPr>
            <w:r>
              <w:rPr>
                <w:spacing w:val="-4"/>
                <w:sz w:val="21"/>
              </w:rPr>
              <w:t>远方水泵控制器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1"/>
              <w:rPr>
                <w:sz w:val="21"/>
              </w:rPr>
            </w:pPr>
            <w:r>
              <w:rPr>
                <w:spacing w:val="-10"/>
                <w:sz w:val="21"/>
              </w:rPr>
              <w:t>5</w:t>
            </w:r>
          </w:p>
        </w:tc>
        <w:tc>
          <w:tcPr>
            <w:tcW w:w="7025" w:type="dxa"/>
          </w:tcPr>
          <w:p>
            <w:pPr>
              <w:pStyle w:val="214"/>
              <w:spacing w:before="21"/>
              <w:ind w:left="108"/>
              <w:rPr>
                <w:sz w:val="21"/>
              </w:rPr>
            </w:pPr>
            <w:r>
              <w:rPr>
                <w:spacing w:val="-4"/>
                <w:sz w:val="21"/>
              </w:rPr>
              <w:t>水位传感器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1"/>
              <w:rPr>
                <w:sz w:val="21"/>
              </w:rPr>
            </w:pPr>
            <w:r>
              <w:rPr>
                <w:spacing w:val="-10"/>
                <w:sz w:val="21"/>
              </w:rPr>
              <w:t>6</w:t>
            </w:r>
          </w:p>
        </w:tc>
        <w:tc>
          <w:tcPr>
            <w:tcW w:w="7025" w:type="dxa"/>
          </w:tcPr>
          <w:p>
            <w:pPr>
              <w:pStyle w:val="214"/>
              <w:spacing w:before="21"/>
              <w:ind w:left="108"/>
              <w:rPr>
                <w:sz w:val="21"/>
              </w:rPr>
            </w:pPr>
            <w:r>
              <w:rPr>
                <w:spacing w:val="-4"/>
                <w:sz w:val="21"/>
              </w:rPr>
              <w:t>温湿度传感器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1"/>
              <w:rPr>
                <w:sz w:val="21"/>
              </w:rPr>
            </w:pPr>
            <w:r>
              <w:rPr>
                <w:spacing w:val="-10"/>
                <w:sz w:val="21"/>
              </w:rPr>
              <w:t>7</w:t>
            </w:r>
          </w:p>
        </w:tc>
        <w:tc>
          <w:tcPr>
            <w:tcW w:w="7025" w:type="dxa"/>
          </w:tcPr>
          <w:p>
            <w:pPr>
              <w:pStyle w:val="214"/>
              <w:spacing w:before="21"/>
              <w:ind w:left="108"/>
              <w:rPr>
                <w:sz w:val="21"/>
              </w:rPr>
            </w:pPr>
            <w:r>
              <w:rPr>
                <w:spacing w:val="-4"/>
                <w:sz w:val="21"/>
              </w:rPr>
              <w:t>水浸传感器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71" w:type="dxa"/>
          </w:tcPr>
          <w:p>
            <w:pPr>
              <w:pStyle w:val="214"/>
              <w:spacing w:before="21"/>
              <w:rPr>
                <w:spacing w:val="-10"/>
                <w:sz w:val="21"/>
              </w:rPr>
            </w:pPr>
            <w:r>
              <w:rPr>
                <w:rFonts w:hint="eastAsia"/>
                <w:spacing w:val="-10"/>
                <w:sz w:val="21"/>
              </w:rPr>
              <w:t>8</w:t>
            </w:r>
          </w:p>
        </w:tc>
        <w:tc>
          <w:tcPr>
            <w:tcW w:w="7025" w:type="dxa"/>
          </w:tcPr>
          <w:p>
            <w:pPr>
              <w:pStyle w:val="214"/>
              <w:spacing w:before="21"/>
              <w:ind w:left="108"/>
              <w:rPr>
                <w:spacing w:val="-4"/>
                <w:sz w:val="21"/>
              </w:rPr>
            </w:pPr>
            <w:r>
              <w:rPr>
                <w:rFonts w:hint="eastAsia"/>
                <w:spacing w:val="-4"/>
                <w:sz w:val="21"/>
              </w:rPr>
              <w:t>六氟化硫气表</w:t>
            </w:r>
          </w:p>
        </w:tc>
      </w:tr>
    </w:tbl>
    <w:p>
      <w:pPr>
        <w:spacing w:line="360" w:lineRule="auto"/>
      </w:pPr>
      <w:r>
        <w:rPr>
          <w:rFonts w:hint="eastAsia"/>
        </w:rPr>
        <w:t>6.1 六氟化硫气表（A.8）</w:t>
      </w:r>
    </w:p>
    <w:p>
      <w:pPr>
        <w:pStyle w:val="16"/>
        <w:spacing w:before="1" w:after="12" w:line="360" w:lineRule="auto"/>
        <w:ind w:left="240"/>
        <w:rPr>
          <w:rFonts w:ascii="宋体" w:hAnsi="宋体"/>
          <w:spacing w:val="-5"/>
          <w:sz w:val="20"/>
          <w:szCs w:val="20"/>
        </w:rPr>
      </w:pPr>
      <w:r>
        <w:rPr>
          <w:rFonts w:hint="eastAsia" w:ascii="宋体" w:hAnsi="宋体"/>
          <w:spacing w:val="-5"/>
          <w:sz w:val="20"/>
          <w:szCs w:val="20"/>
        </w:rPr>
        <w:t>1）遥信</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4394"/>
        <w:gridCol w:w="3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rPr>
              <w:t>点号</w:t>
            </w:r>
          </w:p>
        </w:tc>
        <w:tc>
          <w:tcPr>
            <w:tcW w:w="4394" w:type="dxa"/>
          </w:tcPr>
          <w:p>
            <w:pPr>
              <w:spacing w:line="360" w:lineRule="auto"/>
            </w:pPr>
            <w:r>
              <w:rPr>
                <w:rFonts w:hint="eastAsia"/>
              </w:rPr>
              <w:t>含义</w:t>
            </w:r>
          </w:p>
        </w:tc>
        <w:tc>
          <w:tcPr>
            <w:tcW w:w="3750" w:type="dxa"/>
          </w:tcPr>
          <w:p>
            <w:pPr>
              <w:spacing w:line="360" w:lineRule="auto"/>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szCs w:val="21"/>
              </w:rPr>
              <w:t>0</w:t>
            </w:r>
          </w:p>
        </w:tc>
        <w:tc>
          <w:tcPr>
            <w:tcW w:w="4394" w:type="dxa"/>
          </w:tcPr>
          <w:p>
            <w:pPr>
              <w:spacing w:line="360" w:lineRule="auto"/>
            </w:pPr>
            <w:r>
              <w:rPr>
                <w:szCs w:val="21"/>
              </w:rPr>
              <w:t>传感器状态</w:t>
            </w:r>
          </w:p>
        </w:tc>
        <w:tc>
          <w:tcPr>
            <w:tcW w:w="3750" w:type="dxa"/>
          </w:tcPr>
          <w:p>
            <w:pPr>
              <w:spacing w:line="360" w:lineRule="auto"/>
            </w:pPr>
            <w:r>
              <w:rPr>
                <w:szCs w:val="21"/>
              </w:rPr>
              <w:t>0表示正常；1表示</w:t>
            </w:r>
            <w:r>
              <w:rPr>
                <w:rFonts w:hint="eastAsia"/>
                <w:szCs w:val="21"/>
              </w:rPr>
              <w:t>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szCs w:val="21"/>
              </w:rPr>
              <w:t>1</w:t>
            </w:r>
          </w:p>
        </w:tc>
        <w:tc>
          <w:tcPr>
            <w:tcW w:w="4394" w:type="dxa"/>
          </w:tcPr>
          <w:p>
            <w:pPr>
              <w:spacing w:line="360" w:lineRule="auto"/>
            </w:pPr>
            <w:r>
              <w:rPr>
                <w:szCs w:val="21"/>
              </w:rPr>
              <w:t>超压报警</w:t>
            </w:r>
          </w:p>
        </w:tc>
        <w:tc>
          <w:tcPr>
            <w:tcW w:w="3750" w:type="dxa"/>
          </w:tcPr>
          <w:p>
            <w:pPr>
              <w:spacing w:line="360" w:lineRule="auto"/>
            </w:pPr>
            <w:r>
              <w:rPr>
                <w:szCs w:val="21"/>
              </w:rPr>
              <w:t>0表示正常；1表示</w:t>
            </w:r>
            <w:r>
              <w:rPr>
                <w:rFonts w:hint="eastAsia"/>
                <w:szCs w:val="21"/>
              </w:rPr>
              <w:t>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pPr>
            <w:r>
              <w:rPr>
                <w:rFonts w:hint="eastAsia"/>
                <w:szCs w:val="21"/>
              </w:rPr>
              <w:t>2</w:t>
            </w:r>
          </w:p>
        </w:tc>
        <w:tc>
          <w:tcPr>
            <w:tcW w:w="4394" w:type="dxa"/>
          </w:tcPr>
          <w:p>
            <w:pPr>
              <w:spacing w:line="360" w:lineRule="auto"/>
            </w:pPr>
            <w:r>
              <w:rPr>
                <w:szCs w:val="21"/>
              </w:rPr>
              <w:t>低压报警</w:t>
            </w:r>
          </w:p>
        </w:tc>
        <w:tc>
          <w:tcPr>
            <w:tcW w:w="3750" w:type="dxa"/>
          </w:tcPr>
          <w:p>
            <w:pPr>
              <w:spacing w:line="360" w:lineRule="auto"/>
            </w:pPr>
            <w:r>
              <w:rPr>
                <w:szCs w:val="21"/>
              </w:rPr>
              <w:t>0表示正常；1表示</w:t>
            </w:r>
            <w:r>
              <w:rPr>
                <w:rFonts w:hint="eastAsia"/>
                <w:szCs w:val="21"/>
              </w:rPr>
              <w:t>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szCs w:val="21"/>
              </w:rPr>
              <w:t>3</w:t>
            </w:r>
          </w:p>
        </w:tc>
        <w:tc>
          <w:tcPr>
            <w:tcW w:w="4394" w:type="dxa"/>
          </w:tcPr>
          <w:p>
            <w:pPr>
              <w:spacing w:line="360" w:lineRule="auto"/>
            </w:pPr>
            <w:r>
              <w:rPr>
                <w:rFonts w:hint="eastAsia"/>
                <w:szCs w:val="21"/>
              </w:rPr>
              <w:t>微水含量告警</w:t>
            </w:r>
          </w:p>
        </w:tc>
        <w:tc>
          <w:tcPr>
            <w:tcW w:w="3750" w:type="dxa"/>
          </w:tcPr>
          <w:p>
            <w:pPr>
              <w:spacing w:line="360" w:lineRule="auto"/>
            </w:pPr>
            <w:r>
              <w:rPr>
                <w:szCs w:val="21"/>
              </w:rPr>
              <w:t>0表示正常；1表示</w:t>
            </w:r>
            <w:r>
              <w:rPr>
                <w:rFonts w:hint="eastAsia"/>
                <w:szCs w:val="21"/>
              </w:rPr>
              <w:t>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szCs w:val="21"/>
              </w:rPr>
              <w:t>4</w:t>
            </w:r>
          </w:p>
        </w:tc>
        <w:tc>
          <w:tcPr>
            <w:tcW w:w="4394" w:type="dxa"/>
          </w:tcPr>
          <w:p>
            <w:pPr>
              <w:spacing w:line="360" w:lineRule="auto"/>
            </w:pPr>
            <w:r>
              <w:rPr>
                <w:rFonts w:hint="eastAsia"/>
                <w:szCs w:val="21"/>
              </w:rPr>
              <w:t>H2S含量告警</w:t>
            </w:r>
          </w:p>
        </w:tc>
        <w:tc>
          <w:tcPr>
            <w:tcW w:w="3750" w:type="dxa"/>
          </w:tcPr>
          <w:p>
            <w:pPr>
              <w:spacing w:line="360" w:lineRule="auto"/>
            </w:pPr>
            <w:r>
              <w:rPr>
                <w:szCs w:val="21"/>
              </w:rPr>
              <w:t>0表示正常；1表示</w:t>
            </w:r>
            <w:r>
              <w:rPr>
                <w:rFonts w:hint="eastAsia"/>
                <w:szCs w:val="21"/>
              </w:rPr>
              <w:t>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szCs w:val="21"/>
              </w:rPr>
              <w:t>5</w:t>
            </w:r>
          </w:p>
        </w:tc>
        <w:tc>
          <w:tcPr>
            <w:tcW w:w="4394" w:type="dxa"/>
          </w:tcPr>
          <w:p>
            <w:pPr>
              <w:spacing w:line="360" w:lineRule="auto"/>
            </w:pPr>
            <w:r>
              <w:rPr>
                <w:rFonts w:hint="eastAsia"/>
                <w:szCs w:val="21"/>
              </w:rPr>
              <w:t>SO2含量告警</w:t>
            </w:r>
          </w:p>
        </w:tc>
        <w:tc>
          <w:tcPr>
            <w:tcW w:w="3750" w:type="dxa"/>
          </w:tcPr>
          <w:p>
            <w:pPr>
              <w:spacing w:line="360" w:lineRule="auto"/>
            </w:pPr>
            <w:r>
              <w:rPr>
                <w:szCs w:val="21"/>
              </w:rPr>
              <w:t>0表示正常；1表示</w:t>
            </w:r>
            <w:r>
              <w:rPr>
                <w:rFonts w:hint="eastAsia"/>
                <w:szCs w:val="21"/>
              </w:rPr>
              <w:t>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pPr>
            <w:r>
              <w:rPr>
                <w:rFonts w:hint="eastAsia"/>
                <w:szCs w:val="21"/>
              </w:rPr>
              <w:t>6</w:t>
            </w:r>
          </w:p>
        </w:tc>
        <w:tc>
          <w:tcPr>
            <w:tcW w:w="4394" w:type="dxa"/>
          </w:tcPr>
          <w:p>
            <w:pPr>
              <w:spacing w:line="360" w:lineRule="auto"/>
            </w:pPr>
            <w:r>
              <w:rPr>
                <w:rFonts w:hint="eastAsia"/>
                <w:szCs w:val="21"/>
              </w:rPr>
              <w:t>CO含量告警</w:t>
            </w:r>
          </w:p>
        </w:tc>
        <w:tc>
          <w:tcPr>
            <w:tcW w:w="3750" w:type="dxa"/>
          </w:tcPr>
          <w:p>
            <w:pPr>
              <w:spacing w:line="360" w:lineRule="auto"/>
            </w:pPr>
            <w:r>
              <w:rPr>
                <w:szCs w:val="21"/>
              </w:rPr>
              <w:t>0表示正常；1表示</w:t>
            </w:r>
            <w:r>
              <w:rPr>
                <w:rFonts w:hint="eastAsia"/>
                <w:szCs w:val="21"/>
              </w:rPr>
              <w:t>告警</w:t>
            </w:r>
          </w:p>
        </w:tc>
      </w:tr>
    </w:tbl>
    <w:p>
      <w:pPr>
        <w:pStyle w:val="16"/>
        <w:numPr>
          <w:ilvl w:val="0"/>
          <w:numId w:val="20"/>
        </w:numPr>
        <w:spacing w:before="1" w:after="12" w:line="360" w:lineRule="auto"/>
        <w:ind w:left="240"/>
        <w:rPr>
          <w:rFonts w:ascii="宋体" w:hAnsi="宋体"/>
          <w:spacing w:val="-5"/>
          <w:sz w:val="20"/>
          <w:szCs w:val="20"/>
        </w:rPr>
      </w:pPr>
      <w:r>
        <w:rPr>
          <w:rFonts w:hint="eastAsia" w:ascii="宋体" w:hAnsi="宋体"/>
          <w:spacing w:val="-5"/>
          <w:sz w:val="20"/>
          <w:szCs w:val="20"/>
        </w:rPr>
        <w:t>遥测</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150"/>
        <w:gridCol w:w="1110"/>
        <w:gridCol w:w="709"/>
        <w:gridCol w:w="850"/>
        <w:gridCol w:w="3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rPr>
              <w:t>点号</w:t>
            </w:r>
          </w:p>
        </w:tc>
        <w:tc>
          <w:tcPr>
            <w:tcW w:w="2150" w:type="dxa"/>
          </w:tcPr>
          <w:p>
            <w:pPr>
              <w:spacing w:line="360" w:lineRule="auto"/>
            </w:pPr>
            <w:r>
              <w:rPr>
                <w:rFonts w:hint="eastAsia"/>
              </w:rPr>
              <w:t>含义</w:t>
            </w:r>
          </w:p>
        </w:tc>
        <w:tc>
          <w:tcPr>
            <w:tcW w:w="1110" w:type="dxa"/>
          </w:tcPr>
          <w:p>
            <w:pPr>
              <w:spacing w:line="360" w:lineRule="auto"/>
            </w:pPr>
            <w:r>
              <w:rPr>
                <w:rFonts w:hint="eastAsia"/>
              </w:rPr>
              <w:t>数据类型</w:t>
            </w:r>
          </w:p>
        </w:tc>
        <w:tc>
          <w:tcPr>
            <w:tcW w:w="709" w:type="dxa"/>
          </w:tcPr>
          <w:p>
            <w:pPr>
              <w:spacing w:line="360" w:lineRule="auto"/>
            </w:pPr>
            <w:r>
              <w:rPr>
                <w:rFonts w:hint="eastAsia"/>
              </w:rPr>
              <w:t>系数</w:t>
            </w:r>
          </w:p>
        </w:tc>
        <w:tc>
          <w:tcPr>
            <w:tcW w:w="850" w:type="dxa"/>
          </w:tcPr>
          <w:p>
            <w:pPr>
              <w:spacing w:line="360" w:lineRule="auto"/>
            </w:pPr>
            <w:r>
              <w:rPr>
                <w:rFonts w:hint="eastAsia"/>
              </w:rPr>
              <w:t>单位</w:t>
            </w:r>
          </w:p>
        </w:tc>
        <w:tc>
          <w:tcPr>
            <w:tcW w:w="3325" w:type="dxa"/>
          </w:tcPr>
          <w:p>
            <w:pPr>
              <w:spacing w:line="360" w:lineRule="auto"/>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szCs w:val="21"/>
              </w:rPr>
              <w:t>0</w:t>
            </w:r>
          </w:p>
        </w:tc>
        <w:tc>
          <w:tcPr>
            <w:tcW w:w="2150" w:type="dxa"/>
          </w:tcPr>
          <w:p>
            <w:pPr>
              <w:spacing w:line="360" w:lineRule="auto"/>
            </w:pPr>
            <w:r>
              <w:rPr>
                <w:szCs w:val="21"/>
              </w:rPr>
              <w:t>传感器状态</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jc w:val="left"/>
              <w:rPr>
                <w:szCs w:val="21"/>
              </w:rPr>
            </w:pPr>
            <w:r>
              <w:rPr>
                <w:szCs w:val="21"/>
              </w:rPr>
              <w:t>Bit0：传感器状态</w:t>
            </w:r>
          </w:p>
          <w:p>
            <w:pPr>
              <w:spacing w:line="360" w:lineRule="auto"/>
              <w:jc w:val="left"/>
              <w:rPr>
                <w:szCs w:val="21"/>
              </w:rPr>
            </w:pPr>
            <w:r>
              <w:rPr>
                <w:szCs w:val="21"/>
              </w:rPr>
              <w:t>Bit1：超压报警</w:t>
            </w:r>
          </w:p>
          <w:p>
            <w:pPr>
              <w:spacing w:line="360" w:lineRule="auto"/>
              <w:jc w:val="left"/>
              <w:rPr>
                <w:szCs w:val="21"/>
              </w:rPr>
            </w:pPr>
            <w:r>
              <w:rPr>
                <w:szCs w:val="21"/>
              </w:rPr>
              <w:t>Bit2：低压报警</w:t>
            </w:r>
          </w:p>
          <w:p>
            <w:pPr>
              <w:spacing w:line="360" w:lineRule="auto"/>
              <w:jc w:val="left"/>
              <w:rPr>
                <w:rFonts w:eastAsiaTheme="minorEastAsia"/>
                <w:szCs w:val="21"/>
              </w:rPr>
            </w:pPr>
            <w:r>
              <w:rPr>
                <w:szCs w:val="21"/>
              </w:rPr>
              <w:t>Bit</w:t>
            </w:r>
            <w:r>
              <w:rPr>
                <w:rFonts w:hint="eastAsia"/>
                <w:szCs w:val="21"/>
              </w:rPr>
              <w:t>3</w:t>
            </w:r>
            <w:r>
              <w:rPr>
                <w:szCs w:val="21"/>
              </w:rPr>
              <w:t>：</w:t>
            </w:r>
            <w:r>
              <w:rPr>
                <w:rFonts w:hint="eastAsia"/>
                <w:szCs w:val="21"/>
              </w:rPr>
              <w:t>微水含量告警</w:t>
            </w:r>
          </w:p>
          <w:p>
            <w:pPr>
              <w:spacing w:line="360" w:lineRule="auto"/>
              <w:jc w:val="left"/>
              <w:rPr>
                <w:rFonts w:eastAsiaTheme="minorEastAsia"/>
                <w:szCs w:val="21"/>
              </w:rPr>
            </w:pPr>
            <w:r>
              <w:rPr>
                <w:szCs w:val="21"/>
              </w:rPr>
              <w:t>Bit</w:t>
            </w:r>
            <w:r>
              <w:rPr>
                <w:rFonts w:hint="eastAsia"/>
                <w:szCs w:val="21"/>
              </w:rPr>
              <w:t>4</w:t>
            </w:r>
            <w:r>
              <w:rPr>
                <w:szCs w:val="21"/>
              </w:rPr>
              <w:t>：</w:t>
            </w:r>
            <w:r>
              <w:rPr>
                <w:rFonts w:hint="eastAsia"/>
                <w:szCs w:val="21"/>
              </w:rPr>
              <w:t>H2S含量告警</w:t>
            </w:r>
          </w:p>
          <w:p>
            <w:pPr>
              <w:spacing w:line="360" w:lineRule="auto"/>
              <w:jc w:val="left"/>
              <w:rPr>
                <w:rFonts w:eastAsiaTheme="minorEastAsia"/>
                <w:szCs w:val="21"/>
              </w:rPr>
            </w:pPr>
            <w:r>
              <w:rPr>
                <w:szCs w:val="21"/>
              </w:rPr>
              <w:t>Bit</w:t>
            </w:r>
            <w:r>
              <w:rPr>
                <w:rFonts w:hint="eastAsia"/>
                <w:szCs w:val="21"/>
              </w:rPr>
              <w:t>5</w:t>
            </w:r>
            <w:r>
              <w:rPr>
                <w:szCs w:val="21"/>
              </w:rPr>
              <w:t>：</w:t>
            </w:r>
            <w:r>
              <w:rPr>
                <w:rFonts w:hint="eastAsia"/>
                <w:szCs w:val="21"/>
              </w:rPr>
              <w:t>SO2含量告警</w:t>
            </w:r>
          </w:p>
          <w:p>
            <w:pPr>
              <w:jc w:val="left"/>
              <w:rPr>
                <w:szCs w:val="21"/>
              </w:rPr>
            </w:pPr>
            <w:r>
              <w:rPr>
                <w:szCs w:val="21"/>
              </w:rPr>
              <w:t>Bit</w:t>
            </w:r>
            <w:r>
              <w:rPr>
                <w:rFonts w:hint="eastAsia"/>
                <w:szCs w:val="21"/>
              </w:rPr>
              <w:t>6</w:t>
            </w:r>
            <w:r>
              <w:rPr>
                <w:szCs w:val="21"/>
              </w:rPr>
              <w:t>：</w:t>
            </w:r>
            <w:r>
              <w:rPr>
                <w:rFonts w:hint="eastAsia"/>
                <w:szCs w:val="21"/>
              </w:rPr>
              <w:t>CO含量告警</w:t>
            </w:r>
          </w:p>
          <w:p>
            <w:pPr>
              <w:jc w:val="left"/>
            </w:pPr>
            <w:r>
              <w:rPr>
                <w:rFonts w:hint="eastAsia"/>
                <w:szCs w:val="21"/>
              </w:rPr>
              <w:t>其他</w:t>
            </w:r>
            <w:r>
              <w:rPr>
                <w:szCs w:val="21"/>
              </w:rPr>
              <w:t>：</w:t>
            </w:r>
            <w:r>
              <w:rPr>
                <w:rFonts w:hint="eastAsia"/>
                <w:szCs w:val="21"/>
              </w:rPr>
              <w:t>预留</w:t>
            </w:r>
          </w:p>
          <w:p>
            <w:pPr>
              <w:spacing w:line="360" w:lineRule="auto"/>
            </w:pPr>
            <w:r>
              <w:rPr>
                <w:szCs w:val="21"/>
              </w:rPr>
              <w:t>0表示正常；1表示</w:t>
            </w:r>
            <w:r>
              <w:rPr>
                <w:rFonts w:hint="eastAsia"/>
                <w:szCs w:val="21"/>
              </w:rPr>
              <w:t>告警/异常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szCs w:val="21"/>
              </w:rPr>
              <w:t>1</w:t>
            </w:r>
          </w:p>
        </w:tc>
        <w:tc>
          <w:tcPr>
            <w:tcW w:w="2150" w:type="dxa"/>
          </w:tcPr>
          <w:p>
            <w:pPr>
              <w:spacing w:line="360" w:lineRule="auto"/>
              <w:rPr>
                <w:szCs w:val="21"/>
              </w:rPr>
            </w:pPr>
            <w:r>
              <w:rPr>
                <w:szCs w:val="21"/>
              </w:rPr>
              <w:t>（P20）</w:t>
            </w:r>
            <w:r>
              <w:rPr>
                <w:rFonts w:hint="eastAsia"/>
                <w:szCs w:val="21"/>
              </w:rPr>
              <w:t>压力</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3</w:t>
            </w:r>
          </w:p>
        </w:tc>
        <w:tc>
          <w:tcPr>
            <w:tcW w:w="2150" w:type="dxa"/>
          </w:tcPr>
          <w:p>
            <w:pPr>
              <w:spacing w:line="360" w:lineRule="auto"/>
              <w:rPr>
                <w:szCs w:val="21"/>
              </w:rPr>
            </w:pPr>
            <w:r>
              <w:rPr>
                <w:szCs w:val="21"/>
              </w:rPr>
              <w:t>温度</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5</w:t>
            </w:r>
          </w:p>
        </w:tc>
        <w:tc>
          <w:tcPr>
            <w:tcW w:w="2150" w:type="dxa"/>
          </w:tcPr>
          <w:p>
            <w:pPr>
              <w:spacing w:line="360" w:lineRule="auto"/>
              <w:rPr>
                <w:szCs w:val="21"/>
              </w:rPr>
            </w:pPr>
            <w:r>
              <w:rPr>
                <w:rFonts w:hint="eastAsia"/>
                <w:szCs w:val="21"/>
              </w:rPr>
              <w:t>SF6气体</w:t>
            </w:r>
            <w:r>
              <w:rPr>
                <w:szCs w:val="21"/>
              </w:rPr>
              <w:t>压力</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7</w:t>
            </w:r>
          </w:p>
        </w:tc>
        <w:tc>
          <w:tcPr>
            <w:tcW w:w="2150" w:type="dxa"/>
          </w:tcPr>
          <w:p>
            <w:pPr>
              <w:spacing w:line="360" w:lineRule="auto"/>
              <w:rPr>
                <w:szCs w:val="21"/>
              </w:rPr>
            </w:pPr>
            <w:r>
              <w:rPr>
                <w:rFonts w:hint="eastAsia"/>
                <w:szCs w:val="21"/>
              </w:rPr>
              <w:t>SF6</w:t>
            </w:r>
            <w:r>
              <w:rPr>
                <w:szCs w:val="21"/>
              </w:rPr>
              <w:t>气体密度值</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Kg/m³</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9</w:t>
            </w:r>
          </w:p>
        </w:tc>
        <w:tc>
          <w:tcPr>
            <w:tcW w:w="2150" w:type="dxa"/>
          </w:tcPr>
          <w:p>
            <w:pPr>
              <w:spacing w:line="360" w:lineRule="auto"/>
              <w:rPr>
                <w:szCs w:val="21"/>
              </w:rPr>
            </w:pPr>
            <w:r>
              <w:rPr>
                <w:rFonts w:hint="eastAsia"/>
                <w:szCs w:val="21"/>
              </w:rPr>
              <w:t>微水含量</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w:t>
            </w:r>
            <w:r>
              <w:rPr>
                <w:szCs w:val="21"/>
              </w:rPr>
              <w:t>/L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11</w:t>
            </w:r>
          </w:p>
        </w:tc>
        <w:tc>
          <w:tcPr>
            <w:tcW w:w="2150" w:type="dxa"/>
          </w:tcPr>
          <w:p>
            <w:pPr>
              <w:spacing w:line="360" w:lineRule="auto"/>
              <w:rPr>
                <w:szCs w:val="21"/>
              </w:rPr>
            </w:pPr>
            <w:r>
              <w:rPr>
                <w:rFonts w:hint="eastAsia"/>
                <w:szCs w:val="21"/>
              </w:rPr>
              <w:t>H2S含量</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w:t>
            </w:r>
            <w:r>
              <w:rPr>
                <w:szCs w:val="21"/>
              </w:rPr>
              <w:t>/L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13</w:t>
            </w:r>
          </w:p>
        </w:tc>
        <w:tc>
          <w:tcPr>
            <w:tcW w:w="2150" w:type="dxa"/>
          </w:tcPr>
          <w:p>
            <w:pPr>
              <w:spacing w:line="360" w:lineRule="auto"/>
              <w:rPr>
                <w:szCs w:val="21"/>
              </w:rPr>
            </w:pPr>
            <w:r>
              <w:rPr>
                <w:rFonts w:hint="eastAsia"/>
                <w:szCs w:val="21"/>
              </w:rPr>
              <w:t>SO2含量</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w:t>
            </w:r>
            <w:r>
              <w:rPr>
                <w:szCs w:val="21"/>
              </w:rPr>
              <w:t>/L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15</w:t>
            </w:r>
          </w:p>
        </w:tc>
        <w:tc>
          <w:tcPr>
            <w:tcW w:w="2150" w:type="dxa"/>
          </w:tcPr>
          <w:p>
            <w:pPr>
              <w:spacing w:line="360" w:lineRule="auto"/>
              <w:rPr>
                <w:szCs w:val="21"/>
              </w:rPr>
            </w:pPr>
            <w:r>
              <w:rPr>
                <w:rFonts w:hint="eastAsia"/>
                <w:szCs w:val="21"/>
              </w:rPr>
              <w:t>CO含量</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w:t>
            </w:r>
            <w:r>
              <w:rPr>
                <w:szCs w:val="21"/>
              </w:rPr>
              <w:t>/L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17</w:t>
            </w:r>
          </w:p>
        </w:tc>
        <w:tc>
          <w:tcPr>
            <w:tcW w:w="2150" w:type="dxa"/>
          </w:tcPr>
          <w:p>
            <w:pPr>
              <w:spacing w:line="360" w:lineRule="auto"/>
              <w:rPr>
                <w:szCs w:val="21"/>
              </w:rPr>
            </w:pPr>
            <w:r>
              <w:rPr>
                <w:szCs w:val="21"/>
              </w:rPr>
              <w:t>设备型号</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18</w:t>
            </w:r>
          </w:p>
        </w:tc>
        <w:tc>
          <w:tcPr>
            <w:tcW w:w="2150" w:type="dxa"/>
          </w:tcPr>
          <w:p>
            <w:pPr>
              <w:spacing w:line="360" w:lineRule="auto"/>
              <w:rPr>
                <w:szCs w:val="21"/>
              </w:rPr>
            </w:pPr>
            <w:r>
              <w:rPr>
                <w:szCs w:val="21"/>
              </w:rPr>
              <w:t>软硬件版本</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jc w:val="center"/>
              <w:rPr>
                <w:szCs w:val="21"/>
              </w:rPr>
            </w:pPr>
            <w:r>
              <w:rPr>
                <w:szCs w:val="21"/>
              </w:rPr>
              <w:t>高八位：硬件版本</w:t>
            </w:r>
          </w:p>
          <w:p>
            <w:pPr>
              <w:spacing w:line="360" w:lineRule="auto"/>
              <w:jc w:val="center"/>
              <w:rPr>
                <w:szCs w:val="21"/>
              </w:rPr>
            </w:pPr>
            <w:r>
              <w:rPr>
                <w:szCs w:val="21"/>
              </w:rPr>
              <w:t>低八位：软件版本</w:t>
            </w:r>
          </w:p>
          <w:p>
            <w:pPr>
              <w:spacing w:line="360" w:lineRule="auto"/>
            </w:pPr>
            <w:r>
              <w:rPr>
                <w:szCs w:val="21"/>
              </w:rPr>
              <w:t>上位机解析时要乘以系数0.1，比如10就代表V1.0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61</w:t>
            </w:r>
          </w:p>
        </w:tc>
        <w:tc>
          <w:tcPr>
            <w:tcW w:w="2150" w:type="dxa"/>
          </w:tcPr>
          <w:p>
            <w:pPr>
              <w:spacing w:line="360" w:lineRule="auto"/>
              <w:rPr>
                <w:szCs w:val="21"/>
              </w:rPr>
            </w:pPr>
            <w:r>
              <w:rPr>
                <w:rFonts w:hint="eastAsia"/>
                <w:szCs w:val="21"/>
              </w:rPr>
              <w:t>485通讯</w:t>
            </w:r>
            <w:r>
              <w:rPr>
                <w:szCs w:val="21"/>
              </w:rPr>
              <w:t>地址</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62</w:t>
            </w:r>
          </w:p>
        </w:tc>
        <w:tc>
          <w:tcPr>
            <w:tcW w:w="2150" w:type="dxa"/>
          </w:tcPr>
          <w:p>
            <w:pPr>
              <w:spacing w:line="360" w:lineRule="auto"/>
              <w:rPr>
                <w:szCs w:val="21"/>
              </w:rPr>
            </w:pPr>
            <w:r>
              <w:rPr>
                <w:rFonts w:hint="eastAsia"/>
                <w:szCs w:val="21"/>
              </w:rPr>
              <w:t>低压</w:t>
            </w:r>
            <w:r>
              <w:rPr>
                <w:szCs w:val="21"/>
              </w:rPr>
              <w:t>报警值</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64</w:t>
            </w:r>
          </w:p>
        </w:tc>
        <w:tc>
          <w:tcPr>
            <w:tcW w:w="2150" w:type="dxa"/>
          </w:tcPr>
          <w:p>
            <w:pPr>
              <w:spacing w:line="360" w:lineRule="auto"/>
              <w:rPr>
                <w:szCs w:val="21"/>
              </w:rPr>
            </w:pPr>
            <w:r>
              <w:rPr>
                <w:szCs w:val="21"/>
              </w:rPr>
              <w:t>超压报警值</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66</w:t>
            </w:r>
          </w:p>
        </w:tc>
        <w:tc>
          <w:tcPr>
            <w:tcW w:w="2150" w:type="dxa"/>
          </w:tcPr>
          <w:p>
            <w:pPr>
              <w:spacing w:line="360" w:lineRule="auto"/>
              <w:rPr>
                <w:szCs w:val="21"/>
              </w:rPr>
            </w:pPr>
            <w:r>
              <w:rPr>
                <w:szCs w:val="21"/>
              </w:rPr>
              <w:t>标准大气压</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68</w:t>
            </w:r>
          </w:p>
        </w:tc>
        <w:tc>
          <w:tcPr>
            <w:tcW w:w="2150" w:type="dxa"/>
          </w:tcPr>
          <w:p>
            <w:pPr>
              <w:spacing w:line="360" w:lineRule="auto"/>
              <w:rPr>
                <w:szCs w:val="21"/>
              </w:rPr>
            </w:pPr>
            <w:r>
              <w:rPr>
                <w:szCs w:val="21"/>
              </w:rPr>
              <w:t>数据保存时间</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S（秒）</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69</w:t>
            </w:r>
          </w:p>
        </w:tc>
        <w:tc>
          <w:tcPr>
            <w:tcW w:w="2150" w:type="dxa"/>
          </w:tcPr>
          <w:p>
            <w:pPr>
              <w:spacing w:line="360" w:lineRule="auto"/>
              <w:rPr>
                <w:szCs w:val="21"/>
              </w:rPr>
            </w:pPr>
            <w:r>
              <w:rPr>
                <w:szCs w:val="21"/>
              </w:rPr>
              <w:t>板载时钟（年）</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年</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70</w:t>
            </w:r>
          </w:p>
        </w:tc>
        <w:tc>
          <w:tcPr>
            <w:tcW w:w="2150" w:type="dxa"/>
          </w:tcPr>
          <w:p>
            <w:pPr>
              <w:spacing w:line="360" w:lineRule="auto"/>
              <w:rPr>
                <w:szCs w:val="21"/>
              </w:rPr>
            </w:pPr>
            <w:r>
              <w:rPr>
                <w:szCs w:val="21"/>
              </w:rPr>
              <w:t>板载时钟（月日）</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rPr>
                <w:szCs w:val="21"/>
              </w:rPr>
            </w:pPr>
            <w:r>
              <w:rPr>
                <w:szCs w:val="21"/>
              </w:rPr>
              <w:t>高八位：月</w:t>
            </w:r>
            <w:r>
              <w:rPr>
                <w:rFonts w:hint="eastAsia"/>
                <w:szCs w:val="21"/>
              </w:rPr>
              <w:t>，</w:t>
            </w:r>
            <w:r>
              <w:rPr>
                <w:szCs w:val="21"/>
              </w:rPr>
              <w:t>低八位：日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71</w:t>
            </w:r>
          </w:p>
        </w:tc>
        <w:tc>
          <w:tcPr>
            <w:tcW w:w="2150" w:type="dxa"/>
          </w:tcPr>
          <w:p>
            <w:pPr>
              <w:spacing w:line="360" w:lineRule="auto"/>
              <w:rPr>
                <w:szCs w:val="21"/>
              </w:rPr>
            </w:pPr>
            <w:r>
              <w:rPr>
                <w:szCs w:val="21"/>
              </w:rPr>
              <w:t>板载时钟（时分）</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rPr>
                <w:szCs w:val="21"/>
              </w:rPr>
            </w:pPr>
            <w:r>
              <w:rPr>
                <w:szCs w:val="21"/>
              </w:rPr>
              <w:t>高八位：时</w:t>
            </w:r>
            <w:r>
              <w:rPr>
                <w:rFonts w:hint="eastAsia"/>
                <w:szCs w:val="21"/>
              </w:rPr>
              <w:t>，</w:t>
            </w:r>
            <w:r>
              <w:rPr>
                <w:szCs w:val="21"/>
              </w:rPr>
              <w:t>低八位：分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72</w:t>
            </w:r>
          </w:p>
        </w:tc>
        <w:tc>
          <w:tcPr>
            <w:tcW w:w="2150" w:type="dxa"/>
          </w:tcPr>
          <w:p>
            <w:pPr>
              <w:spacing w:line="360" w:lineRule="auto"/>
              <w:rPr>
                <w:szCs w:val="21"/>
              </w:rPr>
            </w:pPr>
            <w:r>
              <w:rPr>
                <w:szCs w:val="21"/>
              </w:rPr>
              <w:t>板载时钟（秒）</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秒</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szCs w:val="21"/>
              </w:rPr>
            </w:pPr>
            <w:r>
              <w:rPr>
                <w:rFonts w:hint="eastAsia"/>
                <w:szCs w:val="21"/>
              </w:rPr>
              <w:t>73</w:t>
            </w:r>
          </w:p>
        </w:tc>
        <w:tc>
          <w:tcPr>
            <w:tcW w:w="2150" w:type="dxa"/>
          </w:tcPr>
          <w:p>
            <w:pPr>
              <w:spacing w:line="360" w:lineRule="auto"/>
              <w:rPr>
                <w:szCs w:val="21"/>
              </w:rPr>
            </w:pPr>
            <w:r>
              <w:rPr>
                <w:rFonts w:hint="eastAsia"/>
                <w:szCs w:val="21"/>
              </w:rPr>
              <w:t>微水</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szCs w:val="21"/>
              </w:rPr>
            </w:pPr>
            <w:r>
              <w:rPr>
                <w:rFonts w:hint="eastAsia"/>
                <w:szCs w:val="21"/>
              </w:rPr>
              <w:t>75</w:t>
            </w:r>
          </w:p>
        </w:tc>
        <w:tc>
          <w:tcPr>
            <w:tcW w:w="2150" w:type="dxa"/>
          </w:tcPr>
          <w:p>
            <w:pPr>
              <w:spacing w:line="360" w:lineRule="auto"/>
              <w:rPr>
                <w:szCs w:val="21"/>
              </w:rPr>
            </w:pPr>
            <w:r>
              <w:rPr>
                <w:rFonts w:hint="eastAsia"/>
                <w:szCs w:val="21"/>
              </w:rPr>
              <w:t>H2S</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rPr>
                <w:szCs w:val="21"/>
              </w:rPr>
            </w:pPr>
            <w:r>
              <w:rPr>
                <w:rFonts w:hint="eastAsia"/>
                <w:szCs w:val="21"/>
              </w:rPr>
              <w:t>77</w:t>
            </w:r>
          </w:p>
        </w:tc>
        <w:tc>
          <w:tcPr>
            <w:tcW w:w="2150" w:type="dxa"/>
          </w:tcPr>
          <w:p>
            <w:pPr>
              <w:spacing w:line="360" w:lineRule="auto"/>
              <w:rPr>
                <w:szCs w:val="21"/>
              </w:rPr>
            </w:pPr>
            <w:r>
              <w:rPr>
                <w:rFonts w:hint="eastAsia"/>
                <w:szCs w:val="21"/>
              </w:rPr>
              <w:t>SO2</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szCs w:val="21"/>
              </w:rPr>
            </w:pPr>
            <w:r>
              <w:rPr>
                <w:rFonts w:hint="eastAsia"/>
                <w:szCs w:val="21"/>
              </w:rPr>
              <w:t>79</w:t>
            </w:r>
          </w:p>
        </w:tc>
        <w:tc>
          <w:tcPr>
            <w:tcW w:w="2150" w:type="dxa"/>
          </w:tcPr>
          <w:p>
            <w:pPr>
              <w:spacing w:line="360" w:lineRule="auto"/>
              <w:rPr>
                <w:szCs w:val="21"/>
              </w:rPr>
            </w:pPr>
            <w:r>
              <w:rPr>
                <w:rFonts w:hint="eastAsia"/>
                <w:szCs w:val="21"/>
              </w:rPr>
              <w:t>CO</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bl>
    <w:p>
      <w:pPr>
        <w:pStyle w:val="17"/>
        <w:numPr>
          <w:ilvl w:val="255"/>
          <w:numId w:val="0"/>
        </w:numPr>
        <w:jc w:val="both"/>
        <w:outlineLvl w:val="9"/>
      </w:pPr>
    </w:p>
    <w:p>
      <w:pPr>
        <w:pStyle w:val="16"/>
        <w:spacing w:before="1" w:after="12" w:line="360" w:lineRule="auto"/>
        <w:ind w:left="240"/>
        <w:rPr>
          <w:rFonts w:ascii="宋体" w:hAnsi="宋体"/>
          <w:spacing w:val="-5"/>
          <w:sz w:val="20"/>
          <w:szCs w:val="20"/>
        </w:rPr>
      </w:pPr>
      <w:r>
        <w:rPr>
          <w:rFonts w:hint="eastAsia" w:ascii="宋体" w:hAnsi="宋体"/>
          <w:spacing w:val="-5"/>
          <w:sz w:val="20"/>
          <w:szCs w:val="20"/>
        </w:rPr>
        <w:t>3）遥调</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150"/>
        <w:gridCol w:w="1110"/>
        <w:gridCol w:w="709"/>
        <w:gridCol w:w="850"/>
        <w:gridCol w:w="3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rPr>
              <w:t>点号</w:t>
            </w:r>
          </w:p>
        </w:tc>
        <w:tc>
          <w:tcPr>
            <w:tcW w:w="2150" w:type="dxa"/>
          </w:tcPr>
          <w:p>
            <w:pPr>
              <w:spacing w:line="360" w:lineRule="auto"/>
            </w:pPr>
            <w:r>
              <w:rPr>
                <w:rFonts w:hint="eastAsia"/>
              </w:rPr>
              <w:t>含义</w:t>
            </w:r>
          </w:p>
        </w:tc>
        <w:tc>
          <w:tcPr>
            <w:tcW w:w="1110" w:type="dxa"/>
          </w:tcPr>
          <w:p>
            <w:pPr>
              <w:spacing w:line="360" w:lineRule="auto"/>
            </w:pPr>
            <w:r>
              <w:rPr>
                <w:rFonts w:hint="eastAsia"/>
              </w:rPr>
              <w:t>数据类型</w:t>
            </w:r>
          </w:p>
        </w:tc>
        <w:tc>
          <w:tcPr>
            <w:tcW w:w="709" w:type="dxa"/>
          </w:tcPr>
          <w:p>
            <w:pPr>
              <w:spacing w:line="360" w:lineRule="auto"/>
            </w:pPr>
            <w:r>
              <w:rPr>
                <w:rFonts w:hint="eastAsia"/>
              </w:rPr>
              <w:t>系数</w:t>
            </w:r>
          </w:p>
        </w:tc>
        <w:tc>
          <w:tcPr>
            <w:tcW w:w="850" w:type="dxa"/>
          </w:tcPr>
          <w:p>
            <w:pPr>
              <w:spacing w:line="360" w:lineRule="auto"/>
            </w:pPr>
            <w:r>
              <w:rPr>
                <w:rFonts w:hint="eastAsia"/>
              </w:rPr>
              <w:t>单位</w:t>
            </w:r>
          </w:p>
        </w:tc>
        <w:tc>
          <w:tcPr>
            <w:tcW w:w="3325" w:type="dxa"/>
          </w:tcPr>
          <w:p>
            <w:pPr>
              <w:spacing w:line="360" w:lineRule="auto"/>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pPr>
            <w:r>
              <w:rPr>
                <w:rFonts w:hint="eastAsia"/>
                <w:szCs w:val="21"/>
              </w:rPr>
              <w:t>0</w:t>
            </w:r>
          </w:p>
        </w:tc>
        <w:tc>
          <w:tcPr>
            <w:tcW w:w="2150" w:type="dxa"/>
          </w:tcPr>
          <w:p>
            <w:pPr>
              <w:spacing w:line="360" w:lineRule="auto"/>
            </w:pPr>
            <w:r>
              <w:rPr>
                <w:rFonts w:hint="eastAsia"/>
                <w:szCs w:val="21"/>
              </w:rPr>
              <w:t>设定485通讯</w:t>
            </w:r>
            <w:r>
              <w:rPr>
                <w:szCs w:val="21"/>
              </w:rPr>
              <w:t>地址</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w:t>
            </w:r>
          </w:p>
        </w:tc>
        <w:tc>
          <w:tcPr>
            <w:tcW w:w="2150" w:type="dxa"/>
          </w:tcPr>
          <w:p>
            <w:pPr>
              <w:spacing w:line="360" w:lineRule="auto"/>
              <w:rPr>
                <w:szCs w:val="21"/>
              </w:rPr>
            </w:pPr>
            <w:r>
              <w:rPr>
                <w:rFonts w:hint="eastAsia"/>
                <w:szCs w:val="21"/>
              </w:rPr>
              <w:t>设定低压</w:t>
            </w:r>
            <w:r>
              <w:rPr>
                <w:szCs w:val="21"/>
              </w:rPr>
              <w:t>报警值</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3</w:t>
            </w:r>
          </w:p>
        </w:tc>
        <w:tc>
          <w:tcPr>
            <w:tcW w:w="2150" w:type="dxa"/>
          </w:tcPr>
          <w:p>
            <w:pPr>
              <w:spacing w:line="360" w:lineRule="auto"/>
              <w:rPr>
                <w:szCs w:val="21"/>
              </w:rPr>
            </w:pPr>
            <w:r>
              <w:rPr>
                <w:rFonts w:hint="eastAsia"/>
                <w:szCs w:val="21"/>
              </w:rPr>
              <w:t>设定</w:t>
            </w:r>
            <w:r>
              <w:rPr>
                <w:szCs w:val="21"/>
              </w:rPr>
              <w:t>超压报警值</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5</w:t>
            </w:r>
          </w:p>
        </w:tc>
        <w:tc>
          <w:tcPr>
            <w:tcW w:w="2150" w:type="dxa"/>
          </w:tcPr>
          <w:p>
            <w:pPr>
              <w:spacing w:line="360" w:lineRule="auto"/>
              <w:rPr>
                <w:szCs w:val="21"/>
              </w:rPr>
            </w:pPr>
            <w:r>
              <w:rPr>
                <w:rFonts w:hint="eastAsia"/>
                <w:szCs w:val="21"/>
              </w:rPr>
              <w:t>设定</w:t>
            </w:r>
            <w:r>
              <w:rPr>
                <w:szCs w:val="21"/>
              </w:rPr>
              <w:t>标准大气压</w:t>
            </w:r>
          </w:p>
        </w:tc>
        <w:tc>
          <w:tcPr>
            <w:tcW w:w="1110" w:type="dxa"/>
          </w:tcPr>
          <w:p>
            <w:pPr>
              <w:spacing w:line="360" w:lineRule="auto"/>
            </w:pPr>
            <w:r>
              <w:rPr>
                <w:szCs w:val="21"/>
              </w:rPr>
              <w:t>Float</w:t>
            </w:r>
          </w:p>
        </w:tc>
        <w:tc>
          <w:tcPr>
            <w:tcW w:w="709" w:type="dxa"/>
          </w:tcPr>
          <w:p>
            <w:pPr>
              <w:spacing w:line="360" w:lineRule="auto"/>
            </w:pPr>
            <w:r>
              <w:rPr>
                <w:rFonts w:hint="eastAsia"/>
                <w:szCs w:val="21"/>
              </w:rPr>
              <w:t>1</w:t>
            </w:r>
          </w:p>
        </w:tc>
        <w:tc>
          <w:tcPr>
            <w:tcW w:w="850" w:type="dxa"/>
          </w:tcPr>
          <w:p>
            <w:pPr>
              <w:spacing w:line="360" w:lineRule="auto"/>
            </w:pPr>
            <w:r>
              <w:rPr>
                <w:szCs w:val="21"/>
              </w:rPr>
              <w:t>MPa</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7</w:t>
            </w:r>
          </w:p>
        </w:tc>
        <w:tc>
          <w:tcPr>
            <w:tcW w:w="2150" w:type="dxa"/>
          </w:tcPr>
          <w:p>
            <w:pPr>
              <w:spacing w:line="360" w:lineRule="auto"/>
              <w:rPr>
                <w:szCs w:val="21"/>
              </w:rPr>
            </w:pPr>
            <w:r>
              <w:rPr>
                <w:rFonts w:hint="eastAsia"/>
                <w:szCs w:val="21"/>
              </w:rPr>
              <w:t>设定</w:t>
            </w:r>
            <w:r>
              <w:rPr>
                <w:szCs w:val="21"/>
              </w:rPr>
              <w:t>数据保存时间</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S（秒）</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8</w:t>
            </w:r>
          </w:p>
        </w:tc>
        <w:tc>
          <w:tcPr>
            <w:tcW w:w="2150" w:type="dxa"/>
          </w:tcPr>
          <w:p>
            <w:pPr>
              <w:spacing w:line="360" w:lineRule="auto"/>
              <w:rPr>
                <w:szCs w:val="21"/>
              </w:rPr>
            </w:pPr>
            <w:r>
              <w:rPr>
                <w:szCs w:val="21"/>
              </w:rPr>
              <w:t>板载时钟（年）</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年</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9</w:t>
            </w:r>
          </w:p>
        </w:tc>
        <w:tc>
          <w:tcPr>
            <w:tcW w:w="2150" w:type="dxa"/>
          </w:tcPr>
          <w:p>
            <w:pPr>
              <w:spacing w:line="360" w:lineRule="auto"/>
              <w:rPr>
                <w:szCs w:val="21"/>
              </w:rPr>
            </w:pPr>
            <w:r>
              <w:rPr>
                <w:szCs w:val="21"/>
              </w:rPr>
              <w:t>板载时钟（月日）</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rPr>
                <w:szCs w:val="21"/>
              </w:rPr>
            </w:pPr>
            <w:r>
              <w:rPr>
                <w:szCs w:val="21"/>
              </w:rPr>
              <w:t>高八位：月</w:t>
            </w:r>
            <w:r>
              <w:rPr>
                <w:rFonts w:hint="eastAsia"/>
                <w:szCs w:val="21"/>
              </w:rPr>
              <w:t>，</w:t>
            </w:r>
            <w:r>
              <w:rPr>
                <w:szCs w:val="21"/>
              </w:rPr>
              <w:t>低八位：日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10</w:t>
            </w:r>
          </w:p>
        </w:tc>
        <w:tc>
          <w:tcPr>
            <w:tcW w:w="2150" w:type="dxa"/>
          </w:tcPr>
          <w:p>
            <w:pPr>
              <w:spacing w:line="360" w:lineRule="auto"/>
              <w:rPr>
                <w:szCs w:val="21"/>
              </w:rPr>
            </w:pPr>
            <w:r>
              <w:rPr>
                <w:szCs w:val="21"/>
              </w:rPr>
              <w:t>板载时钟（时分）</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无</w:t>
            </w:r>
          </w:p>
        </w:tc>
        <w:tc>
          <w:tcPr>
            <w:tcW w:w="3325" w:type="dxa"/>
          </w:tcPr>
          <w:p>
            <w:pPr>
              <w:spacing w:line="360" w:lineRule="auto"/>
              <w:rPr>
                <w:szCs w:val="21"/>
              </w:rPr>
            </w:pPr>
            <w:r>
              <w:rPr>
                <w:szCs w:val="21"/>
              </w:rPr>
              <w:t>高八位：时</w:t>
            </w:r>
            <w:r>
              <w:rPr>
                <w:rFonts w:hint="eastAsia"/>
                <w:szCs w:val="21"/>
              </w:rPr>
              <w:t>，</w:t>
            </w:r>
            <w:r>
              <w:rPr>
                <w:szCs w:val="21"/>
              </w:rPr>
              <w:t>低八位：分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11</w:t>
            </w:r>
          </w:p>
        </w:tc>
        <w:tc>
          <w:tcPr>
            <w:tcW w:w="2150" w:type="dxa"/>
          </w:tcPr>
          <w:p>
            <w:pPr>
              <w:spacing w:line="360" w:lineRule="auto"/>
              <w:rPr>
                <w:szCs w:val="21"/>
              </w:rPr>
            </w:pPr>
            <w:r>
              <w:rPr>
                <w:szCs w:val="21"/>
              </w:rPr>
              <w:t>板载时钟（秒）</w:t>
            </w:r>
          </w:p>
        </w:tc>
        <w:tc>
          <w:tcPr>
            <w:tcW w:w="1110" w:type="dxa"/>
          </w:tcPr>
          <w:p>
            <w:pPr>
              <w:spacing w:line="360" w:lineRule="auto"/>
            </w:pPr>
            <w:r>
              <w:rPr>
                <w:szCs w:val="21"/>
              </w:rPr>
              <w:t>Uint16</w:t>
            </w:r>
          </w:p>
        </w:tc>
        <w:tc>
          <w:tcPr>
            <w:tcW w:w="709" w:type="dxa"/>
          </w:tcPr>
          <w:p>
            <w:pPr>
              <w:spacing w:line="360" w:lineRule="auto"/>
            </w:pPr>
            <w:r>
              <w:rPr>
                <w:rFonts w:hint="eastAsia"/>
                <w:szCs w:val="21"/>
              </w:rPr>
              <w:t>1</w:t>
            </w:r>
          </w:p>
        </w:tc>
        <w:tc>
          <w:tcPr>
            <w:tcW w:w="850" w:type="dxa"/>
          </w:tcPr>
          <w:p>
            <w:pPr>
              <w:spacing w:line="360" w:lineRule="auto"/>
            </w:pPr>
            <w:r>
              <w:rPr>
                <w:rFonts w:hint="eastAsia"/>
                <w:szCs w:val="21"/>
              </w:rPr>
              <w:t>秒</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rPr>
                <w:szCs w:val="21"/>
              </w:rPr>
            </w:pPr>
            <w:r>
              <w:rPr>
                <w:rFonts w:hint="eastAsia"/>
                <w:szCs w:val="21"/>
              </w:rPr>
              <w:t>12</w:t>
            </w:r>
          </w:p>
        </w:tc>
        <w:tc>
          <w:tcPr>
            <w:tcW w:w="2150" w:type="dxa"/>
          </w:tcPr>
          <w:p>
            <w:pPr>
              <w:spacing w:line="360" w:lineRule="auto"/>
              <w:rPr>
                <w:szCs w:val="21"/>
              </w:rPr>
            </w:pPr>
            <w:r>
              <w:rPr>
                <w:rFonts w:hint="eastAsia"/>
                <w:szCs w:val="21"/>
              </w:rPr>
              <w:t>微水</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360" w:lineRule="auto"/>
              <w:rPr>
                <w:szCs w:val="21"/>
              </w:rPr>
            </w:pPr>
            <w:r>
              <w:rPr>
                <w:rFonts w:hint="eastAsia"/>
                <w:szCs w:val="21"/>
              </w:rPr>
              <w:t>14</w:t>
            </w:r>
          </w:p>
        </w:tc>
        <w:tc>
          <w:tcPr>
            <w:tcW w:w="2150" w:type="dxa"/>
          </w:tcPr>
          <w:p>
            <w:pPr>
              <w:spacing w:line="360" w:lineRule="auto"/>
              <w:rPr>
                <w:szCs w:val="21"/>
              </w:rPr>
            </w:pPr>
            <w:r>
              <w:rPr>
                <w:rFonts w:hint="eastAsia"/>
                <w:szCs w:val="21"/>
              </w:rPr>
              <w:t>H2S</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16</w:t>
            </w:r>
          </w:p>
        </w:tc>
        <w:tc>
          <w:tcPr>
            <w:tcW w:w="2150" w:type="dxa"/>
          </w:tcPr>
          <w:p>
            <w:pPr>
              <w:spacing w:line="360" w:lineRule="auto"/>
              <w:rPr>
                <w:szCs w:val="21"/>
              </w:rPr>
            </w:pPr>
            <w:r>
              <w:rPr>
                <w:rFonts w:hint="eastAsia"/>
                <w:szCs w:val="21"/>
              </w:rPr>
              <w:t>SO2</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360" w:lineRule="auto"/>
              <w:rPr>
                <w:szCs w:val="21"/>
              </w:rPr>
            </w:pPr>
            <w:r>
              <w:rPr>
                <w:rFonts w:hint="eastAsia"/>
                <w:szCs w:val="21"/>
              </w:rPr>
              <w:t>18</w:t>
            </w:r>
          </w:p>
        </w:tc>
        <w:tc>
          <w:tcPr>
            <w:tcW w:w="2150" w:type="dxa"/>
          </w:tcPr>
          <w:p>
            <w:pPr>
              <w:spacing w:line="360" w:lineRule="auto"/>
              <w:rPr>
                <w:szCs w:val="21"/>
              </w:rPr>
            </w:pPr>
            <w:r>
              <w:rPr>
                <w:rFonts w:hint="eastAsia"/>
                <w:szCs w:val="21"/>
              </w:rPr>
              <w:t>CO</w:t>
            </w:r>
            <w:r>
              <w:rPr>
                <w:szCs w:val="21"/>
              </w:rPr>
              <w:t>报警值</w:t>
            </w:r>
            <w:r>
              <w:rPr>
                <w:rFonts w:hint="eastAsia"/>
                <w:szCs w:val="21"/>
              </w:rPr>
              <w:t>（超阈值）</w:t>
            </w:r>
          </w:p>
        </w:tc>
        <w:tc>
          <w:tcPr>
            <w:tcW w:w="1110" w:type="dxa"/>
          </w:tcPr>
          <w:p>
            <w:pPr>
              <w:spacing w:line="360" w:lineRule="auto"/>
            </w:pPr>
            <w:r>
              <w:rPr>
                <w:szCs w:val="21"/>
              </w:rPr>
              <w:t>Float</w:t>
            </w:r>
          </w:p>
        </w:tc>
        <w:tc>
          <w:tcPr>
            <w:tcW w:w="709" w:type="dxa"/>
          </w:tcPr>
          <w:p>
            <w:pPr>
              <w:spacing w:line="360" w:lineRule="auto"/>
            </w:pPr>
            <w:r>
              <w:rPr>
                <w:rFonts w:hint="eastAsia" w:eastAsiaTheme="minorEastAsia"/>
                <w:szCs w:val="21"/>
              </w:rPr>
              <w:t>1</w:t>
            </w:r>
          </w:p>
        </w:tc>
        <w:tc>
          <w:tcPr>
            <w:tcW w:w="850" w:type="dxa"/>
          </w:tcPr>
          <w:p>
            <w:pPr>
              <w:spacing w:line="360" w:lineRule="auto"/>
            </w:pPr>
            <w:r>
              <w:rPr>
                <w:rFonts w:hint="eastAsia"/>
                <w:szCs w:val="21"/>
              </w:rPr>
              <w:t>uL/L</w:t>
            </w:r>
          </w:p>
        </w:tc>
        <w:tc>
          <w:tcPr>
            <w:tcW w:w="3325" w:type="dxa"/>
          </w:tcPr>
          <w:p>
            <w:pPr>
              <w:spacing w:line="360" w:lineRule="auto"/>
            </w:pPr>
          </w:p>
        </w:tc>
      </w:tr>
    </w:tbl>
    <w:p>
      <w:pPr>
        <w:spacing w:line="360" w:lineRule="auto"/>
      </w:pPr>
    </w:p>
    <w:sectPr>
      <w:footerReference r:id="rId6" w:type="default"/>
      <w:pgSz w:w="11906" w:h="16838"/>
      <w:pgMar w:top="1440" w:right="1466" w:bottom="144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方正黑体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Courier New">
    <w:altName w:val="DejaVu Sans"/>
    <w:panose1 w:val="02070309020205020404"/>
    <w:charset w:val="00"/>
    <w:family w:val="moder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0000000000000000000"/>
    <w:charset w:val="86"/>
    <w:family w:val="auto"/>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000101FF" w:csb1="00000000"/>
  </w:font>
  <w:font w:name="ˎ̥">
    <w:altName w:val="华文中宋"/>
    <w:panose1 w:val="00000000000000000000"/>
    <w:charset w:val="00"/>
    <w:family w:val="roman"/>
    <w:pitch w:val="default"/>
    <w:sig w:usb0="00000000" w:usb1="00000000" w:usb2="00000000" w:usb3="00000000" w:csb0="00040001" w:csb1="00000000"/>
  </w:font>
  <w:font w:name="Microsoft JhengHei">
    <w:altName w:val="方正书宋_GBK"/>
    <w:panose1 w:val="020B0604030504040204"/>
    <w:charset w:val="88"/>
    <w:family w:val="swiss"/>
    <w:pitch w:val="default"/>
    <w:sig w:usb0="00000000" w:usb1="00000000" w:usb2="00000016" w:usb3="00000000" w:csb0="00100009" w:csb1="00000000"/>
  </w:font>
  <w:font w:name="仿宋">
    <w:panose1 w:val="02010609060101010101"/>
    <w:charset w:val="86"/>
    <w:family w:val="modern"/>
    <w:pitch w:val="default"/>
    <w:sig w:usb0="800002BF" w:usb1="38CF7CFA" w:usb2="00000016" w:usb3="00000000" w:csb0="00040001" w:csb1="00000000"/>
  </w:font>
  <w:font w:name="Cambria Math">
    <w:altName w:val="DejaVu Math TeX Gyre"/>
    <w:panose1 w:val="02040503050406030204"/>
    <w:charset w:val="00"/>
    <w:family w:val="roman"/>
    <w:pitch w:val="default"/>
    <w:sig w:usb0="00000000" w:usb1="00000000" w:usb2="02000000" w:usb3="00000000" w:csb0="0000019F" w:csb1="00000000"/>
  </w:font>
  <w:font w:name="DejaVu Math TeX Gyre">
    <w:panose1 w:val="02000503000000000000"/>
    <w:charset w:val="00"/>
    <w:family w:val="auto"/>
    <w:pitch w:val="default"/>
    <w:sig w:usb0="A10000EF" w:usb1="4201F9EE" w:usb2="02000000" w:usb3="00000000" w:csb0="60000193" w:csb1="0DD40000"/>
  </w:font>
  <w:font w:name="等线 Light">
    <w:altName w:val="华文中宋"/>
    <w:panose1 w:val="02010600030101010101"/>
    <w:charset w:val="86"/>
    <w:family w:val="auto"/>
    <w:pitch w:val="default"/>
    <w:sig w:usb0="00000000" w:usb1="00000000" w:usb2="00000016" w:usb3="00000000" w:csb0="0004000F" w:csb1="00000000"/>
  </w:font>
  <w:font w:name="楷体">
    <w:panose1 w:val="02010609060101010101"/>
    <w:charset w:val="86"/>
    <w:family w:val="modern"/>
    <w:pitch w:val="default"/>
    <w:sig w:usb0="800002BF" w:usb1="38CF7CFA" w:usb2="00000016" w:usb3="00000000" w:csb0="00040001" w:csb1="00000000"/>
  </w:font>
  <w:font w:name="方正小标宋_GBK">
    <w:panose1 w:val="02000000000000000000"/>
    <w:charset w:val="86"/>
    <w:family w:val="script"/>
    <w:pitch w:val="default"/>
    <w:sig w:usb0="00000001" w:usb1="08000000" w:usb2="00000000" w:usb3="00000000" w:csb0="00040000" w:csb1="00000000"/>
  </w:font>
  <w:font w:name="等线">
    <w:altName w:val="仿宋"/>
    <w:panose1 w:val="00000000000000000000"/>
    <w:charset w:val="00"/>
    <w:family w:val="auto"/>
    <w:pitch w:val="default"/>
    <w:sig w:usb0="00000000" w:usb1="00000000" w:usb2="00000000" w:usb3="00000000" w:csb0="00000000" w:csb1="00000000"/>
  </w:font>
  <w:font w:name="金桥简标宋">
    <w:panose1 w:val="00000000000000000000"/>
    <w:charset w:val="00"/>
    <w:family w:val="auto"/>
    <w:pitch w:val="default"/>
    <w:sig w:usb0="00000000" w:usb1="00000000" w:usb2="00000000" w:usb3="00000000" w:csb0="00003F00" w:csb1="01000000"/>
  </w:font>
  <w:font w:name="微软雅黑">
    <w:altName w:val="方正黑体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等线 Light">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XDIm4LAIAAFU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odcsCxv9YHmEjuJ5u9wHCJh0jaL0Spy1QrelypwnI7bzn/sU9fg3WP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FgAA&#10;AGRycy9QSwECFAAUAAAACACHTuJAs0lY7tAAAAAFAQAADwAAAAAAAAABACAAAAA4AAAAZHJzL2Rv&#10;d25yZXYueG1sUEsBAhQAFAAAAAgAh07iQBcMibgsAgAAVQQAAA4AAAAAAAAAAQAgAAAANQEAAGRy&#10;cy9lMm9Eb2MueG1sUEsFBgAAAAAGAAYAWQEAANMFA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vY9gwLAIAAFUEAAAOAAAAZHJz&#10;L2Uyb0RvYy54bWytVM2O0zAQviPxDpbvNGlRV1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95O&#10;0/bC1QNwqZEjkugeG63Q7Jue2d7kZxBzpusMb/mmQvIt8+GBObQCHoxhCfdYCmmQxPQWJaVxX/91&#10;HuNRIXgpqdFaGdWYJErkB43KATAMhhuM/WDoo7oz6NUxhtDy1sQFF+RgFs6oL5igVcwBF9McmTIa&#10;BvMudO2NCeRitWqD0GuWha3eWR6ho3jero4BAra6RlE6JXqt0G1tZfrJiO38576NevobLB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FgAA&#10;AGRycy9QSwECFAAUAAAACACHTuJAs0lY7tAAAAAFAQAADwAAAAAAAAABACAAAAA4AAAAZHJzL2Rv&#10;d25yZXYueG1sUEsBAhQAFAAAAAgAh07iQK9j2DAsAgAAVQQAAA4AAAAAAAAAAQAgAAAANQEAAGRy&#10;cy9lMm9Eb2MueG1sUEsFBgAAAAAGAAYAWQEAANMFA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Am1VpzKgIAAFUEAAAOAAAAAAAAAAEAIAAAADUBAABkcnMv&#10;ZTJvRG9jLnhtbFBLBQYAAAAABgAGAFkBAADR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2B0ED"/>
    <w:multiLevelType w:val="multilevel"/>
    <w:tmpl w:val="83E2B0ED"/>
    <w:lvl w:ilvl="0" w:tentative="0">
      <w:start w:val="1"/>
      <w:numFmt w:val="lowerLetter"/>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rPr>
        <w:rFonts w:hint="eastAsia"/>
      </w:rPr>
    </w:lvl>
    <w:lvl w:ilvl="2" w:tentative="0">
      <w:start w:val="1"/>
      <w:numFmt w:val="lowerRoman"/>
      <w:lvlText w:val="%3."/>
      <w:lvlJc w:val="right"/>
      <w:pPr>
        <w:tabs>
          <w:tab w:val="left" w:pos="1680"/>
        </w:tabs>
        <w:ind w:left="1680" w:hanging="420"/>
      </w:pPr>
      <w:rPr>
        <w:rFonts w:hint="eastAsia"/>
      </w:rPr>
    </w:lvl>
    <w:lvl w:ilvl="3" w:tentative="0">
      <w:start w:val="1"/>
      <w:numFmt w:val="decimal"/>
      <w:lvlText w:val="%4."/>
      <w:lvlJc w:val="left"/>
      <w:pPr>
        <w:tabs>
          <w:tab w:val="left" w:pos="2100"/>
        </w:tabs>
        <w:ind w:left="2100" w:hanging="420"/>
      </w:pPr>
      <w:rPr>
        <w:rFonts w:hint="eastAsia"/>
      </w:rPr>
    </w:lvl>
    <w:lvl w:ilvl="4" w:tentative="0">
      <w:start w:val="1"/>
      <w:numFmt w:val="lowerLetter"/>
      <w:lvlText w:val="%5)"/>
      <w:lvlJc w:val="left"/>
      <w:pPr>
        <w:tabs>
          <w:tab w:val="left" w:pos="2520"/>
        </w:tabs>
        <w:ind w:left="2520" w:hanging="420"/>
      </w:pPr>
      <w:rPr>
        <w:rFonts w:hint="eastAsia"/>
      </w:rPr>
    </w:lvl>
    <w:lvl w:ilvl="5" w:tentative="0">
      <w:start w:val="1"/>
      <w:numFmt w:val="lowerRoman"/>
      <w:lvlText w:val="%6."/>
      <w:lvlJc w:val="right"/>
      <w:pPr>
        <w:tabs>
          <w:tab w:val="left" w:pos="2940"/>
        </w:tabs>
        <w:ind w:left="2940" w:hanging="420"/>
      </w:pPr>
      <w:rPr>
        <w:rFonts w:hint="eastAsia"/>
      </w:rPr>
    </w:lvl>
    <w:lvl w:ilvl="6" w:tentative="0">
      <w:start w:val="1"/>
      <w:numFmt w:val="decimal"/>
      <w:lvlText w:val="%7."/>
      <w:lvlJc w:val="left"/>
      <w:pPr>
        <w:tabs>
          <w:tab w:val="left" w:pos="3360"/>
        </w:tabs>
        <w:ind w:left="3360" w:hanging="420"/>
      </w:pPr>
      <w:rPr>
        <w:rFonts w:hint="eastAsia"/>
      </w:rPr>
    </w:lvl>
    <w:lvl w:ilvl="7" w:tentative="0">
      <w:start w:val="1"/>
      <w:numFmt w:val="lowerLetter"/>
      <w:lvlText w:val="%8)"/>
      <w:lvlJc w:val="left"/>
      <w:pPr>
        <w:tabs>
          <w:tab w:val="left" w:pos="3780"/>
        </w:tabs>
        <w:ind w:left="3780" w:hanging="420"/>
      </w:pPr>
      <w:rPr>
        <w:rFonts w:hint="eastAsia"/>
      </w:rPr>
    </w:lvl>
    <w:lvl w:ilvl="8" w:tentative="0">
      <w:start w:val="1"/>
      <w:numFmt w:val="lowerRoman"/>
      <w:lvlText w:val="%9."/>
      <w:lvlJc w:val="right"/>
      <w:pPr>
        <w:tabs>
          <w:tab w:val="left" w:pos="4200"/>
        </w:tabs>
        <w:ind w:left="4200" w:hanging="420"/>
      </w:pPr>
      <w:rPr>
        <w:rFonts w:hint="eastAsia"/>
      </w:rPr>
    </w:lvl>
  </w:abstractNum>
  <w:abstractNum w:abstractNumId="1">
    <w:nsid w:val="9F5BB2E6"/>
    <w:multiLevelType w:val="multilevel"/>
    <w:tmpl w:val="9F5BB2E6"/>
    <w:lvl w:ilvl="0" w:tentative="0">
      <w:start w:val="1"/>
      <w:numFmt w:val="lowerLetter"/>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rPr>
        <w:rFonts w:hint="eastAsia"/>
      </w:rPr>
    </w:lvl>
    <w:lvl w:ilvl="2" w:tentative="0">
      <w:start w:val="1"/>
      <w:numFmt w:val="lowerRoman"/>
      <w:lvlText w:val="%3."/>
      <w:lvlJc w:val="right"/>
      <w:pPr>
        <w:tabs>
          <w:tab w:val="left" w:pos="1680"/>
        </w:tabs>
        <w:ind w:left="1680" w:hanging="420"/>
      </w:pPr>
      <w:rPr>
        <w:rFonts w:hint="eastAsia"/>
      </w:rPr>
    </w:lvl>
    <w:lvl w:ilvl="3" w:tentative="0">
      <w:start w:val="1"/>
      <w:numFmt w:val="decimal"/>
      <w:lvlText w:val="%4."/>
      <w:lvlJc w:val="left"/>
      <w:pPr>
        <w:tabs>
          <w:tab w:val="left" w:pos="2100"/>
        </w:tabs>
        <w:ind w:left="2100" w:hanging="420"/>
      </w:pPr>
      <w:rPr>
        <w:rFonts w:hint="eastAsia"/>
      </w:rPr>
    </w:lvl>
    <w:lvl w:ilvl="4" w:tentative="0">
      <w:start w:val="1"/>
      <w:numFmt w:val="lowerLetter"/>
      <w:lvlText w:val="%5)"/>
      <w:lvlJc w:val="left"/>
      <w:pPr>
        <w:tabs>
          <w:tab w:val="left" w:pos="2520"/>
        </w:tabs>
        <w:ind w:left="2520" w:hanging="420"/>
      </w:pPr>
      <w:rPr>
        <w:rFonts w:hint="eastAsia"/>
      </w:rPr>
    </w:lvl>
    <w:lvl w:ilvl="5" w:tentative="0">
      <w:start w:val="1"/>
      <w:numFmt w:val="lowerRoman"/>
      <w:lvlText w:val="%6."/>
      <w:lvlJc w:val="right"/>
      <w:pPr>
        <w:tabs>
          <w:tab w:val="left" w:pos="2940"/>
        </w:tabs>
        <w:ind w:left="2940" w:hanging="420"/>
      </w:pPr>
      <w:rPr>
        <w:rFonts w:hint="eastAsia"/>
      </w:rPr>
    </w:lvl>
    <w:lvl w:ilvl="6" w:tentative="0">
      <w:start w:val="1"/>
      <w:numFmt w:val="decimal"/>
      <w:lvlText w:val="%7."/>
      <w:lvlJc w:val="left"/>
      <w:pPr>
        <w:tabs>
          <w:tab w:val="left" w:pos="3360"/>
        </w:tabs>
        <w:ind w:left="3360" w:hanging="420"/>
      </w:pPr>
      <w:rPr>
        <w:rFonts w:hint="eastAsia"/>
      </w:rPr>
    </w:lvl>
    <w:lvl w:ilvl="7" w:tentative="0">
      <w:start w:val="1"/>
      <w:numFmt w:val="lowerLetter"/>
      <w:lvlText w:val="%8)"/>
      <w:lvlJc w:val="left"/>
      <w:pPr>
        <w:tabs>
          <w:tab w:val="left" w:pos="3780"/>
        </w:tabs>
        <w:ind w:left="3780" w:hanging="420"/>
      </w:pPr>
      <w:rPr>
        <w:rFonts w:hint="eastAsia"/>
      </w:rPr>
    </w:lvl>
    <w:lvl w:ilvl="8" w:tentative="0">
      <w:start w:val="1"/>
      <w:numFmt w:val="lowerRoman"/>
      <w:lvlText w:val="%9."/>
      <w:lvlJc w:val="right"/>
      <w:pPr>
        <w:tabs>
          <w:tab w:val="left" w:pos="4200"/>
        </w:tabs>
        <w:ind w:left="4200" w:hanging="420"/>
      </w:pPr>
      <w:rPr>
        <w:rFonts w:hint="eastAsia"/>
      </w:rPr>
    </w:lvl>
  </w:abstractNum>
  <w:abstractNum w:abstractNumId="2">
    <w:nsid w:val="A04E568E"/>
    <w:multiLevelType w:val="singleLevel"/>
    <w:tmpl w:val="A04E568E"/>
    <w:lvl w:ilvl="0" w:tentative="0">
      <w:start w:val="1"/>
      <w:numFmt w:val="lowerLetter"/>
      <w:lvlText w:val="%1)"/>
      <w:lvlJc w:val="left"/>
      <w:pPr>
        <w:tabs>
          <w:tab w:val="left" w:pos="312"/>
        </w:tabs>
      </w:pPr>
    </w:lvl>
  </w:abstractNum>
  <w:abstractNum w:abstractNumId="3">
    <w:nsid w:val="AF35356B"/>
    <w:multiLevelType w:val="multilevel"/>
    <w:tmpl w:val="AF35356B"/>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BCA08A82"/>
    <w:multiLevelType w:val="singleLevel"/>
    <w:tmpl w:val="BCA08A82"/>
    <w:lvl w:ilvl="0" w:tentative="0">
      <w:start w:val="1"/>
      <w:numFmt w:val="lowerLetter"/>
      <w:lvlText w:val="%1)"/>
      <w:lvlJc w:val="left"/>
      <w:pPr>
        <w:tabs>
          <w:tab w:val="left" w:pos="312"/>
        </w:tabs>
      </w:pPr>
    </w:lvl>
  </w:abstractNum>
  <w:abstractNum w:abstractNumId="5">
    <w:nsid w:val="0426FF6F"/>
    <w:multiLevelType w:val="singleLevel"/>
    <w:tmpl w:val="0426FF6F"/>
    <w:lvl w:ilvl="0" w:tentative="0">
      <w:start w:val="2"/>
      <w:numFmt w:val="decimal"/>
      <w:suff w:val="nothing"/>
      <w:lvlText w:val="%1）"/>
      <w:lvlJc w:val="left"/>
    </w:lvl>
  </w:abstractNum>
  <w:abstractNum w:abstractNumId="6">
    <w:nsid w:val="1B136F61"/>
    <w:multiLevelType w:val="multilevel"/>
    <w:tmpl w:val="1B136F61"/>
    <w:lvl w:ilvl="0" w:tentative="0">
      <w:start w:val="1"/>
      <w:numFmt w:val="none"/>
      <w:pStyle w:val="148"/>
      <w:lvlText w:val="表"/>
      <w:lvlJc w:val="left"/>
      <w:pPr>
        <w:tabs>
          <w:tab w:val="left" w:pos="360"/>
        </w:tabs>
      </w:pPr>
      <w:rPr>
        <w:rFonts w:hint="eastAsia" w:ascii="黑体" w:eastAsia="黑体" w:cs="Times New Roman"/>
        <w:b/>
        <w:i w:val="0"/>
        <w:sz w:val="2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1B6B1BCE"/>
    <w:multiLevelType w:val="multilevel"/>
    <w:tmpl w:val="1B6B1BCE"/>
    <w:lvl w:ilvl="0" w:tentative="0">
      <w:start w:val="1"/>
      <w:numFmt w:val="decimal"/>
      <w:lvlText w:val="表%1."/>
      <w:lvlJc w:val="left"/>
      <w:pPr>
        <w:ind w:left="420" w:hanging="420"/>
      </w:pPr>
      <w:rPr>
        <w:rFonts w:hint="default"/>
        <w:i w:val="0"/>
        <w:iCs/>
        <w:color w:val="auto"/>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E7515B2"/>
    <w:multiLevelType w:val="multilevel"/>
    <w:tmpl w:val="1E7515B2"/>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268323CB"/>
    <w:multiLevelType w:val="multilevel"/>
    <w:tmpl w:val="268323CB"/>
    <w:lvl w:ilvl="0" w:tentative="0">
      <w:start w:val="1"/>
      <w:numFmt w:val="decimal"/>
      <w:pStyle w:val="182"/>
      <w:suff w:val="nothing"/>
      <w:lvlText w:val="%1"/>
      <w:lvlJc w:val="left"/>
      <w:pPr>
        <w:ind w:left="0" w:firstLine="0"/>
      </w:pPr>
      <w:rPr>
        <w:rFonts w:hint="default" w:ascii="Times New Roman" w:hAnsi="Times New Roman" w:eastAsia="宋体"/>
        <w:b w:val="0"/>
        <w:i w:val="0"/>
        <w:sz w:val="18"/>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26885FA4"/>
    <w:multiLevelType w:val="multilevel"/>
    <w:tmpl w:val="26885FA4"/>
    <w:lvl w:ilvl="0" w:tentative="0">
      <w:start w:val="1"/>
      <w:numFmt w:val="lowerLetter"/>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rPr>
        <w:rFonts w:hint="eastAsia"/>
      </w:rPr>
    </w:lvl>
    <w:lvl w:ilvl="2" w:tentative="0">
      <w:start w:val="1"/>
      <w:numFmt w:val="lowerRoman"/>
      <w:lvlText w:val="%3."/>
      <w:lvlJc w:val="right"/>
      <w:pPr>
        <w:tabs>
          <w:tab w:val="left" w:pos="1680"/>
        </w:tabs>
        <w:ind w:left="1680" w:hanging="420"/>
      </w:pPr>
      <w:rPr>
        <w:rFonts w:hint="eastAsia"/>
      </w:rPr>
    </w:lvl>
    <w:lvl w:ilvl="3" w:tentative="0">
      <w:start w:val="1"/>
      <w:numFmt w:val="decimal"/>
      <w:lvlText w:val="%4."/>
      <w:lvlJc w:val="left"/>
      <w:pPr>
        <w:tabs>
          <w:tab w:val="left" w:pos="2100"/>
        </w:tabs>
        <w:ind w:left="2100" w:hanging="420"/>
      </w:pPr>
      <w:rPr>
        <w:rFonts w:hint="eastAsia"/>
      </w:rPr>
    </w:lvl>
    <w:lvl w:ilvl="4" w:tentative="0">
      <w:start w:val="1"/>
      <w:numFmt w:val="lowerLetter"/>
      <w:lvlText w:val="%5)"/>
      <w:lvlJc w:val="left"/>
      <w:pPr>
        <w:tabs>
          <w:tab w:val="left" w:pos="2520"/>
        </w:tabs>
        <w:ind w:left="2520" w:hanging="420"/>
      </w:pPr>
      <w:rPr>
        <w:rFonts w:hint="eastAsia"/>
      </w:rPr>
    </w:lvl>
    <w:lvl w:ilvl="5" w:tentative="0">
      <w:start w:val="1"/>
      <w:numFmt w:val="lowerRoman"/>
      <w:lvlText w:val="%6."/>
      <w:lvlJc w:val="right"/>
      <w:pPr>
        <w:tabs>
          <w:tab w:val="left" w:pos="2940"/>
        </w:tabs>
        <w:ind w:left="2940" w:hanging="420"/>
      </w:pPr>
      <w:rPr>
        <w:rFonts w:hint="eastAsia"/>
      </w:rPr>
    </w:lvl>
    <w:lvl w:ilvl="6" w:tentative="0">
      <w:start w:val="1"/>
      <w:numFmt w:val="decimal"/>
      <w:lvlText w:val="%7."/>
      <w:lvlJc w:val="left"/>
      <w:pPr>
        <w:tabs>
          <w:tab w:val="left" w:pos="3360"/>
        </w:tabs>
        <w:ind w:left="3360" w:hanging="420"/>
      </w:pPr>
      <w:rPr>
        <w:rFonts w:hint="eastAsia"/>
      </w:rPr>
    </w:lvl>
    <w:lvl w:ilvl="7" w:tentative="0">
      <w:start w:val="1"/>
      <w:numFmt w:val="lowerLetter"/>
      <w:lvlText w:val="%8)"/>
      <w:lvlJc w:val="left"/>
      <w:pPr>
        <w:tabs>
          <w:tab w:val="left" w:pos="3780"/>
        </w:tabs>
        <w:ind w:left="3780" w:hanging="420"/>
      </w:pPr>
      <w:rPr>
        <w:rFonts w:hint="eastAsia"/>
      </w:rPr>
    </w:lvl>
    <w:lvl w:ilvl="8" w:tentative="0">
      <w:start w:val="1"/>
      <w:numFmt w:val="lowerRoman"/>
      <w:lvlText w:val="%9."/>
      <w:lvlJc w:val="right"/>
      <w:pPr>
        <w:tabs>
          <w:tab w:val="left" w:pos="4200"/>
        </w:tabs>
        <w:ind w:left="4200" w:hanging="420"/>
      </w:pPr>
      <w:rPr>
        <w:rFonts w:hint="eastAsia"/>
      </w:rPr>
    </w:lvl>
  </w:abstractNum>
  <w:abstractNum w:abstractNumId="11">
    <w:nsid w:val="28045A21"/>
    <w:multiLevelType w:val="singleLevel"/>
    <w:tmpl w:val="28045A21"/>
    <w:lvl w:ilvl="0" w:tentative="0">
      <w:start w:val="1"/>
      <w:numFmt w:val="lowerLetter"/>
      <w:suff w:val="nothing"/>
      <w:lvlText w:val="%1）"/>
      <w:lvlJc w:val="left"/>
    </w:lvl>
  </w:abstractNum>
  <w:abstractNum w:abstractNumId="12">
    <w:nsid w:val="48C16391"/>
    <w:multiLevelType w:val="multilevel"/>
    <w:tmpl w:val="48C16391"/>
    <w:lvl w:ilvl="0" w:tentative="0">
      <w:start w:val="1"/>
      <w:numFmt w:val="decimal"/>
      <w:pStyle w:val="2"/>
      <w:suff w:val="space"/>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b/>
        <w:bCs/>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3">
    <w:nsid w:val="4B09396B"/>
    <w:multiLevelType w:val="singleLevel"/>
    <w:tmpl w:val="4B09396B"/>
    <w:lvl w:ilvl="0" w:tentative="0">
      <w:start w:val="1"/>
      <w:numFmt w:val="decimal"/>
      <w:lvlText w:val="%1)"/>
      <w:lvlJc w:val="left"/>
      <w:pPr>
        <w:ind w:left="425" w:hanging="425"/>
      </w:pPr>
      <w:rPr>
        <w:rFonts w:hint="default"/>
      </w:rPr>
    </w:lvl>
  </w:abstractNum>
  <w:abstractNum w:abstractNumId="14">
    <w:nsid w:val="4DC9BD33"/>
    <w:multiLevelType w:val="singleLevel"/>
    <w:tmpl w:val="4DC9BD33"/>
    <w:lvl w:ilvl="0" w:tentative="0">
      <w:start w:val="1"/>
      <w:numFmt w:val="lowerLetter"/>
      <w:suff w:val="nothing"/>
      <w:lvlText w:val="%1）"/>
      <w:lvlJc w:val="left"/>
    </w:lvl>
  </w:abstractNum>
  <w:abstractNum w:abstractNumId="15">
    <w:nsid w:val="4E2E4D73"/>
    <w:multiLevelType w:val="multilevel"/>
    <w:tmpl w:val="4E2E4D73"/>
    <w:lvl w:ilvl="0" w:tentative="0">
      <w:start w:val="1"/>
      <w:numFmt w:val="lowerLetter"/>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rPr>
        <w:rFonts w:hint="eastAsia"/>
      </w:rPr>
    </w:lvl>
    <w:lvl w:ilvl="2" w:tentative="0">
      <w:start w:val="1"/>
      <w:numFmt w:val="lowerRoman"/>
      <w:lvlText w:val="%3."/>
      <w:lvlJc w:val="right"/>
      <w:pPr>
        <w:tabs>
          <w:tab w:val="left" w:pos="1680"/>
        </w:tabs>
        <w:ind w:left="1680" w:hanging="420"/>
      </w:pPr>
      <w:rPr>
        <w:rFonts w:hint="eastAsia"/>
      </w:rPr>
    </w:lvl>
    <w:lvl w:ilvl="3" w:tentative="0">
      <w:start w:val="1"/>
      <w:numFmt w:val="decimal"/>
      <w:lvlText w:val="%4."/>
      <w:lvlJc w:val="left"/>
      <w:pPr>
        <w:tabs>
          <w:tab w:val="left" w:pos="2100"/>
        </w:tabs>
        <w:ind w:left="2100" w:hanging="420"/>
      </w:pPr>
      <w:rPr>
        <w:rFonts w:hint="eastAsia"/>
      </w:rPr>
    </w:lvl>
    <w:lvl w:ilvl="4" w:tentative="0">
      <w:start w:val="1"/>
      <w:numFmt w:val="lowerLetter"/>
      <w:lvlText w:val="%5)"/>
      <w:lvlJc w:val="left"/>
      <w:pPr>
        <w:tabs>
          <w:tab w:val="left" w:pos="2520"/>
        </w:tabs>
        <w:ind w:left="2520" w:hanging="420"/>
      </w:pPr>
      <w:rPr>
        <w:rFonts w:hint="eastAsia"/>
      </w:rPr>
    </w:lvl>
    <w:lvl w:ilvl="5" w:tentative="0">
      <w:start w:val="1"/>
      <w:numFmt w:val="lowerRoman"/>
      <w:lvlText w:val="%6."/>
      <w:lvlJc w:val="right"/>
      <w:pPr>
        <w:tabs>
          <w:tab w:val="left" w:pos="2940"/>
        </w:tabs>
        <w:ind w:left="2940" w:hanging="420"/>
      </w:pPr>
      <w:rPr>
        <w:rFonts w:hint="eastAsia"/>
      </w:rPr>
    </w:lvl>
    <w:lvl w:ilvl="6" w:tentative="0">
      <w:start w:val="1"/>
      <w:numFmt w:val="decimal"/>
      <w:lvlText w:val="%7."/>
      <w:lvlJc w:val="left"/>
      <w:pPr>
        <w:tabs>
          <w:tab w:val="left" w:pos="3360"/>
        </w:tabs>
        <w:ind w:left="3360" w:hanging="420"/>
      </w:pPr>
      <w:rPr>
        <w:rFonts w:hint="eastAsia"/>
      </w:rPr>
    </w:lvl>
    <w:lvl w:ilvl="7" w:tentative="0">
      <w:start w:val="1"/>
      <w:numFmt w:val="lowerLetter"/>
      <w:lvlText w:val="%8)"/>
      <w:lvlJc w:val="left"/>
      <w:pPr>
        <w:tabs>
          <w:tab w:val="left" w:pos="3780"/>
        </w:tabs>
        <w:ind w:left="3780" w:hanging="420"/>
      </w:pPr>
      <w:rPr>
        <w:rFonts w:hint="eastAsia"/>
      </w:rPr>
    </w:lvl>
    <w:lvl w:ilvl="8" w:tentative="0">
      <w:start w:val="1"/>
      <w:numFmt w:val="lowerRoman"/>
      <w:lvlText w:val="%9."/>
      <w:lvlJc w:val="right"/>
      <w:pPr>
        <w:tabs>
          <w:tab w:val="left" w:pos="4200"/>
        </w:tabs>
        <w:ind w:left="4200" w:hanging="420"/>
      </w:pPr>
      <w:rPr>
        <w:rFonts w:hint="eastAsia"/>
      </w:rPr>
    </w:lvl>
  </w:abstractNum>
  <w:abstractNum w:abstractNumId="16">
    <w:nsid w:val="501C0DC9"/>
    <w:multiLevelType w:val="multilevel"/>
    <w:tmpl w:val="501C0DC9"/>
    <w:lvl w:ilvl="0" w:tentative="0">
      <w:start w:val="1"/>
      <w:numFmt w:val="lowerLetter"/>
      <w:pStyle w:val="193"/>
      <w:lvlText w:val="%1)"/>
      <w:lvlJc w:val="left"/>
      <w:pPr>
        <w:ind w:left="840" w:hanging="420"/>
      </w:pPr>
      <w:rPr>
        <w:rFonts w:hint="default"/>
        <w:i w:val="0"/>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5F8AC412"/>
    <w:multiLevelType w:val="singleLevel"/>
    <w:tmpl w:val="5F8AC412"/>
    <w:lvl w:ilvl="0" w:tentative="0">
      <w:start w:val="1"/>
      <w:numFmt w:val="lowerLetter"/>
      <w:suff w:val="nothing"/>
      <w:lvlText w:val="%1）"/>
      <w:lvlJc w:val="left"/>
    </w:lvl>
  </w:abstractNum>
  <w:abstractNum w:abstractNumId="18">
    <w:nsid w:val="646260FA"/>
    <w:multiLevelType w:val="multilevel"/>
    <w:tmpl w:val="646260FA"/>
    <w:lvl w:ilvl="0" w:tentative="0">
      <w:start w:val="1"/>
      <w:numFmt w:val="decimal"/>
      <w:pStyle w:val="191"/>
      <w:suff w:val="nothing"/>
      <w:lvlText w:val="表%1　"/>
      <w:lvlJc w:val="left"/>
      <w:pPr>
        <w:ind w:left="3261" w:firstLine="0"/>
      </w:pPr>
      <w:rPr>
        <w:rFonts w:hint="default" w:ascii="黑体" w:hAnsi="黑体" w:eastAsia="黑体" w:cs="Times New Roman"/>
        <w:b w:val="0"/>
        <w:i w:val="0"/>
        <w:sz w:val="21"/>
      </w:rPr>
    </w:lvl>
    <w:lvl w:ilvl="1" w:tentative="0">
      <w:start w:val="1"/>
      <w:numFmt w:val="decimal"/>
      <w:lvlText w:val="%1.%2"/>
      <w:lvlJc w:val="left"/>
      <w:pPr>
        <w:tabs>
          <w:tab w:val="left" w:pos="4253"/>
        </w:tabs>
        <w:ind w:left="4253" w:hanging="567"/>
      </w:pPr>
      <w:rPr>
        <w:rFonts w:hint="eastAsia"/>
      </w:rPr>
    </w:lvl>
    <w:lvl w:ilvl="2" w:tentative="0">
      <w:start w:val="1"/>
      <w:numFmt w:val="decimal"/>
      <w:lvlText w:val="%1.%2.%3"/>
      <w:lvlJc w:val="left"/>
      <w:pPr>
        <w:tabs>
          <w:tab w:val="left" w:pos="4679"/>
        </w:tabs>
        <w:ind w:left="4679" w:hanging="567"/>
      </w:pPr>
      <w:rPr>
        <w:rFonts w:hint="eastAsia"/>
      </w:rPr>
    </w:lvl>
    <w:lvl w:ilvl="3" w:tentative="0">
      <w:start w:val="1"/>
      <w:numFmt w:val="decimal"/>
      <w:lvlText w:val="%1.%2.%3.%4"/>
      <w:lvlJc w:val="left"/>
      <w:pPr>
        <w:tabs>
          <w:tab w:val="left" w:pos="5245"/>
        </w:tabs>
        <w:ind w:left="5245" w:hanging="708"/>
      </w:pPr>
      <w:rPr>
        <w:rFonts w:hint="eastAsia"/>
      </w:rPr>
    </w:lvl>
    <w:lvl w:ilvl="4" w:tentative="0">
      <w:start w:val="1"/>
      <w:numFmt w:val="decimal"/>
      <w:lvlText w:val="%1.%2.%3.%4.%5"/>
      <w:lvlJc w:val="left"/>
      <w:pPr>
        <w:tabs>
          <w:tab w:val="left" w:pos="5812"/>
        </w:tabs>
        <w:ind w:left="5812" w:hanging="850"/>
      </w:pPr>
      <w:rPr>
        <w:rFonts w:hint="eastAsia"/>
      </w:rPr>
    </w:lvl>
    <w:lvl w:ilvl="5" w:tentative="0">
      <w:start w:val="1"/>
      <w:numFmt w:val="decimal"/>
      <w:lvlText w:val="%1.%2.%3.%4.%5.%6"/>
      <w:lvlJc w:val="left"/>
      <w:pPr>
        <w:tabs>
          <w:tab w:val="left" w:pos="6521"/>
        </w:tabs>
        <w:ind w:left="6521" w:hanging="1134"/>
      </w:pPr>
      <w:rPr>
        <w:rFonts w:hint="eastAsia"/>
      </w:rPr>
    </w:lvl>
    <w:lvl w:ilvl="6" w:tentative="0">
      <w:start w:val="1"/>
      <w:numFmt w:val="decimal"/>
      <w:lvlText w:val="%1.%2.%3.%4.%5.%6.%7"/>
      <w:lvlJc w:val="left"/>
      <w:pPr>
        <w:tabs>
          <w:tab w:val="left" w:pos="7088"/>
        </w:tabs>
        <w:ind w:left="7088" w:hanging="1276"/>
      </w:pPr>
      <w:rPr>
        <w:rFonts w:hint="eastAsia"/>
      </w:rPr>
    </w:lvl>
    <w:lvl w:ilvl="7" w:tentative="0">
      <w:start w:val="1"/>
      <w:numFmt w:val="decimal"/>
      <w:lvlText w:val="%1.%2.%3.%4.%5.%6.%7.%8"/>
      <w:lvlJc w:val="left"/>
      <w:pPr>
        <w:tabs>
          <w:tab w:val="left" w:pos="7655"/>
        </w:tabs>
        <w:ind w:left="7655" w:hanging="1418"/>
      </w:pPr>
      <w:rPr>
        <w:rFonts w:hint="eastAsia"/>
      </w:rPr>
    </w:lvl>
    <w:lvl w:ilvl="8" w:tentative="0">
      <w:start w:val="1"/>
      <w:numFmt w:val="decimal"/>
      <w:lvlText w:val="%1.%2.%3.%4.%5.%6.%7.%8.%9"/>
      <w:lvlJc w:val="left"/>
      <w:pPr>
        <w:tabs>
          <w:tab w:val="left" w:pos="8363"/>
        </w:tabs>
        <w:ind w:left="8363" w:hanging="1700"/>
      </w:pPr>
      <w:rPr>
        <w:rFonts w:hint="eastAsia"/>
      </w:rPr>
    </w:lvl>
  </w:abstractNum>
  <w:abstractNum w:abstractNumId="19">
    <w:nsid w:val="7F566D7A"/>
    <w:multiLevelType w:val="multilevel"/>
    <w:tmpl w:val="7F566D7A"/>
    <w:lvl w:ilvl="0" w:tentative="0">
      <w:start w:val="1"/>
      <w:numFmt w:val="decimal"/>
      <w:pStyle w:val="194"/>
      <w:lvlText w:val="%1)"/>
      <w:lvlJc w:val="left"/>
      <w:pPr>
        <w:ind w:left="1259" w:hanging="420"/>
      </w:pPr>
    </w:lvl>
    <w:lvl w:ilvl="1" w:tentative="0">
      <w:start w:val="1"/>
      <w:numFmt w:val="lowerLetter"/>
      <w:lvlText w:val="%2)"/>
      <w:lvlJc w:val="left"/>
      <w:pPr>
        <w:ind w:left="1679" w:hanging="420"/>
      </w:pPr>
    </w:lvl>
    <w:lvl w:ilvl="2" w:tentative="0">
      <w:start w:val="1"/>
      <w:numFmt w:val="lowerRoman"/>
      <w:lvlText w:val="%3."/>
      <w:lvlJc w:val="right"/>
      <w:pPr>
        <w:ind w:left="2099" w:hanging="420"/>
      </w:pPr>
    </w:lvl>
    <w:lvl w:ilvl="3" w:tentative="0">
      <w:start w:val="1"/>
      <w:numFmt w:val="decimal"/>
      <w:lvlText w:val="%4."/>
      <w:lvlJc w:val="left"/>
      <w:pPr>
        <w:ind w:left="2519" w:hanging="420"/>
      </w:pPr>
    </w:lvl>
    <w:lvl w:ilvl="4" w:tentative="0">
      <w:start w:val="1"/>
      <w:numFmt w:val="lowerLetter"/>
      <w:lvlText w:val="%5)"/>
      <w:lvlJc w:val="left"/>
      <w:pPr>
        <w:ind w:left="2939" w:hanging="420"/>
      </w:pPr>
    </w:lvl>
    <w:lvl w:ilvl="5" w:tentative="0">
      <w:start w:val="1"/>
      <w:numFmt w:val="lowerRoman"/>
      <w:lvlText w:val="%6."/>
      <w:lvlJc w:val="right"/>
      <w:pPr>
        <w:ind w:left="3359" w:hanging="420"/>
      </w:pPr>
    </w:lvl>
    <w:lvl w:ilvl="6" w:tentative="0">
      <w:start w:val="1"/>
      <w:numFmt w:val="decimal"/>
      <w:lvlText w:val="%7."/>
      <w:lvlJc w:val="left"/>
      <w:pPr>
        <w:ind w:left="3779" w:hanging="420"/>
      </w:pPr>
    </w:lvl>
    <w:lvl w:ilvl="7" w:tentative="0">
      <w:start w:val="1"/>
      <w:numFmt w:val="lowerLetter"/>
      <w:lvlText w:val="%8)"/>
      <w:lvlJc w:val="left"/>
      <w:pPr>
        <w:ind w:left="4199" w:hanging="420"/>
      </w:pPr>
    </w:lvl>
    <w:lvl w:ilvl="8" w:tentative="0">
      <w:start w:val="1"/>
      <w:numFmt w:val="lowerRoman"/>
      <w:lvlText w:val="%9."/>
      <w:lvlJc w:val="right"/>
      <w:pPr>
        <w:ind w:left="4619" w:hanging="420"/>
      </w:pPr>
    </w:lvl>
  </w:abstractNum>
  <w:num w:numId="1">
    <w:abstractNumId w:val="12"/>
  </w:num>
  <w:num w:numId="2">
    <w:abstractNumId w:val="6"/>
  </w:num>
  <w:num w:numId="3">
    <w:abstractNumId w:val="9"/>
  </w:num>
  <w:num w:numId="4">
    <w:abstractNumId w:val="18"/>
  </w:num>
  <w:num w:numId="5">
    <w:abstractNumId w:val="16"/>
    <w:lvlOverride w:ilvl="0">
      <w:startOverride w:val="1"/>
    </w:lvlOverride>
  </w:num>
  <w:num w:numId="6">
    <w:abstractNumId w:val="19"/>
  </w:num>
  <w:num w:numId="7">
    <w:abstractNumId w:val="7"/>
  </w:num>
  <w:num w:numId="8">
    <w:abstractNumId w:val="8"/>
  </w:num>
  <w:num w:numId="9">
    <w:abstractNumId w:val="14"/>
  </w:num>
  <w:num w:numId="10">
    <w:abstractNumId w:val="11"/>
  </w:num>
  <w:num w:numId="11">
    <w:abstractNumId w:val="17"/>
  </w:num>
  <w:num w:numId="12">
    <w:abstractNumId w:val="2"/>
  </w:num>
  <w:num w:numId="13">
    <w:abstractNumId w:val="3"/>
  </w:num>
  <w:num w:numId="14">
    <w:abstractNumId w:val="10"/>
  </w:num>
  <w:num w:numId="15">
    <w:abstractNumId w:val="15"/>
  </w:num>
  <w:num w:numId="16">
    <w:abstractNumId w:val="1"/>
  </w:num>
  <w:num w:numId="17">
    <w:abstractNumId w:val="0"/>
  </w:num>
  <w:num w:numId="18">
    <w:abstractNumId w:val="13"/>
  </w:num>
  <w:num w:numId="19">
    <w:abstractNumId w:val="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3ZTg0NjAwZjEyYzMyODY4MzA2Yzc0MDk5OTg4ZTMifQ=="/>
  </w:docVars>
  <w:rsids>
    <w:rsidRoot w:val="00172A27"/>
    <w:rsid w:val="000000B1"/>
    <w:rsid w:val="0000229A"/>
    <w:rsid w:val="00002E7E"/>
    <w:rsid w:val="000030CE"/>
    <w:rsid w:val="0000357E"/>
    <w:rsid w:val="00004CBE"/>
    <w:rsid w:val="00004D1F"/>
    <w:rsid w:val="00005843"/>
    <w:rsid w:val="00005CEF"/>
    <w:rsid w:val="00007604"/>
    <w:rsid w:val="000100E6"/>
    <w:rsid w:val="000100F2"/>
    <w:rsid w:val="00010432"/>
    <w:rsid w:val="00011333"/>
    <w:rsid w:val="000116CE"/>
    <w:rsid w:val="00011D62"/>
    <w:rsid w:val="000142BB"/>
    <w:rsid w:val="0001523E"/>
    <w:rsid w:val="00015678"/>
    <w:rsid w:val="00015E01"/>
    <w:rsid w:val="00015ED2"/>
    <w:rsid w:val="00015F22"/>
    <w:rsid w:val="0001683B"/>
    <w:rsid w:val="00016A52"/>
    <w:rsid w:val="000203DF"/>
    <w:rsid w:val="00020F4F"/>
    <w:rsid w:val="00024537"/>
    <w:rsid w:val="00024E15"/>
    <w:rsid w:val="00025143"/>
    <w:rsid w:val="00025717"/>
    <w:rsid w:val="00025B63"/>
    <w:rsid w:val="00026231"/>
    <w:rsid w:val="00030000"/>
    <w:rsid w:val="000306DA"/>
    <w:rsid w:val="00030BA0"/>
    <w:rsid w:val="000324BA"/>
    <w:rsid w:val="000331F3"/>
    <w:rsid w:val="00035383"/>
    <w:rsid w:val="000365DB"/>
    <w:rsid w:val="0003769F"/>
    <w:rsid w:val="000438C2"/>
    <w:rsid w:val="000453E9"/>
    <w:rsid w:val="000460C2"/>
    <w:rsid w:val="0004627E"/>
    <w:rsid w:val="0004651A"/>
    <w:rsid w:val="00046B9D"/>
    <w:rsid w:val="00046F3C"/>
    <w:rsid w:val="00050DFB"/>
    <w:rsid w:val="00051B38"/>
    <w:rsid w:val="0005267A"/>
    <w:rsid w:val="000538BA"/>
    <w:rsid w:val="00053C2A"/>
    <w:rsid w:val="00055E9A"/>
    <w:rsid w:val="00056659"/>
    <w:rsid w:val="00056AE1"/>
    <w:rsid w:val="000578B8"/>
    <w:rsid w:val="00057D18"/>
    <w:rsid w:val="000604F3"/>
    <w:rsid w:val="00060D18"/>
    <w:rsid w:val="000610AB"/>
    <w:rsid w:val="0006156C"/>
    <w:rsid w:val="0006325A"/>
    <w:rsid w:val="00063CB1"/>
    <w:rsid w:val="00063D1B"/>
    <w:rsid w:val="00063DF5"/>
    <w:rsid w:val="00064FF0"/>
    <w:rsid w:val="00065812"/>
    <w:rsid w:val="00066CB2"/>
    <w:rsid w:val="00066FD6"/>
    <w:rsid w:val="00067F22"/>
    <w:rsid w:val="00071D92"/>
    <w:rsid w:val="00071E61"/>
    <w:rsid w:val="000744AF"/>
    <w:rsid w:val="00074541"/>
    <w:rsid w:val="000749E5"/>
    <w:rsid w:val="000756B7"/>
    <w:rsid w:val="0007584E"/>
    <w:rsid w:val="00076481"/>
    <w:rsid w:val="00076D07"/>
    <w:rsid w:val="00077194"/>
    <w:rsid w:val="00077E19"/>
    <w:rsid w:val="00080FFE"/>
    <w:rsid w:val="000819AB"/>
    <w:rsid w:val="000819CE"/>
    <w:rsid w:val="00081CAE"/>
    <w:rsid w:val="00084176"/>
    <w:rsid w:val="00084DF8"/>
    <w:rsid w:val="00085FA2"/>
    <w:rsid w:val="000861E2"/>
    <w:rsid w:val="00086A77"/>
    <w:rsid w:val="0009100A"/>
    <w:rsid w:val="000928A9"/>
    <w:rsid w:val="00093948"/>
    <w:rsid w:val="000944AE"/>
    <w:rsid w:val="0009538C"/>
    <w:rsid w:val="000958AE"/>
    <w:rsid w:val="00095CDE"/>
    <w:rsid w:val="00095FE2"/>
    <w:rsid w:val="000968A1"/>
    <w:rsid w:val="000975C8"/>
    <w:rsid w:val="00097B70"/>
    <w:rsid w:val="00097C70"/>
    <w:rsid w:val="00097E93"/>
    <w:rsid w:val="000A1260"/>
    <w:rsid w:val="000A1854"/>
    <w:rsid w:val="000A1CFA"/>
    <w:rsid w:val="000A1DCF"/>
    <w:rsid w:val="000A1E8E"/>
    <w:rsid w:val="000A1FEF"/>
    <w:rsid w:val="000A25AA"/>
    <w:rsid w:val="000A3D65"/>
    <w:rsid w:val="000A48F1"/>
    <w:rsid w:val="000A6291"/>
    <w:rsid w:val="000A62AA"/>
    <w:rsid w:val="000A6E81"/>
    <w:rsid w:val="000A7C14"/>
    <w:rsid w:val="000B0F8D"/>
    <w:rsid w:val="000B10A1"/>
    <w:rsid w:val="000B1B28"/>
    <w:rsid w:val="000B2C2C"/>
    <w:rsid w:val="000B3545"/>
    <w:rsid w:val="000B3CE6"/>
    <w:rsid w:val="000B464F"/>
    <w:rsid w:val="000B56D9"/>
    <w:rsid w:val="000B64C1"/>
    <w:rsid w:val="000B7327"/>
    <w:rsid w:val="000B7A58"/>
    <w:rsid w:val="000C2C53"/>
    <w:rsid w:val="000C2F76"/>
    <w:rsid w:val="000C4769"/>
    <w:rsid w:val="000C4F02"/>
    <w:rsid w:val="000C559D"/>
    <w:rsid w:val="000C5D4F"/>
    <w:rsid w:val="000C602A"/>
    <w:rsid w:val="000C6F8F"/>
    <w:rsid w:val="000C7487"/>
    <w:rsid w:val="000C77CF"/>
    <w:rsid w:val="000C7FB7"/>
    <w:rsid w:val="000D0D0D"/>
    <w:rsid w:val="000D10BF"/>
    <w:rsid w:val="000D112F"/>
    <w:rsid w:val="000D1438"/>
    <w:rsid w:val="000D1875"/>
    <w:rsid w:val="000D3213"/>
    <w:rsid w:val="000D34A5"/>
    <w:rsid w:val="000D3A59"/>
    <w:rsid w:val="000D459A"/>
    <w:rsid w:val="000D519D"/>
    <w:rsid w:val="000D64B7"/>
    <w:rsid w:val="000E0C9A"/>
    <w:rsid w:val="000E0D4B"/>
    <w:rsid w:val="000E0F79"/>
    <w:rsid w:val="000E2795"/>
    <w:rsid w:val="000E2EF7"/>
    <w:rsid w:val="000E3FCC"/>
    <w:rsid w:val="000E45F0"/>
    <w:rsid w:val="000E494D"/>
    <w:rsid w:val="000E49AB"/>
    <w:rsid w:val="000E546B"/>
    <w:rsid w:val="000E5742"/>
    <w:rsid w:val="000E57A5"/>
    <w:rsid w:val="000E5A91"/>
    <w:rsid w:val="000E5B91"/>
    <w:rsid w:val="000E5FFC"/>
    <w:rsid w:val="000E7C18"/>
    <w:rsid w:val="000F0741"/>
    <w:rsid w:val="000F0F1A"/>
    <w:rsid w:val="000F17E2"/>
    <w:rsid w:val="000F2D69"/>
    <w:rsid w:val="000F43B1"/>
    <w:rsid w:val="000F4F64"/>
    <w:rsid w:val="000F5EFA"/>
    <w:rsid w:val="000F631B"/>
    <w:rsid w:val="000F65BE"/>
    <w:rsid w:val="000F690E"/>
    <w:rsid w:val="000F6DB7"/>
    <w:rsid w:val="000F6E67"/>
    <w:rsid w:val="000F6FDD"/>
    <w:rsid w:val="000F711C"/>
    <w:rsid w:val="001003C6"/>
    <w:rsid w:val="00100836"/>
    <w:rsid w:val="0010148B"/>
    <w:rsid w:val="00102877"/>
    <w:rsid w:val="00104078"/>
    <w:rsid w:val="00104279"/>
    <w:rsid w:val="001050BC"/>
    <w:rsid w:val="00105678"/>
    <w:rsid w:val="00106E18"/>
    <w:rsid w:val="0010729E"/>
    <w:rsid w:val="0010799B"/>
    <w:rsid w:val="00111C74"/>
    <w:rsid w:val="001120E4"/>
    <w:rsid w:val="00115BAC"/>
    <w:rsid w:val="0011615A"/>
    <w:rsid w:val="0011740F"/>
    <w:rsid w:val="00117678"/>
    <w:rsid w:val="00117E65"/>
    <w:rsid w:val="0012015E"/>
    <w:rsid w:val="00121767"/>
    <w:rsid w:val="00123EC8"/>
    <w:rsid w:val="00125025"/>
    <w:rsid w:val="00125B7E"/>
    <w:rsid w:val="00125EAB"/>
    <w:rsid w:val="00130079"/>
    <w:rsid w:val="00130AEC"/>
    <w:rsid w:val="00131851"/>
    <w:rsid w:val="00131D68"/>
    <w:rsid w:val="0013332E"/>
    <w:rsid w:val="001352C8"/>
    <w:rsid w:val="00135F2D"/>
    <w:rsid w:val="00135FE7"/>
    <w:rsid w:val="00137C7B"/>
    <w:rsid w:val="00141196"/>
    <w:rsid w:val="001411B8"/>
    <w:rsid w:val="001427E7"/>
    <w:rsid w:val="00142CD3"/>
    <w:rsid w:val="00142FCC"/>
    <w:rsid w:val="0014365C"/>
    <w:rsid w:val="00143A02"/>
    <w:rsid w:val="00144091"/>
    <w:rsid w:val="00144BB8"/>
    <w:rsid w:val="001452A4"/>
    <w:rsid w:val="001452B7"/>
    <w:rsid w:val="00145502"/>
    <w:rsid w:val="00145958"/>
    <w:rsid w:val="00146727"/>
    <w:rsid w:val="00146E3D"/>
    <w:rsid w:val="001472D2"/>
    <w:rsid w:val="00150560"/>
    <w:rsid w:val="001526F9"/>
    <w:rsid w:val="00153775"/>
    <w:rsid w:val="001538C9"/>
    <w:rsid w:val="00154211"/>
    <w:rsid w:val="00155022"/>
    <w:rsid w:val="001607EB"/>
    <w:rsid w:val="00161D1E"/>
    <w:rsid w:val="001622D3"/>
    <w:rsid w:val="00162307"/>
    <w:rsid w:val="001626A9"/>
    <w:rsid w:val="00164193"/>
    <w:rsid w:val="00164C30"/>
    <w:rsid w:val="001650E8"/>
    <w:rsid w:val="00167A85"/>
    <w:rsid w:val="00167BB9"/>
    <w:rsid w:val="00167D63"/>
    <w:rsid w:val="00170FE3"/>
    <w:rsid w:val="001716D5"/>
    <w:rsid w:val="0017185F"/>
    <w:rsid w:val="001721D0"/>
    <w:rsid w:val="00172393"/>
    <w:rsid w:val="001726DC"/>
    <w:rsid w:val="00172A27"/>
    <w:rsid w:val="00173D43"/>
    <w:rsid w:val="00174E2F"/>
    <w:rsid w:val="001751E1"/>
    <w:rsid w:val="00176E9B"/>
    <w:rsid w:val="00177BAB"/>
    <w:rsid w:val="00180BFD"/>
    <w:rsid w:val="00181928"/>
    <w:rsid w:val="00183464"/>
    <w:rsid w:val="00183DF5"/>
    <w:rsid w:val="00185554"/>
    <w:rsid w:val="00185EF7"/>
    <w:rsid w:val="00190155"/>
    <w:rsid w:val="00191638"/>
    <w:rsid w:val="00192A85"/>
    <w:rsid w:val="00192CFE"/>
    <w:rsid w:val="00192E67"/>
    <w:rsid w:val="00194B8C"/>
    <w:rsid w:val="00194EF8"/>
    <w:rsid w:val="00196C2E"/>
    <w:rsid w:val="001977D4"/>
    <w:rsid w:val="001A0287"/>
    <w:rsid w:val="001A08FD"/>
    <w:rsid w:val="001A148D"/>
    <w:rsid w:val="001A416D"/>
    <w:rsid w:val="001A441E"/>
    <w:rsid w:val="001A486A"/>
    <w:rsid w:val="001A55FF"/>
    <w:rsid w:val="001A5F8B"/>
    <w:rsid w:val="001B10B0"/>
    <w:rsid w:val="001B32F7"/>
    <w:rsid w:val="001B3F8E"/>
    <w:rsid w:val="001B47F1"/>
    <w:rsid w:val="001B56E8"/>
    <w:rsid w:val="001B60B2"/>
    <w:rsid w:val="001B77DB"/>
    <w:rsid w:val="001C0548"/>
    <w:rsid w:val="001C0974"/>
    <w:rsid w:val="001C1499"/>
    <w:rsid w:val="001C2962"/>
    <w:rsid w:val="001C3599"/>
    <w:rsid w:val="001C39AB"/>
    <w:rsid w:val="001C4357"/>
    <w:rsid w:val="001C485B"/>
    <w:rsid w:val="001C4D33"/>
    <w:rsid w:val="001C5618"/>
    <w:rsid w:val="001C7489"/>
    <w:rsid w:val="001C7CAB"/>
    <w:rsid w:val="001D1A87"/>
    <w:rsid w:val="001D290E"/>
    <w:rsid w:val="001D30AE"/>
    <w:rsid w:val="001D40A1"/>
    <w:rsid w:val="001D45D4"/>
    <w:rsid w:val="001D4F58"/>
    <w:rsid w:val="001D5AA8"/>
    <w:rsid w:val="001D6CB2"/>
    <w:rsid w:val="001D7B77"/>
    <w:rsid w:val="001E0848"/>
    <w:rsid w:val="001E1058"/>
    <w:rsid w:val="001E1619"/>
    <w:rsid w:val="001E187C"/>
    <w:rsid w:val="001E190A"/>
    <w:rsid w:val="001E1EB4"/>
    <w:rsid w:val="001E21CE"/>
    <w:rsid w:val="001E3A64"/>
    <w:rsid w:val="001E3FD5"/>
    <w:rsid w:val="001E4826"/>
    <w:rsid w:val="001E4ED6"/>
    <w:rsid w:val="001E4F2F"/>
    <w:rsid w:val="001E52EE"/>
    <w:rsid w:val="001E78A4"/>
    <w:rsid w:val="001E7E08"/>
    <w:rsid w:val="001F0423"/>
    <w:rsid w:val="001F07D5"/>
    <w:rsid w:val="001F0A1E"/>
    <w:rsid w:val="001F0E63"/>
    <w:rsid w:val="001F136D"/>
    <w:rsid w:val="001F189D"/>
    <w:rsid w:val="001F330E"/>
    <w:rsid w:val="001F3A2A"/>
    <w:rsid w:val="001F44C3"/>
    <w:rsid w:val="001F5FCA"/>
    <w:rsid w:val="001F775F"/>
    <w:rsid w:val="0020007D"/>
    <w:rsid w:val="00200E99"/>
    <w:rsid w:val="00201034"/>
    <w:rsid w:val="0020190B"/>
    <w:rsid w:val="00202B51"/>
    <w:rsid w:val="00202B6B"/>
    <w:rsid w:val="0020360E"/>
    <w:rsid w:val="00203747"/>
    <w:rsid w:val="00203898"/>
    <w:rsid w:val="00203D31"/>
    <w:rsid w:val="00204A7B"/>
    <w:rsid w:val="00204D36"/>
    <w:rsid w:val="00205089"/>
    <w:rsid w:val="0020799E"/>
    <w:rsid w:val="0021061C"/>
    <w:rsid w:val="00211597"/>
    <w:rsid w:val="00212587"/>
    <w:rsid w:val="002125FD"/>
    <w:rsid w:val="00212A94"/>
    <w:rsid w:val="00213E95"/>
    <w:rsid w:val="00215165"/>
    <w:rsid w:val="002152AF"/>
    <w:rsid w:val="002159CC"/>
    <w:rsid w:val="00216110"/>
    <w:rsid w:val="002166C7"/>
    <w:rsid w:val="00216882"/>
    <w:rsid w:val="00216FBB"/>
    <w:rsid w:val="00217024"/>
    <w:rsid w:val="00220575"/>
    <w:rsid w:val="00223F6F"/>
    <w:rsid w:val="00224204"/>
    <w:rsid w:val="0022463F"/>
    <w:rsid w:val="002246EA"/>
    <w:rsid w:val="00226A42"/>
    <w:rsid w:val="00226B87"/>
    <w:rsid w:val="0022727E"/>
    <w:rsid w:val="00227484"/>
    <w:rsid w:val="00227866"/>
    <w:rsid w:val="002322CE"/>
    <w:rsid w:val="00233D54"/>
    <w:rsid w:val="002353CA"/>
    <w:rsid w:val="002356A4"/>
    <w:rsid w:val="00235A6E"/>
    <w:rsid w:val="002361A0"/>
    <w:rsid w:val="002373B5"/>
    <w:rsid w:val="00237636"/>
    <w:rsid w:val="00237C55"/>
    <w:rsid w:val="00237E9B"/>
    <w:rsid w:val="002406AC"/>
    <w:rsid w:val="00240A01"/>
    <w:rsid w:val="00241231"/>
    <w:rsid w:val="0024256B"/>
    <w:rsid w:val="00242B8A"/>
    <w:rsid w:val="00242E00"/>
    <w:rsid w:val="0024330E"/>
    <w:rsid w:val="00244865"/>
    <w:rsid w:val="00245B83"/>
    <w:rsid w:val="00246216"/>
    <w:rsid w:val="00246CE5"/>
    <w:rsid w:val="00251216"/>
    <w:rsid w:val="00252E1B"/>
    <w:rsid w:val="0025316D"/>
    <w:rsid w:val="002543ED"/>
    <w:rsid w:val="002546C6"/>
    <w:rsid w:val="002554E3"/>
    <w:rsid w:val="00255846"/>
    <w:rsid w:val="00256AE0"/>
    <w:rsid w:val="00257D2C"/>
    <w:rsid w:val="0026042A"/>
    <w:rsid w:val="00260A3A"/>
    <w:rsid w:val="00260EA3"/>
    <w:rsid w:val="002629C7"/>
    <w:rsid w:val="00262DEF"/>
    <w:rsid w:val="00263D4A"/>
    <w:rsid w:val="00263E28"/>
    <w:rsid w:val="00264629"/>
    <w:rsid w:val="00265D95"/>
    <w:rsid w:val="002662B8"/>
    <w:rsid w:val="002667A9"/>
    <w:rsid w:val="002667B8"/>
    <w:rsid w:val="00270206"/>
    <w:rsid w:val="002702F7"/>
    <w:rsid w:val="00272615"/>
    <w:rsid w:val="00273D74"/>
    <w:rsid w:val="00273E33"/>
    <w:rsid w:val="002740DB"/>
    <w:rsid w:val="00274115"/>
    <w:rsid w:val="00274789"/>
    <w:rsid w:val="00274A16"/>
    <w:rsid w:val="00276A86"/>
    <w:rsid w:val="002814EA"/>
    <w:rsid w:val="0028166D"/>
    <w:rsid w:val="00281770"/>
    <w:rsid w:val="00285C36"/>
    <w:rsid w:val="00285DAE"/>
    <w:rsid w:val="0028649B"/>
    <w:rsid w:val="00286BBF"/>
    <w:rsid w:val="00287076"/>
    <w:rsid w:val="00290367"/>
    <w:rsid w:val="00292B40"/>
    <w:rsid w:val="00293694"/>
    <w:rsid w:val="00297E22"/>
    <w:rsid w:val="002A011E"/>
    <w:rsid w:val="002A017C"/>
    <w:rsid w:val="002A10BA"/>
    <w:rsid w:val="002A187F"/>
    <w:rsid w:val="002A3E0E"/>
    <w:rsid w:val="002A3F63"/>
    <w:rsid w:val="002A6688"/>
    <w:rsid w:val="002A6FA9"/>
    <w:rsid w:val="002A7174"/>
    <w:rsid w:val="002B0513"/>
    <w:rsid w:val="002B0A26"/>
    <w:rsid w:val="002B1707"/>
    <w:rsid w:val="002B1825"/>
    <w:rsid w:val="002B1D1E"/>
    <w:rsid w:val="002B1FAD"/>
    <w:rsid w:val="002B2C49"/>
    <w:rsid w:val="002B3BE9"/>
    <w:rsid w:val="002B40C4"/>
    <w:rsid w:val="002B4371"/>
    <w:rsid w:val="002B5AF2"/>
    <w:rsid w:val="002C0643"/>
    <w:rsid w:val="002C10FF"/>
    <w:rsid w:val="002C1599"/>
    <w:rsid w:val="002C256F"/>
    <w:rsid w:val="002C2C37"/>
    <w:rsid w:val="002C32D9"/>
    <w:rsid w:val="002C3C60"/>
    <w:rsid w:val="002C3EA2"/>
    <w:rsid w:val="002C4A2D"/>
    <w:rsid w:val="002C5A7F"/>
    <w:rsid w:val="002C6EB0"/>
    <w:rsid w:val="002C7F38"/>
    <w:rsid w:val="002D0166"/>
    <w:rsid w:val="002D13DF"/>
    <w:rsid w:val="002D1BD9"/>
    <w:rsid w:val="002D1EC8"/>
    <w:rsid w:val="002D2028"/>
    <w:rsid w:val="002D210E"/>
    <w:rsid w:val="002D3F34"/>
    <w:rsid w:val="002D4818"/>
    <w:rsid w:val="002D496E"/>
    <w:rsid w:val="002D505E"/>
    <w:rsid w:val="002D5C06"/>
    <w:rsid w:val="002D63AC"/>
    <w:rsid w:val="002D688A"/>
    <w:rsid w:val="002D78A1"/>
    <w:rsid w:val="002E2A87"/>
    <w:rsid w:val="002E3B5E"/>
    <w:rsid w:val="002E44F0"/>
    <w:rsid w:val="002E56A8"/>
    <w:rsid w:val="002E6489"/>
    <w:rsid w:val="002E6CE0"/>
    <w:rsid w:val="002F092F"/>
    <w:rsid w:val="002F2158"/>
    <w:rsid w:val="002F2DC8"/>
    <w:rsid w:val="002F3155"/>
    <w:rsid w:val="002F5681"/>
    <w:rsid w:val="002F5999"/>
    <w:rsid w:val="002F66F2"/>
    <w:rsid w:val="0030092B"/>
    <w:rsid w:val="0030217B"/>
    <w:rsid w:val="0030555F"/>
    <w:rsid w:val="0030596B"/>
    <w:rsid w:val="00305B51"/>
    <w:rsid w:val="003061C2"/>
    <w:rsid w:val="00306436"/>
    <w:rsid w:val="00307590"/>
    <w:rsid w:val="0031002C"/>
    <w:rsid w:val="00310423"/>
    <w:rsid w:val="003111BA"/>
    <w:rsid w:val="00312895"/>
    <w:rsid w:val="00313377"/>
    <w:rsid w:val="00313611"/>
    <w:rsid w:val="00314B5E"/>
    <w:rsid w:val="00315063"/>
    <w:rsid w:val="003150BD"/>
    <w:rsid w:val="00315CAA"/>
    <w:rsid w:val="00317B29"/>
    <w:rsid w:val="00317BCA"/>
    <w:rsid w:val="00320E84"/>
    <w:rsid w:val="003210B0"/>
    <w:rsid w:val="0032167A"/>
    <w:rsid w:val="0032283E"/>
    <w:rsid w:val="00322EA4"/>
    <w:rsid w:val="003234FA"/>
    <w:rsid w:val="0032375A"/>
    <w:rsid w:val="0032375F"/>
    <w:rsid w:val="00323B69"/>
    <w:rsid w:val="003241A0"/>
    <w:rsid w:val="00324387"/>
    <w:rsid w:val="00325253"/>
    <w:rsid w:val="00325571"/>
    <w:rsid w:val="00326F87"/>
    <w:rsid w:val="00330C16"/>
    <w:rsid w:val="003316C9"/>
    <w:rsid w:val="00331C58"/>
    <w:rsid w:val="00333566"/>
    <w:rsid w:val="00333B93"/>
    <w:rsid w:val="00335601"/>
    <w:rsid w:val="00336BC6"/>
    <w:rsid w:val="00336D96"/>
    <w:rsid w:val="00337E59"/>
    <w:rsid w:val="00340103"/>
    <w:rsid w:val="00340ADD"/>
    <w:rsid w:val="00342587"/>
    <w:rsid w:val="00343981"/>
    <w:rsid w:val="00343E5D"/>
    <w:rsid w:val="00345217"/>
    <w:rsid w:val="003454F1"/>
    <w:rsid w:val="003466AB"/>
    <w:rsid w:val="003466AF"/>
    <w:rsid w:val="00347AF7"/>
    <w:rsid w:val="00347F1A"/>
    <w:rsid w:val="0035072C"/>
    <w:rsid w:val="00350872"/>
    <w:rsid w:val="00350996"/>
    <w:rsid w:val="00350A66"/>
    <w:rsid w:val="00350D26"/>
    <w:rsid w:val="003512B1"/>
    <w:rsid w:val="003519DE"/>
    <w:rsid w:val="00352056"/>
    <w:rsid w:val="003524B0"/>
    <w:rsid w:val="00352D40"/>
    <w:rsid w:val="003546FF"/>
    <w:rsid w:val="0035472D"/>
    <w:rsid w:val="003559AF"/>
    <w:rsid w:val="00356CAB"/>
    <w:rsid w:val="00356D38"/>
    <w:rsid w:val="00360181"/>
    <w:rsid w:val="003616C3"/>
    <w:rsid w:val="00361D02"/>
    <w:rsid w:val="00363963"/>
    <w:rsid w:val="00363E9C"/>
    <w:rsid w:val="00363EC2"/>
    <w:rsid w:val="00365269"/>
    <w:rsid w:val="0036549D"/>
    <w:rsid w:val="003656A6"/>
    <w:rsid w:val="00366419"/>
    <w:rsid w:val="0036738D"/>
    <w:rsid w:val="003677AA"/>
    <w:rsid w:val="0036792D"/>
    <w:rsid w:val="00373358"/>
    <w:rsid w:val="0037456F"/>
    <w:rsid w:val="00374A90"/>
    <w:rsid w:val="00375173"/>
    <w:rsid w:val="0037520F"/>
    <w:rsid w:val="003756FC"/>
    <w:rsid w:val="0037669C"/>
    <w:rsid w:val="00377122"/>
    <w:rsid w:val="0037723B"/>
    <w:rsid w:val="00380B29"/>
    <w:rsid w:val="003818B3"/>
    <w:rsid w:val="0038248C"/>
    <w:rsid w:val="003826BC"/>
    <w:rsid w:val="00384DFF"/>
    <w:rsid w:val="00386472"/>
    <w:rsid w:val="00386F0E"/>
    <w:rsid w:val="00386FDC"/>
    <w:rsid w:val="0038709D"/>
    <w:rsid w:val="00387780"/>
    <w:rsid w:val="003878E0"/>
    <w:rsid w:val="00387E27"/>
    <w:rsid w:val="0039001A"/>
    <w:rsid w:val="00390954"/>
    <w:rsid w:val="0039300E"/>
    <w:rsid w:val="003936C4"/>
    <w:rsid w:val="00393BE2"/>
    <w:rsid w:val="00393DC0"/>
    <w:rsid w:val="003949AA"/>
    <w:rsid w:val="003959A5"/>
    <w:rsid w:val="00395E8B"/>
    <w:rsid w:val="0039710A"/>
    <w:rsid w:val="003A007E"/>
    <w:rsid w:val="003A09F8"/>
    <w:rsid w:val="003A1B9D"/>
    <w:rsid w:val="003A1EC1"/>
    <w:rsid w:val="003A2444"/>
    <w:rsid w:val="003A27B1"/>
    <w:rsid w:val="003A3351"/>
    <w:rsid w:val="003A449C"/>
    <w:rsid w:val="003A529E"/>
    <w:rsid w:val="003A57AD"/>
    <w:rsid w:val="003A6085"/>
    <w:rsid w:val="003A6E2F"/>
    <w:rsid w:val="003A73DB"/>
    <w:rsid w:val="003A7731"/>
    <w:rsid w:val="003A7EBF"/>
    <w:rsid w:val="003B0EE1"/>
    <w:rsid w:val="003B1125"/>
    <w:rsid w:val="003B16E6"/>
    <w:rsid w:val="003B320E"/>
    <w:rsid w:val="003B35F2"/>
    <w:rsid w:val="003B5551"/>
    <w:rsid w:val="003B60FD"/>
    <w:rsid w:val="003B6118"/>
    <w:rsid w:val="003B6376"/>
    <w:rsid w:val="003C000C"/>
    <w:rsid w:val="003C3269"/>
    <w:rsid w:val="003C3DA2"/>
    <w:rsid w:val="003C52B4"/>
    <w:rsid w:val="003C60B4"/>
    <w:rsid w:val="003C645B"/>
    <w:rsid w:val="003C6984"/>
    <w:rsid w:val="003C6E98"/>
    <w:rsid w:val="003C7003"/>
    <w:rsid w:val="003C799F"/>
    <w:rsid w:val="003D087D"/>
    <w:rsid w:val="003D2E3C"/>
    <w:rsid w:val="003D4117"/>
    <w:rsid w:val="003D44AD"/>
    <w:rsid w:val="003D4631"/>
    <w:rsid w:val="003D66F1"/>
    <w:rsid w:val="003D6ADC"/>
    <w:rsid w:val="003D6C8C"/>
    <w:rsid w:val="003E0129"/>
    <w:rsid w:val="003E1AA6"/>
    <w:rsid w:val="003E1D24"/>
    <w:rsid w:val="003E45B4"/>
    <w:rsid w:val="003E4D64"/>
    <w:rsid w:val="003E58FF"/>
    <w:rsid w:val="003E5C9A"/>
    <w:rsid w:val="003E6B95"/>
    <w:rsid w:val="003F0C37"/>
    <w:rsid w:val="003F1314"/>
    <w:rsid w:val="003F23B2"/>
    <w:rsid w:val="003F2817"/>
    <w:rsid w:val="003F2B01"/>
    <w:rsid w:val="003F3808"/>
    <w:rsid w:val="003F491A"/>
    <w:rsid w:val="003F5C6F"/>
    <w:rsid w:val="003F673E"/>
    <w:rsid w:val="003F7799"/>
    <w:rsid w:val="003F7B07"/>
    <w:rsid w:val="004006D2"/>
    <w:rsid w:val="0040089B"/>
    <w:rsid w:val="00400C7F"/>
    <w:rsid w:val="00401E11"/>
    <w:rsid w:val="004023E5"/>
    <w:rsid w:val="00402D6B"/>
    <w:rsid w:val="00402F54"/>
    <w:rsid w:val="00403082"/>
    <w:rsid w:val="00403408"/>
    <w:rsid w:val="00403A03"/>
    <w:rsid w:val="00404D62"/>
    <w:rsid w:val="0040505B"/>
    <w:rsid w:val="00405EA1"/>
    <w:rsid w:val="004062DC"/>
    <w:rsid w:val="00406366"/>
    <w:rsid w:val="004076D7"/>
    <w:rsid w:val="0040772F"/>
    <w:rsid w:val="00407F27"/>
    <w:rsid w:val="00412DBB"/>
    <w:rsid w:val="00412DDF"/>
    <w:rsid w:val="00413E90"/>
    <w:rsid w:val="004140AF"/>
    <w:rsid w:val="00414C20"/>
    <w:rsid w:val="00415667"/>
    <w:rsid w:val="0041634C"/>
    <w:rsid w:val="00417DF9"/>
    <w:rsid w:val="004206D0"/>
    <w:rsid w:val="0042117D"/>
    <w:rsid w:val="004220F3"/>
    <w:rsid w:val="00422CEB"/>
    <w:rsid w:val="004246CD"/>
    <w:rsid w:val="004248AC"/>
    <w:rsid w:val="00424D41"/>
    <w:rsid w:val="00425782"/>
    <w:rsid w:val="00427000"/>
    <w:rsid w:val="00430DED"/>
    <w:rsid w:val="00431A70"/>
    <w:rsid w:val="00434438"/>
    <w:rsid w:val="0043556A"/>
    <w:rsid w:val="00435730"/>
    <w:rsid w:val="00435916"/>
    <w:rsid w:val="0043724E"/>
    <w:rsid w:val="00440C54"/>
    <w:rsid w:val="00441297"/>
    <w:rsid w:val="00441328"/>
    <w:rsid w:val="00442350"/>
    <w:rsid w:val="0044244F"/>
    <w:rsid w:val="004427B8"/>
    <w:rsid w:val="00443C39"/>
    <w:rsid w:val="0044421E"/>
    <w:rsid w:val="004449F2"/>
    <w:rsid w:val="0044574C"/>
    <w:rsid w:val="004457B5"/>
    <w:rsid w:val="0044716C"/>
    <w:rsid w:val="004472BA"/>
    <w:rsid w:val="00447843"/>
    <w:rsid w:val="00447BDE"/>
    <w:rsid w:val="00447F80"/>
    <w:rsid w:val="00451083"/>
    <w:rsid w:val="004515A1"/>
    <w:rsid w:val="004521EE"/>
    <w:rsid w:val="0045397C"/>
    <w:rsid w:val="0045456A"/>
    <w:rsid w:val="0045738F"/>
    <w:rsid w:val="004627D5"/>
    <w:rsid w:val="0046446E"/>
    <w:rsid w:val="0046609E"/>
    <w:rsid w:val="00466813"/>
    <w:rsid w:val="00466C22"/>
    <w:rsid w:val="00467437"/>
    <w:rsid w:val="0046784C"/>
    <w:rsid w:val="00467C59"/>
    <w:rsid w:val="00471204"/>
    <w:rsid w:val="00472E46"/>
    <w:rsid w:val="004733ED"/>
    <w:rsid w:val="00473575"/>
    <w:rsid w:val="00474861"/>
    <w:rsid w:val="00474CE8"/>
    <w:rsid w:val="0047620D"/>
    <w:rsid w:val="00476F49"/>
    <w:rsid w:val="00477A59"/>
    <w:rsid w:val="00477BE0"/>
    <w:rsid w:val="00477C61"/>
    <w:rsid w:val="00477D23"/>
    <w:rsid w:val="004811B7"/>
    <w:rsid w:val="00483890"/>
    <w:rsid w:val="004861BF"/>
    <w:rsid w:val="00486C23"/>
    <w:rsid w:val="004876EC"/>
    <w:rsid w:val="00487F75"/>
    <w:rsid w:val="004901BD"/>
    <w:rsid w:val="0049077E"/>
    <w:rsid w:val="0049149D"/>
    <w:rsid w:val="00491C3F"/>
    <w:rsid w:val="00492559"/>
    <w:rsid w:val="004929FB"/>
    <w:rsid w:val="00493476"/>
    <w:rsid w:val="0049348D"/>
    <w:rsid w:val="00494B9C"/>
    <w:rsid w:val="004963D4"/>
    <w:rsid w:val="00496856"/>
    <w:rsid w:val="00496D0C"/>
    <w:rsid w:val="00497578"/>
    <w:rsid w:val="004977F5"/>
    <w:rsid w:val="004978BF"/>
    <w:rsid w:val="004A0F53"/>
    <w:rsid w:val="004A2430"/>
    <w:rsid w:val="004A3062"/>
    <w:rsid w:val="004A623F"/>
    <w:rsid w:val="004A79B4"/>
    <w:rsid w:val="004A7F87"/>
    <w:rsid w:val="004B0F0D"/>
    <w:rsid w:val="004B1A16"/>
    <w:rsid w:val="004B2457"/>
    <w:rsid w:val="004B36DC"/>
    <w:rsid w:val="004B3D44"/>
    <w:rsid w:val="004B3EF5"/>
    <w:rsid w:val="004B4A79"/>
    <w:rsid w:val="004B4DF3"/>
    <w:rsid w:val="004B589A"/>
    <w:rsid w:val="004B5AA8"/>
    <w:rsid w:val="004B5EAD"/>
    <w:rsid w:val="004B5F6C"/>
    <w:rsid w:val="004B775F"/>
    <w:rsid w:val="004B79BA"/>
    <w:rsid w:val="004B7AE7"/>
    <w:rsid w:val="004C189F"/>
    <w:rsid w:val="004C1D99"/>
    <w:rsid w:val="004C23E3"/>
    <w:rsid w:val="004C2739"/>
    <w:rsid w:val="004C283C"/>
    <w:rsid w:val="004C46CF"/>
    <w:rsid w:val="004C47D7"/>
    <w:rsid w:val="004C4AC1"/>
    <w:rsid w:val="004C4C16"/>
    <w:rsid w:val="004C6E12"/>
    <w:rsid w:val="004C70FF"/>
    <w:rsid w:val="004C7260"/>
    <w:rsid w:val="004D065F"/>
    <w:rsid w:val="004D11B5"/>
    <w:rsid w:val="004D25C0"/>
    <w:rsid w:val="004D3146"/>
    <w:rsid w:val="004D4F86"/>
    <w:rsid w:val="004D51BC"/>
    <w:rsid w:val="004D6618"/>
    <w:rsid w:val="004D6EC2"/>
    <w:rsid w:val="004D755D"/>
    <w:rsid w:val="004D7FA1"/>
    <w:rsid w:val="004E0582"/>
    <w:rsid w:val="004E1A1C"/>
    <w:rsid w:val="004E1B52"/>
    <w:rsid w:val="004E1FD7"/>
    <w:rsid w:val="004E2983"/>
    <w:rsid w:val="004E3C5C"/>
    <w:rsid w:val="004E3EE2"/>
    <w:rsid w:val="004E4905"/>
    <w:rsid w:val="004E54B0"/>
    <w:rsid w:val="004E596D"/>
    <w:rsid w:val="004E664E"/>
    <w:rsid w:val="004E674B"/>
    <w:rsid w:val="004E76BF"/>
    <w:rsid w:val="004F0659"/>
    <w:rsid w:val="004F4988"/>
    <w:rsid w:val="004F4EA6"/>
    <w:rsid w:val="004F4ECF"/>
    <w:rsid w:val="004F4ED4"/>
    <w:rsid w:val="004F53E5"/>
    <w:rsid w:val="004F5EB8"/>
    <w:rsid w:val="004F6304"/>
    <w:rsid w:val="004F6ADC"/>
    <w:rsid w:val="004F7A37"/>
    <w:rsid w:val="005008D1"/>
    <w:rsid w:val="00501CEB"/>
    <w:rsid w:val="005028B8"/>
    <w:rsid w:val="00502CA4"/>
    <w:rsid w:val="00502F47"/>
    <w:rsid w:val="005033BD"/>
    <w:rsid w:val="00503E6D"/>
    <w:rsid w:val="00504A47"/>
    <w:rsid w:val="00504ECD"/>
    <w:rsid w:val="00504FE2"/>
    <w:rsid w:val="005069BF"/>
    <w:rsid w:val="00506BC1"/>
    <w:rsid w:val="00507111"/>
    <w:rsid w:val="00507144"/>
    <w:rsid w:val="005072DE"/>
    <w:rsid w:val="0050795B"/>
    <w:rsid w:val="00510241"/>
    <w:rsid w:val="0051083D"/>
    <w:rsid w:val="00510A8D"/>
    <w:rsid w:val="00510FB0"/>
    <w:rsid w:val="005119DF"/>
    <w:rsid w:val="005142F9"/>
    <w:rsid w:val="0051496D"/>
    <w:rsid w:val="00514A8C"/>
    <w:rsid w:val="00514EB5"/>
    <w:rsid w:val="00516EDA"/>
    <w:rsid w:val="005178E1"/>
    <w:rsid w:val="005216C2"/>
    <w:rsid w:val="00522623"/>
    <w:rsid w:val="00523A45"/>
    <w:rsid w:val="00523AD5"/>
    <w:rsid w:val="00524511"/>
    <w:rsid w:val="00525A3A"/>
    <w:rsid w:val="00525A7B"/>
    <w:rsid w:val="00525CCE"/>
    <w:rsid w:val="00526B5B"/>
    <w:rsid w:val="00526EB3"/>
    <w:rsid w:val="005302D4"/>
    <w:rsid w:val="0053089D"/>
    <w:rsid w:val="00530925"/>
    <w:rsid w:val="00531530"/>
    <w:rsid w:val="00533611"/>
    <w:rsid w:val="00535895"/>
    <w:rsid w:val="0053649A"/>
    <w:rsid w:val="00536901"/>
    <w:rsid w:val="00536C03"/>
    <w:rsid w:val="00536D07"/>
    <w:rsid w:val="0053706E"/>
    <w:rsid w:val="00537C2F"/>
    <w:rsid w:val="00540C98"/>
    <w:rsid w:val="0054137C"/>
    <w:rsid w:val="0054233A"/>
    <w:rsid w:val="005423B2"/>
    <w:rsid w:val="00542757"/>
    <w:rsid w:val="005438BA"/>
    <w:rsid w:val="00543E8A"/>
    <w:rsid w:val="00544F81"/>
    <w:rsid w:val="00545237"/>
    <w:rsid w:val="005467A3"/>
    <w:rsid w:val="005475AD"/>
    <w:rsid w:val="00552A59"/>
    <w:rsid w:val="005544B8"/>
    <w:rsid w:val="0055485A"/>
    <w:rsid w:val="005548B0"/>
    <w:rsid w:val="005549C5"/>
    <w:rsid w:val="00556121"/>
    <w:rsid w:val="00556728"/>
    <w:rsid w:val="00556E28"/>
    <w:rsid w:val="0056025D"/>
    <w:rsid w:val="00560CAC"/>
    <w:rsid w:val="005610C3"/>
    <w:rsid w:val="005623A7"/>
    <w:rsid w:val="005629D1"/>
    <w:rsid w:val="005631B8"/>
    <w:rsid w:val="005633B4"/>
    <w:rsid w:val="00563500"/>
    <w:rsid w:val="00564EFE"/>
    <w:rsid w:val="00564F69"/>
    <w:rsid w:val="0056518D"/>
    <w:rsid w:val="00565A64"/>
    <w:rsid w:val="0056787C"/>
    <w:rsid w:val="00572D14"/>
    <w:rsid w:val="005734E8"/>
    <w:rsid w:val="0057446D"/>
    <w:rsid w:val="0057544C"/>
    <w:rsid w:val="005766BF"/>
    <w:rsid w:val="00576E11"/>
    <w:rsid w:val="00576E2A"/>
    <w:rsid w:val="00580156"/>
    <w:rsid w:val="005802E2"/>
    <w:rsid w:val="0058193D"/>
    <w:rsid w:val="00582696"/>
    <w:rsid w:val="005827FA"/>
    <w:rsid w:val="00582B03"/>
    <w:rsid w:val="00584AD0"/>
    <w:rsid w:val="00587579"/>
    <w:rsid w:val="00590F22"/>
    <w:rsid w:val="00591F30"/>
    <w:rsid w:val="00593697"/>
    <w:rsid w:val="0059386C"/>
    <w:rsid w:val="00593EF5"/>
    <w:rsid w:val="00594BD8"/>
    <w:rsid w:val="00594C51"/>
    <w:rsid w:val="00595BDE"/>
    <w:rsid w:val="00595E64"/>
    <w:rsid w:val="005A07B7"/>
    <w:rsid w:val="005A0981"/>
    <w:rsid w:val="005A0D4E"/>
    <w:rsid w:val="005A176C"/>
    <w:rsid w:val="005A262D"/>
    <w:rsid w:val="005A2CF6"/>
    <w:rsid w:val="005A329C"/>
    <w:rsid w:val="005A3E18"/>
    <w:rsid w:val="005A6723"/>
    <w:rsid w:val="005B0EB3"/>
    <w:rsid w:val="005B0ED6"/>
    <w:rsid w:val="005B2C3F"/>
    <w:rsid w:val="005B2CB7"/>
    <w:rsid w:val="005B6287"/>
    <w:rsid w:val="005B78B7"/>
    <w:rsid w:val="005C0D72"/>
    <w:rsid w:val="005C124A"/>
    <w:rsid w:val="005C1CFD"/>
    <w:rsid w:val="005C1D04"/>
    <w:rsid w:val="005C2A12"/>
    <w:rsid w:val="005C2A59"/>
    <w:rsid w:val="005C2F32"/>
    <w:rsid w:val="005C39F7"/>
    <w:rsid w:val="005C427F"/>
    <w:rsid w:val="005C4F8D"/>
    <w:rsid w:val="005C5593"/>
    <w:rsid w:val="005C5771"/>
    <w:rsid w:val="005C58A8"/>
    <w:rsid w:val="005C6CB9"/>
    <w:rsid w:val="005D0391"/>
    <w:rsid w:val="005D087C"/>
    <w:rsid w:val="005D0A01"/>
    <w:rsid w:val="005D2149"/>
    <w:rsid w:val="005D60FA"/>
    <w:rsid w:val="005D7F69"/>
    <w:rsid w:val="005E0209"/>
    <w:rsid w:val="005E07C0"/>
    <w:rsid w:val="005E1020"/>
    <w:rsid w:val="005E12D8"/>
    <w:rsid w:val="005E1411"/>
    <w:rsid w:val="005E1BFD"/>
    <w:rsid w:val="005E24AB"/>
    <w:rsid w:val="005E29D1"/>
    <w:rsid w:val="005E32FE"/>
    <w:rsid w:val="005E3700"/>
    <w:rsid w:val="005E3F3B"/>
    <w:rsid w:val="005E4273"/>
    <w:rsid w:val="005E45FC"/>
    <w:rsid w:val="005E4A56"/>
    <w:rsid w:val="005E5955"/>
    <w:rsid w:val="005E6D25"/>
    <w:rsid w:val="005E7EBE"/>
    <w:rsid w:val="005E7F4D"/>
    <w:rsid w:val="005F0052"/>
    <w:rsid w:val="005F015D"/>
    <w:rsid w:val="005F042C"/>
    <w:rsid w:val="005F0718"/>
    <w:rsid w:val="005F0B6C"/>
    <w:rsid w:val="005F240F"/>
    <w:rsid w:val="005F367F"/>
    <w:rsid w:val="005F3C9D"/>
    <w:rsid w:val="005F4E55"/>
    <w:rsid w:val="005F5599"/>
    <w:rsid w:val="005F5A73"/>
    <w:rsid w:val="005F600E"/>
    <w:rsid w:val="005F6D93"/>
    <w:rsid w:val="005F6E42"/>
    <w:rsid w:val="00600955"/>
    <w:rsid w:val="00600B58"/>
    <w:rsid w:val="006015FE"/>
    <w:rsid w:val="00602144"/>
    <w:rsid w:val="00602370"/>
    <w:rsid w:val="00602871"/>
    <w:rsid w:val="006049C7"/>
    <w:rsid w:val="00605D48"/>
    <w:rsid w:val="00605DA9"/>
    <w:rsid w:val="00606711"/>
    <w:rsid w:val="00611F90"/>
    <w:rsid w:val="006127B8"/>
    <w:rsid w:val="00612F4A"/>
    <w:rsid w:val="006144FC"/>
    <w:rsid w:val="0061554F"/>
    <w:rsid w:val="006175A6"/>
    <w:rsid w:val="006175A8"/>
    <w:rsid w:val="006178FD"/>
    <w:rsid w:val="00617B6C"/>
    <w:rsid w:val="006213F3"/>
    <w:rsid w:val="0062183E"/>
    <w:rsid w:val="006244B5"/>
    <w:rsid w:val="00625567"/>
    <w:rsid w:val="00626C16"/>
    <w:rsid w:val="006309C3"/>
    <w:rsid w:val="00630FEF"/>
    <w:rsid w:val="0063161E"/>
    <w:rsid w:val="0063268B"/>
    <w:rsid w:val="00632C16"/>
    <w:rsid w:val="00633016"/>
    <w:rsid w:val="006339E8"/>
    <w:rsid w:val="00633C8B"/>
    <w:rsid w:val="00633DB9"/>
    <w:rsid w:val="00633E99"/>
    <w:rsid w:val="00634325"/>
    <w:rsid w:val="00636848"/>
    <w:rsid w:val="00637CE9"/>
    <w:rsid w:val="0064022B"/>
    <w:rsid w:val="006415FA"/>
    <w:rsid w:val="00642A77"/>
    <w:rsid w:val="00642AFF"/>
    <w:rsid w:val="00642CBE"/>
    <w:rsid w:val="0064314A"/>
    <w:rsid w:val="0064321F"/>
    <w:rsid w:val="006438F3"/>
    <w:rsid w:val="00643B94"/>
    <w:rsid w:val="006446EB"/>
    <w:rsid w:val="00644BD4"/>
    <w:rsid w:val="00647B81"/>
    <w:rsid w:val="00652453"/>
    <w:rsid w:val="0065262F"/>
    <w:rsid w:val="00653917"/>
    <w:rsid w:val="00653F8B"/>
    <w:rsid w:val="00654999"/>
    <w:rsid w:val="00655907"/>
    <w:rsid w:val="00660410"/>
    <w:rsid w:val="0066198F"/>
    <w:rsid w:val="00662108"/>
    <w:rsid w:val="006679EE"/>
    <w:rsid w:val="00667A28"/>
    <w:rsid w:val="00670B1E"/>
    <w:rsid w:val="00671572"/>
    <w:rsid w:val="006723E9"/>
    <w:rsid w:val="006734C4"/>
    <w:rsid w:val="00674401"/>
    <w:rsid w:val="00674774"/>
    <w:rsid w:val="00675657"/>
    <w:rsid w:val="0067713B"/>
    <w:rsid w:val="0067775A"/>
    <w:rsid w:val="00677822"/>
    <w:rsid w:val="00677F26"/>
    <w:rsid w:val="006825BC"/>
    <w:rsid w:val="00682902"/>
    <w:rsid w:val="006834C6"/>
    <w:rsid w:val="00685BA5"/>
    <w:rsid w:val="0068602C"/>
    <w:rsid w:val="00687ADC"/>
    <w:rsid w:val="00690508"/>
    <w:rsid w:val="00691A89"/>
    <w:rsid w:val="00692BB7"/>
    <w:rsid w:val="0069423A"/>
    <w:rsid w:val="00694D4C"/>
    <w:rsid w:val="00694F3F"/>
    <w:rsid w:val="00694F7E"/>
    <w:rsid w:val="00695CF3"/>
    <w:rsid w:val="00697276"/>
    <w:rsid w:val="006974CC"/>
    <w:rsid w:val="006A0B5E"/>
    <w:rsid w:val="006A1870"/>
    <w:rsid w:val="006A2464"/>
    <w:rsid w:val="006A30B9"/>
    <w:rsid w:val="006A60F3"/>
    <w:rsid w:val="006A70EE"/>
    <w:rsid w:val="006A7BB7"/>
    <w:rsid w:val="006B05E0"/>
    <w:rsid w:val="006B152E"/>
    <w:rsid w:val="006B1620"/>
    <w:rsid w:val="006B1A78"/>
    <w:rsid w:val="006B2322"/>
    <w:rsid w:val="006B2554"/>
    <w:rsid w:val="006B2745"/>
    <w:rsid w:val="006B2CC0"/>
    <w:rsid w:val="006B31C3"/>
    <w:rsid w:val="006B31C7"/>
    <w:rsid w:val="006B3654"/>
    <w:rsid w:val="006B4D8F"/>
    <w:rsid w:val="006B5377"/>
    <w:rsid w:val="006B579A"/>
    <w:rsid w:val="006B797B"/>
    <w:rsid w:val="006B79BC"/>
    <w:rsid w:val="006C06D7"/>
    <w:rsid w:val="006C0E1A"/>
    <w:rsid w:val="006C10FD"/>
    <w:rsid w:val="006C2E4B"/>
    <w:rsid w:val="006C3D92"/>
    <w:rsid w:val="006C5807"/>
    <w:rsid w:val="006C73AB"/>
    <w:rsid w:val="006D0023"/>
    <w:rsid w:val="006D0440"/>
    <w:rsid w:val="006D0983"/>
    <w:rsid w:val="006D1818"/>
    <w:rsid w:val="006D236B"/>
    <w:rsid w:val="006D27C2"/>
    <w:rsid w:val="006D3C3B"/>
    <w:rsid w:val="006D3C40"/>
    <w:rsid w:val="006D46FE"/>
    <w:rsid w:val="006D532C"/>
    <w:rsid w:val="006D68CE"/>
    <w:rsid w:val="006D6BBF"/>
    <w:rsid w:val="006D7AF8"/>
    <w:rsid w:val="006E11B0"/>
    <w:rsid w:val="006E1C7F"/>
    <w:rsid w:val="006E301C"/>
    <w:rsid w:val="006E3751"/>
    <w:rsid w:val="006E3CF5"/>
    <w:rsid w:val="006E4BD1"/>
    <w:rsid w:val="006E535B"/>
    <w:rsid w:val="006E5B18"/>
    <w:rsid w:val="006E5FA4"/>
    <w:rsid w:val="006E621F"/>
    <w:rsid w:val="006E643F"/>
    <w:rsid w:val="006E6967"/>
    <w:rsid w:val="006E736D"/>
    <w:rsid w:val="006F002F"/>
    <w:rsid w:val="006F02FE"/>
    <w:rsid w:val="006F0997"/>
    <w:rsid w:val="006F1CFA"/>
    <w:rsid w:val="006F2A99"/>
    <w:rsid w:val="006F44C4"/>
    <w:rsid w:val="006F4EF7"/>
    <w:rsid w:val="006F5601"/>
    <w:rsid w:val="006F5C35"/>
    <w:rsid w:val="006F63E8"/>
    <w:rsid w:val="006F6648"/>
    <w:rsid w:val="00701BFE"/>
    <w:rsid w:val="00701C02"/>
    <w:rsid w:val="007028D7"/>
    <w:rsid w:val="00703C2E"/>
    <w:rsid w:val="00704099"/>
    <w:rsid w:val="00704D01"/>
    <w:rsid w:val="007053CE"/>
    <w:rsid w:val="007069DC"/>
    <w:rsid w:val="00707AFA"/>
    <w:rsid w:val="00710273"/>
    <w:rsid w:val="00710454"/>
    <w:rsid w:val="007109DC"/>
    <w:rsid w:val="00710BD5"/>
    <w:rsid w:val="00711D66"/>
    <w:rsid w:val="007136CD"/>
    <w:rsid w:val="00713FAC"/>
    <w:rsid w:val="007152F3"/>
    <w:rsid w:val="007154EC"/>
    <w:rsid w:val="0071625B"/>
    <w:rsid w:val="00716351"/>
    <w:rsid w:val="00716D0B"/>
    <w:rsid w:val="00716ECE"/>
    <w:rsid w:val="00721186"/>
    <w:rsid w:val="00723164"/>
    <w:rsid w:val="0072320E"/>
    <w:rsid w:val="007247B1"/>
    <w:rsid w:val="00724CD0"/>
    <w:rsid w:val="007251AD"/>
    <w:rsid w:val="00725E08"/>
    <w:rsid w:val="0072614C"/>
    <w:rsid w:val="0072762B"/>
    <w:rsid w:val="007277B6"/>
    <w:rsid w:val="00727E22"/>
    <w:rsid w:val="00730ADC"/>
    <w:rsid w:val="007316F3"/>
    <w:rsid w:val="007336A8"/>
    <w:rsid w:val="007337DB"/>
    <w:rsid w:val="007341C6"/>
    <w:rsid w:val="00735778"/>
    <w:rsid w:val="00735C8A"/>
    <w:rsid w:val="007375F6"/>
    <w:rsid w:val="00737AB8"/>
    <w:rsid w:val="00737C74"/>
    <w:rsid w:val="007409D3"/>
    <w:rsid w:val="007414C3"/>
    <w:rsid w:val="007415B8"/>
    <w:rsid w:val="00741931"/>
    <w:rsid w:val="0074269C"/>
    <w:rsid w:val="007438B8"/>
    <w:rsid w:val="00743937"/>
    <w:rsid w:val="00743973"/>
    <w:rsid w:val="007443E6"/>
    <w:rsid w:val="007449EC"/>
    <w:rsid w:val="0074630A"/>
    <w:rsid w:val="0074725B"/>
    <w:rsid w:val="0075043C"/>
    <w:rsid w:val="00750F95"/>
    <w:rsid w:val="007512C2"/>
    <w:rsid w:val="00752105"/>
    <w:rsid w:val="00752CE2"/>
    <w:rsid w:val="00753A59"/>
    <w:rsid w:val="0075560B"/>
    <w:rsid w:val="00755849"/>
    <w:rsid w:val="00756435"/>
    <w:rsid w:val="00756D77"/>
    <w:rsid w:val="00757091"/>
    <w:rsid w:val="00760A8A"/>
    <w:rsid w:val="007615D1"/>
    <w:rsid w:val="007618DF"/>
    <w:rsid w:val="00761DA7"/>
    <w:rsid w:val="00762D29"/>
    <w:rsid w:val="007635B1"/>
    <w:rsid w:val="00764652"/>
    <w:rsid w:val="00764898"/>
    <w:rsid w:val="007653B2"/>
    <w:rsid w:val="00765C6D"/>
    <w:rsid w:val="00766467"/>
    <w:rsid w:val="00767702"/>
    <w:rsid w:val="00767F35"/>
    <w:rsid w:val="00767F84"/>
    <w:rsid w:val="00770A7C"/>
    <w:rsid w:val="0077154B"/>
    <w:rsid w:val="00771AFF"/>
    <w:rsid w:val="007743B2"/>
    <w:rsid w:val="007749E1"/>
    <w:rsid w:val="0077526C"/>
    <w:rsid w:val="00775387"/>
    <w:rsid w:val="00775D91"/>
    <w:rsid w:val="00776C1A"/>
    <w:rsid w:val="00776F9E"/>
    <w:rsid w:val="007774EA"/>
    <w:rsid w:val="00780816"/>
    <w:rsid w:val="00780BE7"/>
    <w:rsid w:val="00780C46"/>
    <w:rsid w:val="0078105D"/>
    <w:rsid w:val="007827C0"/>
    <w:rsid w:val="00782975"/>
    <w:rsid w:val="007869BC"/>
    <w:rsid w:val="00786E47"/>
    <w:rsid w:val="0078797D"/>
    <w:rsid w:val="00787E4A"/>
    <w:rsid w:val="00791184"/>
    <w:rsid w:val="00791F11"/>
    <w:rsid w:val="00792290"/>
    <w:rsid w:val="00794CF2"/>
    <w:rsid w:val="00796C5F"/>
    <w:rsid w:val="00797701"/>
    <w:rsid w:val="007A0869"/>
    <w:rsid w:val="007A2563"/>
    <w:rsid w:val="007A256A"/>
    <w:rsid w:val="007A4131"/>
    <w:rsid w:val="007A481B"/>
    <w:rsid w:val="007A4A47"/>
    <w:rsid w:val="007A4D68"/>
    <w:rsid w:val="007A4E63"/>
    <w:rsid w:val="007A6A17"/>
    <w:rsid w:val="007A6EE9"/>
    <w:rsid w:val="007A75C1"/>
    <w:rsid w:val="007B0115"/>
    <w:rsid w:val="007B0A31"/>
    <w:rsid w:val="007B11B1"/>
    <w:rsid w:val="007B1B4D"/>
    <w:rsid w:val="007B3982"/>
    <w:rsid w:val="007B41BE"/>
    <w:rsid w:val="007B42FD"/>
    <w:rsid w:val="007B4C0B"/>
    <w:rsid w:val="007B4F92"/>
    <w:rsid w:val="007B5C14"/>
    <w:rsid w:val="007B6242"/>
    <w:rsid w:val="007B69ED"/>
    <w:rsid w:val="007B6DA1"/>
    <w:rsid w:val="007B6FA1"/>
    <w:rsid w:val="007B78F8"/>
    <w:rsid w:val="007B7D29"/>
    <w:rsid w:val="007C0393"/>
    <w:rsid w:val="007C082D"/>
    <w:rsid w:val="007C12C9"/>
    <w:rsid w:val="007C1F90"/>
    <w:rsid w:val="007C2C1C"/>
    <w:rsid w:val="007C2C5C"/>
    <w:rsid w:val="007C3D98"/>
    <w:rsid w:val="007C5A54"/>
    <w:rsid w:val="007C5D1F"/>
    <w:rsid w:val="007C6454"/>
    <w:rsid w:val="007D0359"/>
    <w:rsid w:val="007D06BA"/>
    <w:rsid w:val="007D10A2"/>
    <w:rsid w:val="007D3905"/>
    <w:rsid w:val="007D3FE2"/>
    <w:rsid w:val="007D69CA"/>
    <w:rsid w:val="007D7E8F"/>
    <w:rsid w:val="007E04FB"/>
    <w:rsid w:val="007E098D"/>
    <w:rsid w:val="007E09CC"/>
    <w:rsid w:val="007E0BB0"/>
    <w:rsid w:val="007E0C2C"/>
    <w:rsid w:val="007E1D37"/>
    <w:rsid w:val="007E29F1"/>
    <w:rsid w:val="007E50D0"/>
    <w:rsid w:val="007E526A"/>
    <w:rsid w:val="007E5AD9"/>
    <w:rsid w:val="007E6D18"/>
    <w:rsid w:val="007F001A"/>
    <w:rsid w:val="007F0984"/>
    <w:rsid w:val="007F1128"/>
    <w:rsid w:val="007F1F29"/>
    <w:rsid w:val="007F2B48"/>
    <w:rsid w:val="007F39E4"/>
    <w:rsid w:val="007F5731"/>
    <w:rsid w:val="007F6812"/>
    <w:rsid w:val="007F6F48"/>
    <w:rsid w:val="007F7A5E"/>
    <w:rsid w:val="0080037B"/>
    <w:rsid w:val="00801AC9"/>
    <w:rsid w:val="00802390"/>
    <w:rsid w:val="00802C24"/>
    <w:rsid w:val="008039E6"/>
    <w:rsid w:val="00803B8F"/>
    <w:rsid w:val="00804152"/>
    <w:rsid w:val="008048A7"/>
    <w:rsid w:val="008057CF"/>
    <w:rsid w:val="00805AC2"/>
    <w:rsid w:val="008060F8"/>
    <w:rsid w:val="00806C87"/>
    <w:rsid w:val="00806FDF"/>
    <w:rsid w:val="008073EA"/>
    <w:rsid w:val="00807593"/>
    <w:rsid w:val="00807BD3"/>
    <w:rsid w:val="008102C1"/>
    <w:rsid w:val="00810B4D"/>
    <w:rsid w:val="00810CBD"/>
    <w:rsid w:val="008114E2"/>
    <w:rsid w:val="00812036"/>
    <w:rsid w:val="00812951"/>
    <w:rsid w:val="00813036"/>
    <w:rsid w:val="008149D7"/>
    <w:rsid w:val="00815400"/>
    <w:rsid w:val="008176B6"/>
    <w:rsid w:val="0082098E"/>
    <w:rsid w:val="00821027"/>
    <w:rsid w:val="00821B0D"/>
    <w:rsid w:val="008230A1"/>
    <w:rsid w:val="008230C7"/>
    <w:rsid w:val="00823610"/>
    <w:rsid w:val="008251C0"/>
    <w:rsid w:val="0082544A"/>
    <w:rsid w:val="0082581A"/>
    <w:rsid w:val="00825AEF"/>
    <w:rsid w:val="00825CCD"/>
    <w:rsid w:val="00826032"/>
    <w:rsid w:val="008307DF"/>
    <w:rsid w:val="00830B80"/>
    <w:rsid w:val="0083119F"/>
    <w:rsid w:val="008316F7"/>
    <w:rsid w:val="008331F7"/>
    <w:rsid w:val="00833F7E"/>
    <w:rsid w:val="00834720"/>
    <w:rsid w:val="0083493C"/>
    <w:rsid w:val="008353AE"/>
    <w:rsid w:val="008355D9"/>
    <w:rsid w:val="00836C6F"/>
    <w:rsid w:val="00837A04"/>
    <w:rsid w:val="008402CC"/>
    <w:rsid w:val="00841DE2"/>
    <w:rsid w:val="00842057"/>
    <w:rsid w:val="0084241B"/>
    <w:rsid w:val="00842528"/>
    <w:rsid w:val="00842C09"/>
    <w:rsid w:val="008432BC"/>
    <w:rsid w:val="0084372C"/>
    <w:rsid w:val="008446FE"/>
    <w:rsid w:val="008474F4"/>
    <w:rsid w:val="00847F6E"/>
    <w:rsid w:val="0085058D"/>
    <w:rsid w:val="00850B17"/>
    <w:rsid w:val="008514BD"/>
    <w:rsid w:val="008521FB"/>
    <w:rsid w:val="00854070"/>
    <w:rsid w:val="008547E6"/>
    <w:rsid w:val="00854A22"/>
    <w:rsid w:val="0085505D"/>
    <w:rsid w:val="0085507A"/>
    <w:rsid w:val="008564F6"/>
    <w:rsid w:val="00856E7F"/>
    <w:rsid w:val="008603B3"/>
    <w:rsid w:val="00860723"/>
    <w:rsid w:val="00860EA2"/>
    <w:rsid w:val="00861DAB"/>
    <w:rsid w:val="0086215F"/>
    <w:rsid w:val="008625C6"/>
    <w:rsid w:val="00862E6A"/>
    <w:rsid w:val="00863284"/>
    <w:rsid w:val="008636B0"/>
    <w:rsid w:val="00863C2F"/>
    <w:rsid w:val="00863FA0"/>
    <w:rsid w:val="008647EE"/>
    <w:rsid w:val="008654DA"/>
    <w:rsid w:val="008661D9"/>
    <w:rsid w:val="0086630C"/>
    <w:rsid w:val="00867169"/>
    <w:rsid w:val="0086796A"/>
    <w:rsid w:val="00871C32"/>
    <w:rsid w:val="00872CEE"/>
    <w:rsid w:val="00873F8C"/>
    <w:rsid w:val="00875B2D"/>
    <w:rsid w:val="008817FB"/>
    <w:rsid w:val="008818AA"/>
    <w:rsid w:val="00881C91"/>
    <w:rsid w:val="00881EEF"/>
    <w:rsid w:val="00883456"/>
    <w:rsid w:val="00884636"/>
    <w:rsid w:val="008871EB"/>
    <w:rsid w:val="008878D1"/>
    <w:rsid w:val="0089033D"/>
    <w:rsid w:val="00890A31"/>
    <w:rsid w:val="00891D2C"/>
    <w:rsid w:val="008921FE"/>
    <w:rsid w:val="0089264C"/>
    <w:rsid w:val="00893AE0"/>
    <w:rsid w:val="0089529C"/>
    <w:rsid w:val="0089580B"/>
    <w:rsid w:val="00895AFD"/>
    <w:rsid w:val="00897495"/>
    <w:rsid w:val="008A0D88"/>
    <w:rsid w:val="008A121F"/>
    <w:rsid w:val="008A1659"/>
    <w:rsid w:val="008A24CF"/>
    <w:rsid w:val="008A2981"/>
    <w:rsid w:val="008A2B27"/>
    <w:rsid w:val="008A338E"/>
    <w:rsid w:val="008A3652"/>
    <w:rsid w:val="008A3A43"/>
    <w:rsid w:val="008A54CB"/>
    <w:rsid w:val="008A5763"/>
    <w:rsid w:val="008A5C25"/>
    <w:rsid w:val="008A5DC5"/>
    <w:rsid w:val="008A67DC"/>
    <w:rsid w:val="008A690F"/>
    <w:rsid w:val="008A7149"/>
    <w:rsid w:val="008B06AD"/>
    <w:rsid w:val="008B22B6"/>
    <w:rsid w:val="008B2B91"/>
    <w:rsid w:val="008B2BE1"/>
    <w:rsid w:val="008B38C4"/>
    <w:rsid w:val="008B3C42"/>
    <w:rsid w:val="008B3D10"/>
    <w:rsid w:val="008B694B"/>
    <w:rsid w:val="008B7B22"/>
    <w:rsid w:val="008B7B75"/>
    <w:rsid w:val="008B7B90"/>
    <w:rsid w:val="008B7D51"/>
    <w:rsid w:val="008C0DBE"/>
    <w:rsid w:val="008C11C1"/>
    <w:rsid w:val="008C1C84"/>
    <w:rsid w:val="008C2300"/>
    <w:rsid w:val="008C23F2"/>
    <w:rsid w:val="008C2B92"/>
    <w:rsid w:val="008C309A"/>
    <w:rsid w:val="008C33BB"/>
    <w:rsid w:val="008C3CA7"/>
    <w:rsid w:val="008C40F6"/>
    <w:rsid w:val="008C4305"/>
    <w:rsid w:val="008C4312"/>
    <w:rsid w:val="008C6BE7"/>
    <w:rsid w:val="008C79FD"/>
    <w:rsid w:val="008C7A51"/>
    <w:rsid w:val="008D163C"/>
    <w:rsid w:val="008D2188"/>
    <w:rsid w:val="008D22B6"/>
    <w:rsid w:val="008D30C9"/>
    <w:rsid w:val="008D322A"/>
    <w:rsid w:val="008D349C"/>
    <w:rsid w:val="008D47F8"/>
    <w:rsid w:val="008D4DCF"/>
    <w:rsid w:val="008D60C5"/>
    <w:rsid w:val="008D60E8"/>
    <w:rsid w:val="008D6394"/>
    <w:rsid w:val="008D648E"/>
    <w:rsid w:val="008D66A8"/>
    <w:rsid w:val="008D76CB"/>
    <w:rsid w:val="008E02CD"/>
    <w:rsid w:val="008E0869"/>
    <w:rsid w:val="008E14B7"/>
    <w:rsid w:val="008E1754"/>
    <w:rsid w:val="008E23E0"/>
    <w:rsid w:val="008E25B9"/>
    <w:rsid w:val="008E3CAE"/>
    <w:rsid w:val="008E3F80"/>
    <w:rsid w:val="008E4868"/>
    <w:rsid w:val="008E4E35"/>
    <w:rsid w:val="008E573A"/>
    <w:rsid w:val="008E5EA6"/>
    <w:rsid w:val="008E626B"/>
    <w:rsid w:val="008E69E9"/>
    <w:rsid w:val="008E69FC"/>
    <w:rsid w:val="008E6CE9"/>
    <w:rsid w:val="008E6F1E"/>
    <w:rsid w:val="008E79A9"/>
    <w:rsid w:val="008E7BD1"/>
    <w:rsid w:val="008F11AC"/>
    <w:rsid w:val="008F1B37"/>
    <w:rsid w:val="008F26A5"/>
    <w:rsid w:val="008F3222"/>
    <w:rsid w:val="008F340B"/>
    <w:rsid w:val="008F3EAB"/>
    <w:rsid w:val="008F4299"/>
    <w:rsid w:val="008F44F0"/>
    <w:rsid w:val="008F4774"/>
    <w:rsid w:val="00900C7D"/>
    <w:rsid w:val="00900CE0"/>
    <w:rsid w:val="0090152A"/>
    <w:rsid w:val="009028DA"/>
    <w:rsid w:val="009038DB"/>
    <w:rsid w:val="00903CAD"/>
    <w:rsid w:val="009057A7"/>
    <w:rsid w:val="00906CF7"/>
    <w:rsid w:val="00907DFC"/>
    <w:rsid w:val="00907F69"/>
    <w:rsid w:val="009106F8"/>
    <w:rsid w:val="00912716"/>
    <w:rsid w:val="00914026"/>
    <w:rsid w:val="00914105"/>
    <w:rsid w:val="00914415"/>
    <w:rsid w:val="0091446C"/>
    <w:rsid w:val="00915A02"/>
    <w:rsid w:val="009166E7"/>
    <w:rsid w:val="009174AB"/>
    <w:rsid w:val="00917807"/>
    <w:rsid w:val="00920305"/>
    <w:rsid w:val="0092069C"/>
    <w:rsid w:val="00920758"/>
    <w:rsid w:val="00920A7B"/>
    <w:rsid w:val="00920DD1"/>
    <w:rsid w:val="009211B3"/>
    <w:rsid w:val="00921609"/>
    <w:rsid w:val="0092243C"/>
    <w:rsid w:val="00922E79"/>
    <w:rsid w:val="00923EC8"/>
    <w:rsid w:val="00924018"/>
    <w:rsid w:val="00924A44"/>
    <w:rsid w:val="00924E37"/>
    <w:rsid w:val="00925C82"/>
    <w:rsid w:val="009265CB"/>
    <w:rsid w:val="009302A9"/>
    <w:rsid w:val="009316AE"/>
    <w:rsid w:val="009317F3"/>
    <w:rsid w:val="0093266B"/>
    <w:rsid w:val="00932BAB"/>
    <w:rsid w:val="00933B43"/>
    <w:rsid w:val="00934980"/>
    <w:rsid w:val="00936D97"/>
    <w:rsid w:val="00937323"/>
    <w:rsid w:val="0093786A"/>
    <w:rsid w:val="00941176"/>
    <w:rsid w:val="00941D55"/>
    <w:rsid w:val="00942A4B"/>
    <w:rsid w:val="00943391"/>
    <w:rsid w:val="009437BF"/>
    <w:rsid w:val="00944379"/>
    <w:rsid w:val="00944951"/>
    <w:rsid w:val="009453FF"/>
    <w:rsid w:val="00946A27"/>
    <w:rsid w:val="00946B5A"/>
    <w:rsid w:val="009475E2"/>
    <w:rsid w:val="009501A3"/>
    <w:rsid w:val="00950CD3"/>
    <w:rsid w:val="00950F7E"/>
    <w:rsid w:val="00951421"/>
    <w:rsid w:val="00952FA3"/>
    <w:rsid w:val="00953051"/>
    <w:rsid w:val="00953A24"/>
    <w:rsid w:val="00953B06"/>
    <w:rsid w:val="0095495B"/>
    <w:rsid w:val="00955A50"/>
    <w:rsid w:val="00956729"/>
    <w:rsid w:val="00956C88"/>
    <w:rsid w:val="009601F9"/>
    <w:rsid w:val="009607EC"/>
    <w:rsid w:val="009611B4"/>
    <w:rsid w:val="0096223C"/>
    <w:rsid w:val="00963DFE"/>
    <w:rsid w:val="0096407F"/>
    <w:rsid w:val="009644AC"/>
    <w:rsid w:val="009672AD"/>
    <w:rsid w:val="00967569"/>
    <w:rsid w:val="00967C20"/>
    <w:rsid w:val="009700E4"/>
    <w:rsid w:val="009702F0"/>
    <w:rsid w:val="00970BC7"/>
    <w:rsid w:val="00970D0C"/>
    <w:rsid w:val="00971575"/>
    <w:rsid w:val="00971E09"/>
    <w:rsid w:val="00972E26"/>
    <w:rsid w:val="009745B3"/>
    <w:rsid w:val="009750D5"/>
    <w:rsid w:val="00975A8F"/>
    <w:rsid w:val="00976274"/>
    <w:rsid w:val="00976A29"/>
    <w:rsid w:val="009776B9"/>
    <w:rsid w:val="009806FF"/>
    <w:rsid w:val="0098081E"/>
    <w:rsid w:val="009823E5"/>
    <w:rsid w:val="009824E9"/>
    <w:rsid w:val="0098287B"/>
    <w:rsid w:val="009837F5"/>
    <w:rsid w:val="009840B4"/>
    <w:rsid w:val="009846F1"/>
    <w:rsid w:val="00986FF5"/>
    <w:rsid w:val="00987DB9"/>
    <w:rsid w:val="009901E7"/>
    <w:rsid w:val="00991822"/>
    <w:rsid w:val="00992C40"/>
    <w:rsid w:val="0099457B"/>
    <w:rsid w:val="00996198"/>
    <w:rsid w:val="00996DDC"/>
    <w:rsid w:val="00997D91"/>
    <w:rsid w:val="00997E1C"/>
    <w:rsid w:val="009A0819"/>
    <w:rsid w:val="009A0A01"/>
    <w:rsid w:val="009A1A17"/>
    <w:rsid w:val="009A29BF"/>
    <w:rsid w:val="009A2B0E"/>
    <w:rsid w:val="009A2E19"/>
    <w:rsid w:val="009A6266"/>
    <w:rsid w:val="009A691F"/>
    <w:rsid w:val="009A7527"/>
    <w:rsid w:val="009A78F0"/>
    <w:rsid w:val="009B0BC7"/>
    <w:rsid w:val="009B0EF7"/>
    <w:rsid w:val="009B1537"/>
    <w:rsid w:val="009B2744"/>
    <w:rsid w:val="009B2BB1"/>
    <w:rsid w:val="009B7F11"/>
    <w:rsid w:val="009C0F4A"/>
    <w:rsid w:val="009C1692"/>
    <w:rsid w:val="009C17CD"/>
    <w:rsid w:val="009C2DDA"/>
    <w:rsid w:val="009C3B24"/>
    <w:rsid w:val="009C49A3"/>
    <w:rsid w:val="009C50E5"/>
    <w:rsid w:val="009C55F0"/>
    <w:rsid w:val="009C62DB"/>
    <w:rsid w:val="009C6C1F"/>
    <w:rsid w:val="009C7EE9"/>
    <w:rsid w:val="009D1DF0"/>
    <w:rsid w:val="009D24D2"/>
    <w:rsid w:val="009D33CA"/>
    <w:rsid w:val="009D3AEE"/>
    <w:rsid w:val="009D3E1F"/>
    <w:rsid w:val="009D63AD"/>
    <w:rsid w:val="009D77A3"/>
    <w:rsid w:val="009E0723"/>
    <w:rsid w:val="009E22DC"/>
    <w:rsid w:val="009E2A28"/>
    <w:rsid w:val="009E2A38"/>
    <w:rsid w:val="009E2BB6"/>
    <w:rsid w:val="009E34B9"/>
    <w:rsid w:val="009E37D8"/>
    <w:rsid w:val="009E451C"/>
    <w:rsid w:val="009E54FD"/>
    <w:rsid w:val="009E5DA9"/>
    <w:rsid w:val="009E66E2"/>
    <w:rsid w:val="009F1F49"/>
    <w:rsid w:val="009F3030"/>
    <w:rsid w:val="009F5F5C"/>
    <w:rsid w:val="009F625A"/>
    <w:rsid w:val="00A002E9"/>
    <w:rsid w:val="00A0343E"/>
    <w:rsid w:val="00A03D9E"/>
    <w:rsid w:val="00A05260"/>
    <w:rsid w:val="00A072B1"/>
    <w:rsid w:val="00A0770B"/>
    <w:rsid w:val="00A1099B"/>
    <w:rsid w:val="00A113B3"/>
    <w:rsid w:val="00A118DF"/>
    <w:rsid w:val="00A125B4"/>
    <w:rsid w:val="00A129BA"/>
    <w:rsid w:val="00A15355"/>
    <w:rsid w:val="00A1537B"/>
    <w:rsid w:val="00A1774B"/>
    <w:rsid w:val="00A17CC8"/>
    <w:rsid w:val="00A207A5"/>
    <w:rsid w:val="00A20D56"/>
    <w:rsid w:val="00A21805"/>
    <w:rsid w:val="00A237E8"/>
    <w:rsid w:val="00A237F8"/>
    <w:rsid w:val="00A247D8"/>
    <w:rsid w:val="00A256B1"/>
    <w:rsid w:val="00A2576C"/>
    <w:rsid w:val="00A25B61"/>
    <w:rsid w:val="00A25FF9"/>
    <w:rsid w:val="00A268D7"/>
    <w:rsid w:val="00A304BC"/>
    <w:rsid w:val="00A3086F"/>
    <w:rsid w:val="00A30E4D"/>
    <w:rsid w:val="00A33B1A"/>
    <w:rsid w:val="00A3484F"/>
    <w:rsid w:val="00A34A37"/>
    <w:rsid w:val="00A34DC3"/>
    <w:rsid w:val="00A35441"/>
    <w:rsid w:val="00A36644"/>
    <w:rsid w:val="00A37C97"/>
    <w:rsid w:val="00A400E9"/>
    <w:rsid w:val="00A41E73"/>
    <w:rsid w:val="00A42622"/>
    <w:rsid w:val="00A42CE0"/>
    <w:rsid w:val="00A44587"/>
    <w:rsid w:val="00A44871"/>
    <w:rsid w:val="00A45E69"/>
    <w:rsid w:val="00A47FCE"/>
    <w:rsid w:val="00A47FEE"/>
    <w:rsid w:val="00A51466"/>
    <w:rsid w:val="00A5371F"/>
    <w:rsid w:val="00A53F94"/>
    <w:rsid w:val="00A5587B"/>
    <w:rsid w:val="00A55B37"/>
    <w:rsid w:val="00A56118"/>
    <w:rsid w:val="00A564CC"/>
    <w:rsid w:val="00A5658C"/>
    <w:rsid w:val="00A56B3C"/>
    <w:rsid w:val="00A57A74"/>
    <w:rsid w:val="00A616D9"/>
    <w:rsid w:val="00A61C5B"/>
    <w:rsid w:val="00A61CA4"/>
    <w:rsid w:val="00A63BCF"/>
    <w:rsid w:val="00A64D5F"/>
    <w:rsid w:val="00A653D5"/>
    <w:rsid w:val="00A65460"/>
    <w:rsid w:val="00A65522"/>
    <w:rsid w:val="00A71025"/>
    <w:rsid w:val="00A712DC"/>
    <w:rsid w:val="00A7130C"/>
    <w:rsid w:val="00A72529"/>
    <w:rsid w:val="00A72BC4"/>
    <w:rsid w:val="00A734B9"/>
    <w:rsid w:val="00A73B77"/>
    <w:rsid w:val="00A744DC"/>
    <w:rsid w:val="00A74ADC"/>
    <w:rsid w:val="00A74D12"/>
    <w:rsid w:val="00A75216"/>
    <w:rsid w:val="00A75444"/>
    <w:rsid w:val="00A7746E"/>
    <w:rsid w:val="00A778C7"/>
    <w:rsid w:val="00A778CD"/>
    <w:rsid w:val="00A77AC9"/>
    <w:rsid w:val="00A806C8"/>
    <w:rsid w:val="00A80926"/>
    <w:rsid w:val="00A81FB1"/>
    <w:rsid w:val="00A821D2"/>
    <w:rsid w:val="00A826D3"/>
    <w:rsid w:val="00A8376C"/>
    <w:rsid w:val="00A85C5F"/>
    <w:rsid w:val="00A904D4"/>
    <w:rsid w:val="00A90E31"/>
    <w:rsid w:val="00A91011"/>
    <w:rsid w:val="00A91D2B"/>
    <w:rsid w:val="00A92387"/>
    <w:rsid w:val="00A92765"/>
    <w:rsid w:val="00A93471"/>
    <w:rsid w:val="00A943E8"/>
    <w:rsid w:val="00A947BD"/>
    <w:rsid w:val="00A94842"/>
    <w:rsid w:val="00A94949"/>
    <w:rsid w:val="00A94D40"/>
    <w:rsid w:val="00A94DD0"/>
    <w:rsid w:val="00A95477"/>
    <w:rsid w:val="00A95C10"/>
    <w:rsid w:val="00A963D2"/>
    <w:rsid w:val="00A96722"/>
    <w:rsid w:val="00A978AF"/>
    <w:rsid w:val="00AA00BC"/>
    <w:rsid w:val="00AA11EC"/>
    <w:rsid w:val="00AA410B"/>
    <w:rsid w:val="00AA488B"/>
    <w:rsid w:val="00AA623D"/>
    <w:rsid w:val="00AA6319"/>
    <w:rsid w:val="00AA6393"/>
    <w:rsid w:val="00AA7111"/>
    <w:rsid w:val="00AA72F2"/>
    <w:rsid w:val="00AA779C"/>
    <w:rsid w:val="00AA7CAD"/>
    <w:rsid w:val="00AB098A"/>
    <w:rsid w:val="00AB235A"/>
    <w:rsid w:val="00AB3DE4"/>
    <w:rsid w:val="00AB5C45"/>
    <w:rsid w:val="00AB62F9"/>
    <w:rsid w:val="00AB64E5"/>
    <w:rsid w:val="00AB673D"/>
    <w:rsid w:val="00AB7969"/>
    <w:rsid w:val="00AC00EE"/>
    <w:rsid w:val="00AC090A"/>
    <w:rsid w:val="00AC1083"/>
    <w:rsid w:val="00AC375F"/>
    <w:rsid w:val="00AC3EC1"/>
    <w:rsid w:val="00AC451A"/>
    <w:rsid w:val="00AD073D"/>
    <w:rsid w:val="00AD07FF"/>
    <w:rsid w:val="00AD27C3"/>
    <w:rsid w:val="00AD4814"/>
    <w:rsid w:val="00AD4DD9"/>
    <w:rsid w:val="00AD4DF8"/>
    <w:rsid w:val="00AD57B6"/>
    <w:rsid w:val="00AD5A5B"/>
    <w:rsid w:val="00AD6398"/>
    <w:rsid w:val="00AD76FA"/>
    <w:rsid w:val="00AE2BC8"/>
    <w:rsid w:val="00AE31AF"/>
    <w:rsid w:val="00AE375E"/>
    <w:rsid w:val="00AE5CEA"/>
    <w:rsid w:val="00AE5D18"/>
    <w:rsid w:val="00AE6E49"/>
    <w:rsid w:val="00AE707C"/>
    <w:rsid w:val="00AE766E"/>
    <w:rsid w:val="00AF0CC6"/>
    <w:rsid w:val="00AF1DDF"/>
    <w:rsid w:val="00AF3D58"/>
    <w:rsid w:val="00AF4729"/>
    <w:rsid w:val="00AF4741"/>
    <w:rsid w:val="00AF4917"/>
    <w:rsid w:val="00AF5E17"/>
    <w:rsid w:val="00AF63AC"/>
    <w:rsid w:val="00AF6829"/>
    <w:rsid w:val="00AF7CF5"/>
    <w:rsid w:val="00B009E3"/>
    <w:rsid w:val="00B01454"/>
    <w:rsid w:val="00B02086"/>
    <w:rsid w:val="00B04318"/>
    <w:rsid w:val="00B052C9"/>
    <w:rsid w:val="00B0544D"/>
    <w:rsid w:val="00B0785D"/>
    <w:rsid w:val="00B07954"/>
    <w:rsid w:val="00B117C6"/>
    <w:rsid w:val="00B1244C"/>
    <w:rsid w:val="00B12B99"/>
    <w:rsid w:val="00B149B8"/>
    <w:rsid w:val="00B15983"/>
    <w:rsid w:val="00B21384"/>
    <w:rsid w:val="00B2139E"/>
    <w:rsid w:val="00B2279C"/>
    <w:rsid w:val="00B22BA0"/>
    <w:rsid w:val="00B2335A"/>
    <w:rsid w:val="00B252E4"/>
    <w:rsid w:val="00B25E8A"/>
    <w:rsid w:val="00B32C0F"/>
    <w:rsid w:val="00B332EB"/>
    <w:rsid w:val="00B334FB"/>
    <w:rsid w:val="00B33EC9"/>
    <w:rsid w:val="00B348B7"/>
    <w:rsid w:val="00B35A65"/>
    <w:rsid w:val="00B36328"/>
    <w:rsid w:val="00B419B4"/>
    <w:rsid w:val="00B41FA6"/>
    <w:rsid w:val="00B422CA"/>
    <w:rsid w:val="00B42517"/>
    <w:rsid w:val="00B44A72"/>
    <w:rsid w:val="00B44D55"/>
    <w:rsid w:val="00B4569B"/>
    <w:rsid w:val="00B4614D"/>
    <w:rsid w:val="00B466C8"/>
    <w:rsid w:val="00B471BB"/>
    <w:rsid w:val="00B473AB"/>
    <w:rsid w:val="00B474D7"/>
    <w:rsid w:val="00B47602"/>
    <w:rsid w:val="00B47808"/>
    <w:rsid w:val="00B47B9F"/>
    <w:rsid w:val="00B50760"/>
    <w:rsid w:val="00B50EAF"/>
    <w:rsid w:val="00B5278D"/>
    <w:rsid w:val="00B53B38"/>
    <w:rsid w:val="00B54C93"/>
    <w:rsid w:val="00B54D35"/>
    <w:rsid w:val="00B5550C"/>
    <w:rsid w:val="00B575E1"/>
    <w:rsid w:val="00B601B2"/>
    <w:rsid w:val="00B610D3"/>
    <w:rsid w:val="00B61214"/>
    <w:rsid w:val="00B616B2"/>
    <w:rsid w:val="00B61B50"/>
    <w:rsid w:val="00B61C89"/>
    <w:rsid w:val="00B622BE"/>
    <w:rsid w:val="00B62A0F"/>
    <w:rsid w:val="00B63E55"/>
    <w:rsid w:val="00B64DDA"/>
    <w:rsid w:val="00B65BEA"/>
    <w:rsid w:val="00B66702"/>
    <w:rsid w:val="00B6674A"/>
    <w:rsid w:val="00B67340"/>
    <w:rsid w:val="00B71D56"/>
    <w:rsid w:val="00B7249D"/>
    <w:rsid w:val="00B72E2D"/>
    <w:rsid w:val="00B73737"/>
    <w:rsid w:val="00B75713"/>
    <w:rsid w:val="00B757C5"/>
    <w:rsid w:val="00B75C85"/>
    <w:rsid w:val="00B77BA8"/>
    <w:rsid w:val="00B8104B"/>
    <w:rsid w:val="00B820BE"/>
    <w:rsid w:val="00B83670"/>
    <w:rsid w:val="00B86139"/>
    <w:rsid w:val="00B86296"/>
    <w:rsid w:val="00B8661E"/>
    <w:rsid w:val="00B8743F"/>
    <w:rsid w:val="00B87894"/>
    <w:rsid w:val="00B90030"/>
    <w:rsid w:val="00B91B4F"/>
    <w:rsid w:val="00B951FB"/>
    <w:rsid w:val="00B953D1"/>
    <w:rsid w:val="00B95F40"/>
    <w:rsid w:val="00B969F3"/>
    <w:rsid w:val="00B97C6A"/>
    <w:rsid w:val="00BA030D"/>
    <w:rsid w:val="00BA0DFD"/>
    <w:rsid w:val="00BA3C9C"/>
    <w:rsid w:val="00BA4996"/>
    <w:rsid w:val="00BA4CA0"/>
    <w:rsid w:val="00BA5E13"/>
    <w:rsid w:val="00BA7D4E"/>
    <w:rsid w:val="00BB017D"/>
    <w:rsid w:val="00BB01F4"/>
    <w:rsid w:val="00BB1F81"/>
    <w:rsid w:val="00BB3759"/>
    <w:rsid w:val="00BB42F1"/>
    <w:rsid w:val="00BB576C"/>
    <w:rsid w:val="00BB64AD"/>
    <w:rsid w:val="00BB6A9A"/>
    <w:rsid w:val="00BB6D6E"/>
    <w:rsid w:val="00BB70C9"/>
    <w:rsid w:val="00BB7135"/>
    <w:rsid w:val="00BC0E05"/>
    <w:rsid w:val="00BC4BDC"/>
    <w:rsid w:val="00BC4D63"/>
    <w:rsid w:val="00BC659E"/>
    <w:rsid w:val="00BC65AD"/>
    <w:rsid w:val="00BC7903"/>
    <w:rsid w:val="00BD0222"/>
    <w:rsid w:val="00BD1755"/>
    <w:rsid w:val="00BD2BB5"/>
    <w:rsid w:val="00BD3F70"/>
    <w:rsid w:val="00BD4DD4"/>
    <w:rsid w:val="00BD5694"/>
    <w:rsid w:val="00BD5846"/>
    <w:rsid w:val="00BD5CE2"/>
    <w:rsid w:val="00BD6FE6"/>
    <w:rsid w:val="00BD71D5"/>
    <w:rsid w:val="00BE0098"/>
    <w:rsid w:val="00BE04EF"/>
    <w:rsid w:val="00BE1125"/>
    <w:rsid w:val="00BE147D"/>
    <w:rsid w:val="00BE19DC"/>
    <w:rsid w:val="00BE1C75"/>
    <w:rsid w:val="00BE337B"/>
    <w:rsid w:val="00BE3CD7"/>
    <w:rsid w:val="00BE5FDB"/>
    <w:rsid w:val="00BE74FA"/>
    <w:rsid w:val="00BF0128"/>
    <w:rsid w:val="00BF1BB8"/>
    <w:rsid w:val="00BF3024"/>
    <w:rsid w:val="00BF3639"/>
    <w:rsid w:val="00BF3973"/>
    <w:rsid w:val="00BF64F4"/>
    <w:rsid w:val="00C00234"/>
    <w:rsid w:val="00C00698"/>
    <w:rsid w:val="00C0087C"/>
    <w:rsid w:val="00C00978"/>
    <w:rsid w:val="00C024B6"/>
    <w:rsid w:val="00C0264E"/>
    <w:rsid w:val="00C027FB"/>
    <w:rsid w:val="00C02BB2"/>
    <w:rsid w:val="00C032BC"/>
    <w:rsid w:val="00C0391C"/>
    <w:rsid w:val="00C03993"/>
    <w:rsid w:val="00C04039"/>
    <w:rsid w:val="00C07612"/>
    <w:rsid w:val="00C07EEC"/>
    <w:rsid w:val="00C10A11"/>
    <w:rsid w:val="00C10D6B"/>
    <w:rsid w:val="00C10FCD"/>
    <w:rsid w:val="00C11CE9"/>
    <w:rsid w:val="00C11FFA"/>
    <w:rsid w:val="00C1349F"/>
    <w:rsid w:val="00C14B5D"/>
    <w:rsid w:val="00C15937"/>
    <w:rsid w:val="00C17378"/>
    <w:rsid w:val="00C17CEE"/>
    <w:rsid w:val="00C20099"/>
    <w:rsid w:val="00C201A3"/>
    <w:rsid w:val="00C21777"/>
    <w:rsid w:val="00C21980"/>
    <w:rsid w:val="00C24502"/>
    <w:rsid w:val="00C245E6"/>
    <w:rsid w:val="00C25144"/>
    <w:rsid w:val="00C2561E"/>
    <w:rsid w:val="00C25D11"/>
    <w:rsid w:val="00C26602"/>
    <w:rsid w:val="00C2704C"/>
    <w:rsid w:val="00C27D02"/>
    <w:rsid w:val="00C309E6"/>
    <w:rsid w:val="00C3112D"/>
    <w:rsid w:val="00C31C3C"/>
    <w:rsid w:val="00C32783"/>
    <w:rsid w:val="00C32D4C"/>
    <w:rsid w:val="00C35198"/>
    <w:rsid w:val="00C357FA"/>
    <w:rsid w:val="00C35980"/>
    <w:rsid w:val="00C361B6"/>
    <w:rsid w:val="00C37083"/>
    <w:rsid w:val="00C40312"/>
    <w:rsid w:val="00C40448"/>
    <w:rsid w:val="00C407D9"/>
    <w:rsid w:val="00C40B8B"/>
    <w:rsid w:val="00C40C23"/>
    <w:rsid w:val="00C40FE1"/>
    <w:rsid w:val="00C41156"/>
    <w:rsid w:val="00C412FC"/>
    <w:rsid w:val="00C41B50"/>
    <w:rsid w:val="00C426CB"/>
    <w:rsid w:val="00C426F0"/>
    <w:rsid w:val="00C4491E"/>
    <w:rsid w:val="00C45258"/>
    <w:rsid w:val="00C45FCE"/>
    <w:rsid w:val="00C47576"/>
    <w:rsid w:val="00C505A1"/>
    <w:rsid w:val="00C52B92"/>
    <w:rsid w:val="00C563D6"/>
    <w:rsid w:val="00C56F64"/>
    <w:rsid w:val="00C57A2F"/>
    <w:rsid w:val="00C62A35"/>
    <w:rsid w:val="00C62BA0"/>
    <w:rsid w:val="00C62BBF"/>
    <w:rsid w:val="00C635AE"/>
    <w:rsid w:val="00C64656"/>
    <w:rsid w:val="00C65724"/>
    <w:rsid w:val="00C6577C"/>
    <w:rsid w:val="00C6593E"/>
    <w:rsid w:val="00C65FFC"/>
    <w:rsid w:val="00C664A1"/>
    <w:rsid w:val="00C7054F"/>
    <w:rsid w:val="00C70C98"/>
    <w:rsid w:val="00C711E1"/>
    <w:rsid w:val="00C724BA"/>
    <w:rsid w:val="00C74421"/>
    <w:rsid w:val="00C746B3"/>
    <w:rsid w:val="00C749E9"/>
    <w:rsid w:val="00C75203"/>
    <w:rsid w:val="00C7530F"/>
    <w:rsid w:val="00C754B4"/>
    <w:rsid w:val="00C75C88"/>
    <w:rsid w:val="00C7639A"/>
    <w:rsid w:val="00C763BA"/>
    <w:rsid w:val="00C7659F"/>
    <w:rsid w:val="00C76900"/>
    <w:rsid w:val="00C8165D"/>
    <w:rsid w:val="00C8361F"/>
    <w:rsid w:val="00C83E5A"/>
    <w:rsid w:val="00C842D5"/>
    <w:rsid w:val="00C84596"/>
    <w:rsid w:val="00C84B02"/>
    <w:rsid w:val="00C8580C"/>
    <w:rsid w:val="00C85D8B"/>
    <w:rsid w:val="00C862F2"/>
    <w:rsid w:val="00C869CB"/>
    <w:rsid w:val="00C87991"/>
    <w:rsid w:val="00C902B5"/>
    <w:rsid w:val="00C908E2"/>
    <w:rsid w:val="00C91555"/>
    <w:rsid w:val="00C91C8C"/>
    <w:rsid w:val="00C91EA5"/>
    <w:rsid w:val="00C93614"/>
    <w:rsid w:val="00C95999"/>
    <w:rsid w:val="00C96090"/>
    <w:rsid w:val="00C964CE"/>
    <w:rsid w:val="00C96E45"/>
    <w:rsid w:val="00C974C1"/>
    <w:rsid w:val="00CA1B5E"/>
    <w:rsid w:val="00CA21D0"/>
    <w:rsid w:val="00CA2B57"/>
    <w:rsid w:val="00CA332B"/>
    <w:rsid w:val="00CA3E6E"/>
    <w:rsid w:val="00CA5E41"/>
    <w:rsid w:val="00CA65B8"/>
    <w:rsid w:val="00CA6B8B"/>
    <w:rsid w:val="00CA71DE"/>
    <w:rsid w:val="00CA75E4"/>
    <w:rsid w:val="00CA781D"/>
    <w:rsid w:val="00CA7C1D"/>
    <w:rsid w:val="00CB1DD6"/>
    <w:rsid w:val="00CB210D"/>
    <w:rsid w:val="00CB23B5"/>
    <w:rsid w:val="00CB29A7"/>
    <w:rsid w:val="00CB2F16"/>
    <w:rsid w:val="00CB4280"/>
    <w:rsid w:val="00CB4BF2"/>
    <w:rsid w:val="00CB4CC8"/>
    <w:rsid w:val="00CB56E4"/>
    <w:rsid w:val="00CB6C19"/>
    <w:rsid w:val="00CB77BE"/>
    <w:rsid w:val="00CC0C60"/>
    <w:rsid w:val="00CC148B"/>
    <w:rsid w:val="00CC1701"/>
    <w:rsid w:val="00CC33CF"/>
    <w:rsid w:val="00CC42CF"/>
    <w:rsid w:val="00CC482C"/>
    <w:rsid w:val="00CC4D25"/>
    <w:rsid w:val="00CC4D95"/>
    <w:rsid w:val="00CC60C0"/>
    <w:rsid w:val="00CC64F5"/>
    <w:rsid w:val="00CC6A1D"/>
    <w:rsid w:val="00CC7581"/>
    <w:rsid w:val="00CD03D6"/>
    <w:rsid w:val="00CD0797"/>
    <w:rsid w:val="00CD1367"/>
    <w:rsid w:val="00CD1BA8"/>
    <w:rsid w:val="00CD3156"/>
    <w:rsid w:val="00CD3BE4"/>
    <w:rsid w:val="00CD3F6E"/>
    <w:rsid w:val="00CD437A"/>
    <w:rsid w:val="00CD4A98"/>
    <w:rsid w:val="00CD5C5A"/>
    <w:rsid w:val="00CD61F3"/>
    <w:rsid w:val="00CE08EB"/>
    <w:rsid w:val="00CE0BEA"/>
    <w:rsid w:val="00CE2141"/>
    <w:rsid w:val="00CE2CD6"/>
    <w:rsid w:val="00CE4A65"/>
    <w:rsid w:val="00CE4AA0"/>
    <w:rsid w:val="00CE57D4"/>
    <w:rsid w:val="00CE597E"/>
    <w:rsid w:val="00CE5D9C"/>
    <w:rsid w:val="00CE5E56"/>
    <w:rsid w:val="00CE664B"/>
    <w:rsid w:val="00CE6BBF"/>
    <w:rsid w:val="00CE75AA"/>
    <w:rsid w:val="00CF23D6"/>
    <w:rsid w:val="00CF2D27"/>
    <w:rsid w:val="00CF2E54"/>
    <w:rsid w:val="00CF4625"/>
    <w:rsid w:val="00CF5691"/>
    <w:rsid w:val="00CF5CE2"/>
    <w:rsid w:val="00CF7C00"/>
    <w:rsid w:val="00D0033A"/>
    <w:rsid w:val="00D00DB1"/>
    <w:rsid w:val="00D010B3"/>
    <w:rsid w:val="00D0195B"/>
    <w:rsid w:val="00D02167"/>
    <w:rsid w:val="00D027DF"/>
    <w:rsid w:val="00D04F7A"/>
    <w:rsid w:val="00D0500F"/>
    <w:rsid w:val="00D05968"/>
    <w:rsid w:val="00D074C6"/>
    <w:rsid w:val="00D07783"/>
    <w:rsid w:val="00D07BAC"/>
    <w:rsid w:val="00D1153E"/>
    <w:rsid w:val="00D116F4"/>
    <w:rsid w:val="00D11A40"/>
    <w:rsid w:val="00D11B99"/>
    <w:rsid w:val="00D1258C"/>
    <w:rsid w:val="00D14E00"/>
    <w:rsid w:val="00D159FF"/>
    <w:rsid w:val="00D20A41"/>
    <w:rsid w:val="00D2154C"/>
    <w:rsid w:val="00D21CD1"/>
    <w:rsid w:val="00D2214E"/>
    <w:rsid w:val="00D2294E"/>
    <w:rsid w:val="00D22CF9"/>
    <w:rsid w:val="00D24B6A"/>
    <w:rsid w:val="00D25060"/>
    <w:rsid w:val="00D27203"/>
    <w:rsid w:val="00D27449"/>
    <w:rsid w:val="00D27501"/>
    <w:rsid w:val="00D30DC1"/>
    <w:rsid w:val="00D31802"/>
    <w:rsid w:val="00D31D5A"/>
    <w:rsid w:val="00D326C5"/>
    <w:rsid w:val="00D32B2D"/>
    <w:rsid w:val="00D33F06"/>
    <w:rsid w:val="00D34C56"/>
    <w:rsid w:val="00D34DB4"/>
    <w:rsid w:val="00D35402"/>
    <w:rsid w:val="00D363FA"/>
    <w:rsid w:val="00D36543"/>
    <w:rsid w:val="00D3690D"/>
    <w:rsid w:val="00D40BC7"/>
    <w:rsid w:val="00D40FFF"/>
    <w:rsid w:val="00D41201"/>
    <w:rsid w:val="00D41BAF"/>
    <w:rsid w:val="00D422F2"/>
    <w:rsid w:val="00D4256E"/>
    <w:rsid w:val="00D43D1A"/>
    <w:rsid w:val="00D43F2C"/>
    <w:rsid w:val="00D44BF5"/>
    <w:rsid w:val="00D44D31"/>
    <w:rsid w:val="00D45640"/>
    <w:rsid w:val="00D4665A"/>
    <w:rsid w:val="00D4680C"/>
    <w:rsid w:val="00D47068"/>
    <w:rsid w:val="00D475F8"/>
    <w:rsid w:val="00D50826"/>
    <w:rsid w:val="00D51E42"/>
    <w:rsid w:val="00D51F28"/>
    <w:rsid w:val="00D53E5C"/>
    <w:rsid w:val="00D5627D"/>
    <w:rsid w:val="00D57CD1"/>
    <w:rsid w:val="00D57E24"/>
    <w:rsid w:val="00D603A4"/>
    <w:rsid w:val="00D6069E"/>
    <w:rsid w:val="00D6090C"/>
    <w:rsid w:val="00D60BAD"/>
    <w:rsid w:val="00D612C7"/>
    <w:rsid w:val="00D6148E"/>
    <w:rsid w:val="00D62806"/>
    <w:rsid w:val="00D6284C"/>
    <w:rsid w:val="00D63C3A"/>
    <w:rsid w:val="00D63D9C"/>
    <w:rsid w:val="00D641DF"/>
    <w:rsid w:val="00D642B8"/>
    <w:rsid w:val="00D65182"/>
    <w:rsid w:val="00D65609"/>
    <w:rsid w:val="00D65E93"/>
    <w:rsid w:val="00D66373"/>
    <w:rsid w:val="00D727C3"/>
    <w:rsid w:val="00D7527B"/>
    <w:rsid w:val="00D75733"/>
    <w:rsid w:val="00D75FD4"/>
    <w:rsid w:val="00D76892"/>
    <w:rsid w:val="00D806CB"/>
    <w:rsid w:val="00D80BF4"/>
    <w:rsid w:val="00D80D50"/>
    <w:rsid w:val="00D81C1A"/>
    <w:rsid w:val="00D827DC"/>
    <w:rsid w:val="00D84C9A"/>
    <w:rsid w:val="00D85223"/>
    <w:rsid w:val="00D85FB7"/>
    <w:rsid w:val="00D86676"/>
    <w:rsid w:val="00D86791"/>
    <w:rsid w:val="00D8723F"/>
    <w:rsid w:val="00D90C41"/>
    <w:rsid w:val="00D91435"/>
    <w:rsid w:val="00D91955"/>
    <w:rsid w:val="00D91B69"/>
    <w:rsid w:val="00D91D37"/>
    <w:rsid w:val="00D93183"/>
    <w:rsid w:val="00D94709"/>
    <w:rsid w:val="00D9480E"/>
    <w:rsid w:val="00DA05CD"/>
    <w:rsid w:val="00DA0C88"/>
    <w:rsid w:val="00DA23A4"/>
    <w:rsid w:val="00DA267B"/>
    <w:rsid w:val="00DA470A"/>
    <w:rsid w:val="00DA4778"/>
    <w:rsid w:val="00DA561E"/>
    <w:rsid w:val="00DA6470"/>
    <w:rsid w:val="00DA696E"/>
    <w:rsid w:val="00DA781B"/>
    <w:rsid w:val="00DA792F"/>
    <w:rsid w:val="00DB0442"/>
    <w:rsid w:val="00DB1F38"/>
    <w:rsid w:val="00DB23EE"/>
    <w:rsid w:val="00DB3221"/>
    <w:rsid w:val="00DB3C16"/>
    <w:rsid w:val="00DB4017"/>
    <w:rsid w:val="00DB4E8D"/>
    <w:rsid w:val="00DC11E0"/>
    <w:rsid w:val="00DC16B0"/>
    <w:rsid w:val="00DC2AEA"/>
    <w:rsid w:val="00DC3DCA"/>
    <w:rsid w:val="00DC3F83"/>
    <w:rsid w:val="00DC43D9"/>
    <w:rsid w:val="00DC49FF"/>
    <w:rsid w:val="00DC5128"/>
    <w:rsid w:val="00DC5A94"/>
    <w:rsid w:val="00DC6027"/>
    <w:rsid w:val="00DC65C9"/>
    <w:rsid w:val="00DC67C5"/>
    <w:rsid w:val="00DD03F4"/>
    <w:rsid w:val="00DD065A"/>
    <w:rsid w:val="00DD1614"/>
    <w:rsid w:val="00DD32FC"/>
    <w:rsid w:val="00DD56AD"/>
    <w:rsid w:val="00DD57C8"/>
    <w:rsid w:val="00DD5C05"/>
    <w:rsid w:val="00DD6443"/>
    <w:rsid w:val="00DD6CD4"/>
    <w:rsid w:val="00DD7F64"/>
    <w:rsid w:val="00DE0281"/>
    <w:rsid w:val="00DE08CB"/>
    <w:rsid w:val="00DE22A2"/>
    <w:rsid w:val="00DE32C3"/>
    <w:rsid w:val="00DE37AC"/>
    <w:rsid w:val="00DE5498"/>
    <w:rsid w:val="00DE564E"/>
    <w:rsid w:val="00DE637C"/>
    <w:rsid w:val="00DE6FA6"/>
    <w:rsid w:val="00DE7B12"/>
    <w:rsid w:val="00DE7BBA"/>
    <w:rsid w:val="00DF073C"/>
    <w:rsid w:val="00DF0CCB"/>
    <w:rsid w:val="00DF3FF5"/>
    <w:rsid w:val="00DF46B3"/>
    <w:rsid w:val="00DF47B5"/>
    <w:rsid w:val="00DF5A88"/>
    <w:rsid w:val="00DF5AC7"/>
    <w:rsid w:val="00DF6139"/>
    <w:rsid w:val="00DF7E58"/>
    <w:rsid w:val="00E014BF"/>
    <w:rsid w:val="00E0403B"/>
    <w:rsid w:val="00E0430B"/>
    <w:rsid w:val="00E06FDC"/>
    <w:rsid w:val="00E07C13"/>
    <w:rsid w:val="00E105BB"/>
    <w:rsid w:val="00E108D1"/>
    <w:rsid w:val="00E11433"/>
    <w:rsid w:val="00E12819"/>
    <w:rsid w:val="00E12D86"/>
    <w:rsid w:val="00E14D9C"/>
    <w:rsid w:val="00E150A9"/>
    <w:rsid w:val="00E154E2"/>
    <w:rsid w:val="00E154F3"/>
    <w:rsid w:val="00E15883"/>
    <w:rsid w:val="00E15F2A"/>
    <w:rsid w:val="00E16718"/>
    <w:rsid w:val="00E17D78"/>
    <w:rsid w:val="00E2031A"/>
    <w:rsid w:val="00E217DD"/>
    <w:rsid w:val="00E22C83"/>
    <w:rsid w:val="00E2320B"/>
    <w:rsid w:val="00E24A1D"/>
    <w:rsid w:val="00E253B7"/>
    <w:rsid w:val="00E25D19"/>
    <w:rsid w:val="00E26407"/>
    <w:rsid w:val="00E26EBC"/>
    <w:rsid w:val="00E2791A"/>
    <w:rsid w:val="00E3013B"/>
    <w:rsid w:val="00E301C1"/>
    <w:rsid w:val="00E30FEA"/>
    <w:rsid w:val="00E32F2C"/>
    <w:rsid w:val="00E3338B"/>
    <w:rsid w:val="00E3600A"/>
    <w:rsid w:val="00E3634B"/>
    <w:rsid w:val="00E405AB"/>
    <w:rsid w:val="00E40747"/>
    <w:rsid w:val="00E41694"/>
    <w:rsid w:val="00E42007"/>
    <w:rsid w:val="00E42D80"/>
    <w:rsid w:val="00E43C5C"/>
    <w:rsid w:val="00E43EEC"/>
    <w:rsid w:val="00E4659B"/>
    <w:rsid w:val="00E47103"/>
    <w:rsid w:val="00E47506"/>
    <w:rsid w:val="00E475AB"/>
    <w:rsid w:val="00E47982"/>
    <w:rsid w:val="00E50890"/>
    <w:rsid w:val="00E50DE1"/>
    <w:rsid w:val="00E51AB0"/>
    <w:rsid w:val="00E52037"/>
    <w:rsid w:val="00E52530"/>
    <w:rsid w:val="00E5254D"/>
    <w:rsid w:val="00E54F5C"/>
    <w:rsid w:val="00E55728"/>
    <w:rsid w:val="00E561EB"/>
    <w:rsid w:val="00E56532"/>
    <w:rsid w:val="00E56EAD"/>
    <w:rsid w:val="00E56F16"/>
    <w:rsid w:val="00E57C36"/>
    <w:rsid w:val="00E60059"/>
    <w:rsid w:val="00E60C54"/>
    <w:rsid w:val="00E61542"/>
    <w:rsid w:val="00E61832"/>
    <w:rsid w:val="00E61860"/>
    <w:rsid w:val="00E61B9F"/>
    <w:rsid w:val="00E63319"/>
    <w:rsid w:val="00E63847"/>
    <w:rsid w:val="00E649E5"/>
    <w:rsid w:val="00E64E6D"/>
    <w:rsid w:val="00E64EE5"/>
    <w:rsid w:val="00E66B92"/>
    <w:rsid w:val="00E7212F"/>
    <w:rsid w:val="00E727E2"/>
    <w:rsid w:val="00E729FB"/>
    <w:rsid w:val="00E7304B"/>
    <w:rsid w:val="00E739CE"/>
    <w:rsid w:val="00E743D8"/>
    <w:rsid w:val="00E748F7"/>
    <w:rsid w:val="00E74950"/>
    <w:rsid w:val="00E751E1"/>
    <w:rsid w:val="00E7528C"/>
    <w:rsid w:val="00E75AA2"/>
    <w:rsid w:val="00E75CF6"/>
    <w:rsid w:val="00E77ED4"/>
    <w:rsid w:val="00E80439"/>
    <w:rsid w:val="00E8089B"/>
    <w:rsid w:val="00E81C75"/>
    <w:rsid w:val="00E827B1"/>
    <w:rsid w:val="00E82AAE"/>
    <w:rsid w:val="00E82B66"/>
    <w:rsid w:val="00E82FF7"/>
    <w:rsid w:val="00E844BB"/>
    <w:rsid w:val="00E84939"/>
    <w:rsid w:val="00E852ED"/>
    <w:rsid w:val="00E879D8"/>
    <w:rsid w:val="00E87E1E"/>
    <w:rsid w:val="00E900D2"/>
    <w:rsid w:val="00E905F3"/>
    <w:rsid w:val="00E906B9"/>
    <w:rsid w:val="00E90898"/>
    <w:rsid w:val="00E918EE"/>
    <w:rsid w:val="00E91D30"/>
    <w:rsid w:val="00E9265B"/>
    <w:rsid w:val="00E92D81"/>
    <w:rsid w:val="00E92F46"/>
    <w:rsid w:val="00E92F5B"/>
    <w:rsid w:val="00E92F7E"/>
    <w:rsid w:val="00E94E5E"/>
    <w:rsid w:val="00E955CA"/>
    <w:rsid w:val="00E9587D"/>
    <w:rsid w:val="00E96CC2"/>
    <w:rsid w:val="00E96E65"/>
    <w:rsid w:val="00E96F31"/>
    <w:rsid w:val="00E971E8"/>
    <w:rsid w:val="00E974D7"/>
    <w:rsid w:val="00EA0A48"/>
    <w:rsid w:val="00EA0CBE"/>
    <w:rsid w:val="00EA0E69"/>
    <w:rsid w:val="00EA1324"/>
    <w:rsid w:val="00EA1EF7"/>
    <w:rsid w:val="00EA5B79"/>
    <w:rsid w:val="00EA6A94"/>
    <w:rsid w:val="00EB0DD7"/>
    <w:rsid w:val="00EB1527"/>
    <w:rsid w:val="00EB323C"/>
    <w:rsid w:val="00EB33F2"/>
    <w:rsid w:val="00EB38E5"/>
    <w:rsid w:val="00EB4DDC"/>
    <w:rsid w:val="00EB57C5"/>
    <w:rsid w:val="00EB5E9B"/>
    <w:rsid w:val="00EB7CBA"/>
    <w:rsid w:val="00EC0170"/>
    <w:rsid w:val="00EC412D"/>
    <w:rsid w:val="00EC4597"/>
    <w:rsid w:val="00EC476C"/>
    <w:rsid w:val="00EC49AB"/>
    <w:rsid w:val="00EC6365"/>
    <w:rsid w:val="00EC64BA"/>
    <w:rsid w:val="00EC7850"/>
    <w:rsid w:val="00EC78CC"/>
    <w:rsid w:val="00EC7AE7"/>
    <w:rsid w:val="00ED05FF"/>
    <w:rsid w:val="00ED258A"/>
    <w:rsid w:val="00ED26D5"/>
    <w:rsid w:val="00ED2AD9"/>
    <w:rsid w:val="00ED3167"/>
    <w:rsid w:val="00ED3647"/>
    <w:rsid w:val="00ED59CB"/>
    <w:rsid w:val="00ED6C02"/>
    <w:rsid w:val="00ED6D0F"/>
    <w:rsid w:val="00EE04DB"/>
    <w:rsid w:val="00EE059C"/>
    <w:rsid w:val="00EE13AF"/>
    <w:rsid w:val="00EE256C"/>
    <w:rsid w:val="00EE2B33"/>
    <w:rsid w:val="00EE41FC"/>
    <w:rsid w:val="00EE4615"/>
    <w:rsid w:val="00EE58E2"/>
    <w:rsid w:val="00EE5EC4"/>
    <w:rsid w:val="00EE70B4"/>
    <w:rsid w:val="00EE7437"/>
    <w:rsid w:val="00EF0FEC"/>
    <w:rsid w:val="00EF1386"/>
    <w:rsid w:val="00EF2004"/>
    <w:rsid w:val="00EF209A"/>
    <w:rsid w:val="00EF258C"/>
    <w:rsid w:val="00EF25F6"/>
    <w:rsid w:val="00EF26F9"/>
    <w:rsid w:val="00EF3191"/>
    <w:rsid w:val="00EF328E"/>
    <w:rsid w:val="00EF3DE4"/>
    <w:rsid w:val="00EF3E6E"/>
    <w:rsid w:val="00EF3FE6"/>
    <w:rsid w:val="00EF4664"/>
    <w:rsid w:val="00EF4BCC"/>
    <w:rsid w:val="00EF4E24"/>
    <w:rsid w:val="00EF57B0"/>
    <w:rsid w:val="00EF5DBF"/>
    <w:rsid w:val="00EF684A"/>
    <w:rsid w:val="00EF68CE"/>
    <w:rsid w:val="00EF725E"/>
    <w:rsid w:val="00EF73AC"/>
    <w:rsid w:val="00EF7D4F"/>
    <w:rsid w:val="00EF7D97"/>
    <w:rsid w:val="00F01B2C"/>
    <w:rsid w:val="00F01D6B"/>
    <w:rsid w:val="00F03893"/>
    <w:rsid w:val="00F03FAC"/>
    <w:rsid w:val="00F041C9"/>
    <w:rsid w:val="00F0463C"/>
    <w:rsid w:val="00F06682"/>
    <w:rsid w:val="00F06DAA"/>
    <w:rsid w:val="00F06F62"/>
    <w:rsid w:val="00F1088C"/>
    <w:rsid w:val="00F11E10"/>
    <w:rsid w:val="00F1282A"/>
    <w:rsid w:val="00F12F21"/>
    <w:rsid w:val="00F13921"/>
    <w:rsid w:val="00F148BE"/>
    <w:rsid w:val="00F14AFC"/>
    <w:rsid w:val="00F1578C"/>
    <w:rsid w:val="00F16D8E"/>
    <w:rsid w:val="00F16F33"/>
    <w:rsid w:val="00F2040F"/>
    <w:rsid w:val="00F20DDC"/>
    <w:rsid w:val="00F211A8"/>
    <w:rsid w:val="00F2387D"/>
    <w:rsid w:val="00F23A13"/>
    <w:rsid w:val="00F255BE"/>
    <w:rsid w:val="00F26199"/>
    <w:rsid w:val="00F26ED1"/>
    <w:rsid w:val="00F30796"/>
    <w:rsid w:val="00F31183"/>
    <w:rsid w:val="00F319AF"/>
    <w:rsid w:val="00F333EB"/>
    <w:rsid w:val="00F358A9"/>
    <w:rsid w:val="00F35A8B"/>
    <w:rsid w:val="00F36159"/>
    <w:rsid w:val="00F36898"/>
    <w:rsid w:val="00F417EB"/>
    <w:rsid w:val="00F41EB5"/>
    <w:rsid w:val="00F42C5B"/>
    <w:rsid w:val="00F43484"/>
    <w:rsid w:val="00F434D0"/>
    <w:rsid w:val="00F449D3"/>
    <w:rsid w:val="00F44ADB"/>
    <w:rsid w:val="00F45D12"/>
    <w:rsid w:val="00F460A3"/>
    <w:rsid w:val="00F50938"/>
    <w:rsid w:val="00F509A3"/>
    <w:rsid w:val="00F510BB"/>
    <w:rsid w:val="00F517E2"/>
    <w:rsid w:val="00F51AF9"/>
    <w:rsid w:val="00F522ED"/>
    <w:rsid w:val="00F53B57"/>
    <w:rsid w:val="00F54B17"/>
    <w:rsid w:val="00F569FE"/>
    <w:rsid w:val="00F57E70"/>
    <w:rsid w:val="00F60981"/>
    <w:rsid w:val="00F60AD1"/>
    <w:rsid w:val="00F60BF7"/>
    <w:rsid w:val="00F6273A"/>
    <w:rsid w:val="00F62A8C"/>
    <w:rsid w:val="00F63556"/>
    <w:rsid w:val="00F64A8C"/>
    <w:rsid w:val="00F66374"/>
    <w:rsid w:val="00F664B7"/>
    <w:rsid w:val="00F679A2"/>
    <w:rsid w:val="00F67B43"/>
    <w:rsid w:val="00F70149"/>
    <w:rsid w:val="00F72355"/>
    <w:rsid w:val="00F723D8"/>
    <w:rsid w:val="00F72B8C"/>
    <w:rsid w:val="00F740C6"/>
    <w:rsid w:val="00F76139"/>
    <w:rsid w:val="00F772B7"/>
    <w:rsid w:val="00F77923"/>
    <w:rsid w:val="00F80148"/>
    <w:rsid w:val="00F8162D"/>
    <w:rsid w:val="00F81929"/>
    <w:rsid w:val="00F81D52"/>
    <w:rsid w:val="00F81E31"/>
    <w:rsid w:val="00F8299D"/>
    <w:rsid w:val="00F8307C"/>
    <w:rsid w:val="00F83318"/>
    <w:rsid w:val="00F83A25"/>
    <w:rsid w:val="00F8502D"/>
    <w:rsid w:val="00F85E96"/>
    <w:rsid w:val="00F86EE6"/>
    <w:rsid w:val="00F873E7"/>
    <w:rsid w:val="00F8746A"/>
    <w:rsid w:val="00F90F17"/>
    <w:rsid w:val="00F91BE8"/>
    <w:rsid w:val="00F91D23"/>
    <w:rsid w:val="00F91D95"/>
    <w:rsid w:val="00F9381F"/>
    <w:rsid w:val="00F9413A"/>
    <w:rsid w:val="00F94171"/>
    <w:rsid w:val="00F947B4"/>
    <w:rsid w:val="00F95FF9"/>
    <w:rsid w:val="00F96681"/>
    <w:rsid w:val="00FA0312"/>
    <w:rsid w:val="00FA03EA"/>
    <w:rsid w:val="00FA05D5"/>
    <w:rsid w:val="00FA0713"/>
    <w:rsid w:val="00FA08B1"/>
    <w:rsid w:val="00FA0914"/>
    <w:rsid w:val="00FA243F"/>
    <w:rsid w:val="00FA5060"/>
    <w:rsid w:val="00FA5259"/>
    <w:rsid w:val="00FA52C5"/>
    <w:rsid w:val="00FA5BA2"/>
    <w:rsid w:val="00FA657F"/>
    <w:rsid w:val="00FA690B"/>
    <w:rsid w:val="00FA6B74"/>
    <w:rsid w:val="00FA7900"/>
    <w:rsid w:val="00FB042A"/>
    <w:rsid w:val="00FB1DD1"/>
    <w:rsid w:val="00FB1E13"/>
    <w:rsid w:val="00FB2075"/>
    <w:rsid w:val="00FB23C1"/>
    <w:rsid w:val="00FB26FB"/>
    <w:rsid w:val="00FB2CDD"/>
    <w:rsid w:val="00FB2DE3"/>
    <w:rsid w:val="00FB38D4"/>
    <w:rsid w:val="00FB495E"/>
    <w:rsid w:val="00FB5627"/>
    <w:rsid w:val="00FB5B72"/>
    <w:rsid w:val="00FB6748"/>
    <w:rsid w:val="00FC09EB"/>
    <w:rsid w:val="00FC3A77"/>
    <w:rsid w:val="00FC4DC6"/>
    <w:rsid w:val="00FC5914"/>
    <w:rsid w:val="00FC77D2"/>
    <w:rsid w:val="00FC77EC"/>
    <w:rsid w:val="00FC7B4A"/>
    <w:rsid w:val="00FC7C8F"/>
    <w:rsid w:val="00FD4E7A"/>
    <w:rsid w:val="00FD585C"/>
    <w:rsid w:val="00FD6611"/>
    <w:rsid w:val="00FD67B7"/>
    <w:rsid w:val="00FD6FF8"/>
    <w:rsid w:val="00FD70FE"/>
    <w:rsid w:val="00FE0044"/>
    <w:rsid w:val="00FE02F3"/>
    <w:rsid w:val="00FE176A"/>
    <w:rsid w:val="00FE2713"/>
    <w:rsid w:val="00FE311D"/>
    <w:rsid w:val="00FE3394"/>
    <w:rsid w:val="00FE37AB"/>
    <w:rsid w:val="00FE620C"/>
    <w:rsid w:val="00FE662D"/>
    <w:rsid w:val="00FE69E4"/>
    <w:rsid w:val="00FE7CA0"/>
    <w:rsid w:val="00FF0F24"/>
    <w:rsid w:val="00FF1281"/>
    <w:rsid w:val="00FF27F1"/>
    <w:rsid w:val="00FF4400"/>
    <w:rsid w:val="00FF53BC"/>
    <w:rsid w:val="00FF6019"/>
    <w:rsid w:val="00FF6670"/>
    <w:rsid w:val="00FF6B40"/>
    <w:rsid w:val="00FF6CCF"/>
    <w:rsid w:val="01423F24"/>
    <w:rsid w:val="019E2562"/>
    <w:rsid w:val="022A3C39"/>
    <w:rsid w:val="02480918"/>
    <w:rsid w:val="029B7152"/>
    <w:rsid w:val="031511C4"/>
    <w:rsid w:val="032041D4"/>
    <w:rsid w:val="0338270A"/>
    <w:rsid w:val="034C72DC"/>
    <w:rsid w:val="03577A2F"/>
    <w:rsid w:val="038B0D51"/>
    <w:rsid w:val="03FE02D5"/>
    <w:rsid w:val="049E6705"/>
    <w:rsid w:val="05305FED"/>
    <w:rsid w:val="05404C1F"/>
    <w:rsid w:val="062C0CFF"/>
    <w:rsid w:val="063D320B"/>
    <w:rsid w:val="06BB2D44"/>
    <w:rsid w:val="06F757B1"/>
    <w:rsid w:val="07B76CEE"/>
    <w:rsid w:val="08200BE4"/>
    <w:rsid w:val="084E1401"/>
    <w:rsid w:val="08656AC2"/>
    <w:rsid w:val="0892246D"/>
    <w:rsid w:val="091F0FEF"/>
    <w:rsid w:val="09640AB2"/>
    <w:rsid w:val="09840F77"/>
    <w:rsid w:val="09AE656F"/>
    <w:rsid w:val="09D973F0"/>
    <w:rsid w:val="09DA6CC4"/>
    <w:rsid w:val="0A73486F"/>
    <w:rsid w:val="0A7D273D"/>
    <w:rsid w:val="0A8A603B"/>
    <w:rsid w:val="0AA03A6A"/>
    <w:rsid w:val="0ABB3588"/>
    <w:rsid w:val="0AD87F91"/>
    <w:rsid w:val="0B0443BA"/>
    <w:rsid w:val="0B071D3B"/>
    <w:rsid w:val="0B2D2C2E"/>
    <w:rsid w:val="0B4B60CB"/>
    <w:rsid w:val="0B5F27A5"/>
    <w:rsid w:val="0B993FD3"/>
    <w:rsid w:val="0BED0F30"/>
    <w:rsid w:val="0C131C14"/>
    <w:rsid w:val="0C1F4E62"/>
    <w:rsid w:val="0C262CD9"/>
    <w:rsid w:val="0C40696E"/>
    <w:rsid w:val="0C6D3E1F"/>
    <w:rsid w:val="0C85407A"/>
    <w:rsid w:val="0C9B7385"/>
    <w:rsid w:val="0CBF68D5"/>
    <w:rsid w:val="0CDE1BDA"/>
    <w:rsid w:val="0CF34325"/>
    <w:rsid w:val="0D2C7836"/>
    <w:rsid w:val="0DA62980"/>
    <w:rsid w:val="0DB22432"/>
    <w:rsid w:val="0DF11743"/>
    <w:rsid w:val="0E1F4A06"/>
    <w:rsid w:val="0E4B481D"/>
    <w:rsid w:val="0E576B35"/>
    <w:rsid w:val="0E5A7AD5"/>
    <w:rsid w:val="0E782A9C"/>
    <w:rsid w:val="0E8200DB"/>
    <w:rsid w:val="0E8A2544"/>
    <w:rsid w:val="0E96765D"/>
    <w:rsid w:val="0ECD6DF7"/>
    <w:rsid w:val="0F05156F"/>
    <w:rsid w:val="0F32314F"/>
    <w:rsid w:val="0F48567B"/>
    <w:rsid w:val="0F7F92BD"/>
    <w:rsid w:val="0F832B02"/>
    <w:rsid w:val="0FA933C0"/>
    <w:rsid w:val="0FB14E4E"/>
    <w:rsid w:val="0FDB6B6B"/>
    <w:rsid w:val="0FEE34C9"/>
    <w:rsid w:val="10205FE2"/>
    <w:rsid w:val="10555B1F"/>
    <w:rsid w:val="1058514D"/>
    <w:rsid w:val="108F2D32"/>
    <w:rsid w:val="10967641"/>
    <w:rsid w:val="10D97CD5"/>
    <w:rsid w:val="113E4E57"/>
    <w:rsid w:val="116D727C"/>
    <w:rsid w:val="119831AD"/>
    <w:rsid w:val="11BA3E16"/>
    <w:rsid w:val="11E942CE"/>
    <w:rsid w:val="12456761"/>
    <w:rsid w:val="130F5C30"/>
    <w:rsid w:val="132A1569"/>
    <w:rsid w:val="1363594E"/>
    <w:rsid w:val="13944D9C"/>
    <w:rsid w:val="13AB10EA"/>
    <w:rsid w:val="140825FF"/>
    <w:rsid w:val="14F37AF1"/>
    <w:rsid w:val="15241AE8"/>
    <w:rsid w:val="152F4368"/>
    <w:rsid w:val="15554DD2"/>
    <w:rsid w:val="160406AF"/>
    <w:rsid w:val="163360DA"/>
    <w:rsid w:val="164D6D43"/>
    <w:rsid w:val="16A570D6"/>
    <w:rsid w:val="16BF7EE0"/>
    <w:rsid w:val="175139CA"/>
    <w:rsid w:val="1881312C"/>
    <w:rsid w:val="18F558C8"/>
    <w:rsid w:val="194311B9"/>
    <w:rsid w:val="1969544D"/>
    <w:rsid w:val="1A3B37AF"/>
    <w:rsid w:val="1AA417D5"/>
    <w:rsid w:val="1AAC0209"/>
    <w:rsid w:val="1B080547"/>
    <w:rsid w:val="1B852F33"/>
    <w:rsid w:val="1BAA14CE"/>
    <w:rsid w:val="1BB13D28"/>
    <w:rsid w:val="1BE43750"/>
    <w:rsid w:val="1BE91714"/>
    <w:rsid w:val="1C4D6952"/>
    <w:rsid w:val="1C845D74"/>
    <w:rsid w:val="1CD32226"/>
    <w:rsid w:val="1DA12CC0"/>
    <w:rsid w:val="1E2101A2"/>
    <w:rsid w:val="1E2D25C7"/>
    <w:rsid w:val="1E3429EF"/>
    <w:rsid w:val="1E380731"/>
    <w:rsid w:val="1E391DB3"/>
    <w:rsid w:val="1E8C1D73"/>
    <w:rsid w:val="1EAC0561"/>
    <w:rsid w:val="1EEB7551"/>
    <w:rsid w:val="1EF81E7B"/>
    <w:rsid w:val="1F0E35AF"/>
    <w:rsid w:val="1F4B4B4A"/>
    <w:rsid w:val="1F9E7C38"/>
    <w:rsid w:val="20404352"/>
    <w:rsid w:val="20645F10"/>
    <w:rsid w:val="20783D10"/>
    <w:rsid w:val="208647C4"/>
    <w:rsid w:val="20967991"/>
    <w:rsid w:val="20A0436C"/>
    <w:rsid w:val="20F326ED"/>
    <w:rsid w:val="21050673"/>
    <w:rsid w:val="21867A05"/>
    <w:rsid w:val="21A854BA"/>
    <w:rsid w:val="21E1315C"/>
    <w:rsid w:val="22364428"/>
    <w:rsid w:val="229D28A6"/>
    <w:rsid w:val="230D78CB"/>
    <w:rsid w:val="23580F2E"/>
    <w:rsid w:val="23B76B1D"/>
    <w:rsid w:val="247B3116"/>
    <w:rsid w:val="24A01F65"/>
    <w:rsid w:val="24C148B0"/>
    <w:rsid w:val="24F5112A"/>
    <w:rsid w:val="25253606"/>
    <w:rsid w:val="254C1A0E"/>
    <w:rsid w:val="25783B09"/>
    <w:rsid w:val="25790BF4"/>
    <w:rsid w:val="258A47D0"/>
    <w:rsid w:val="259A2368"/>
    <w:rsid w:val="25EC31C1"/>
    <w:rsid w:val="25EE2A67"/>
    <w:rsid w:val="25F20D4B"/>
    <w:rsid w:val="264E57A8"/>
    <w:rsid w:val="26797B39"/>
    <w:rsid w:val="26926505"/>
    <w:rsid w:val="26A1499A"/>
    <w:rsid w:val="26DF76B4"/>
    <w:rsid w:val="27AE3812"/>
    <w:rsid w:val="27C63316"/>
    <w:rsid w:val="27E50D7B"/>
    <w:rsid w:val="27F41637"/>
    <w:rsid w:val="284035F2"/>
    <w:rsid w:val="284743D1"/>
    <w:rsid w:val="285B33DC"/>
    <w:rsid w:val="28795BCE"/>
    <w:rsid w:val="2888032F"/>
    <w:rsid w:val="28F17E5A"/>
    <w:rsid w:val="28F726DE"/>
    <w:rsid w:val="295B38FC"/>
    <w:rsid w:val="296F6E5A"/>
    <w:rsid w:val="2A101F25"/>
    <w:rsid w:val="2A78703F"/>
    <w:rsid w:val="2A8F0497"/>
    <w:rsid w:val="2AAD6003"/>
    <w:rsid w:val="2AD31BAE"/>
    <w:rsid w:val="2B1D7845"/>
    <w:rsid w:val="2B9C5EB8"/>
    <w:rsid w:val="2BBF5E5B"/>
    <w:rsid w:val="2BC03B14"/>
    <w:rsid w:val="2C3012C5"/>
    <w:rsid w:val="2C5D75B5"/>
    <w:rsid w:val="2C8B2374"/>
    <w:rsid w:val="2CB52E46"/>
    <w:rsid w:val="2DAC25A2"/>
    <w:rsid w:val="2DE51610"/>
    <w:rsid w:val="2E440A2C"/>
    <w:rsid w:val="2E5549E7"/>
    <w:rsid w:val="2E651D27"/>
    <w:rsid w:val="2E9A06CF"/>
    <w:rsid w:val="2EAB14BF"/>
    <w:rsid w:val="2EAE6CA3"/>
    <w:rsid w:val="2EB62EE4"/>
    <w:rsid w:val="2EF22236"/>
    <w:rsid w:val="2EFF912B"/>
    <w:rsid w:val="2F081A5A"/>
    <w:rsid w:val="2F37612C"/>
    <w:rsid w:val="2F511653"/>
    <w:rsid w:val="2F7F5230"/>
    <w:rsid w:val="2F9278AF"/>
    <w:rsid w:val="2FFD0E93"/>
    <w:rsid w:val="30226B4B"/>
    <w:rsid w:val="30607673"/>
    <w:rsid w:val="307D059E"/>
    <w:rsid w:val="30B33C47"/>
    <w:rsid w:val="30B907C1"/>
    <w:rsid w:val="325D20BC"/>
    <w:rsid w:val="327078AA"/>
    <w:rsid w:val="328C29A2"/>
    <w:rsid w:val="32F85F09"/>
    <w:rsid w:val="331C123C"/>
    <w:rsid w:val="337771AE"/>
    <w:rsid w:val="34046622"/>
    <w:rsid w:val="342B42AF"/>
    <w:rsid w:val="346239BA"/>
    <w:rsid w:val="34EC7728"/>
    <w:rsid w:val="34F87512"/>
    <w:rsid w:val="3529561E"/>
    <w:rsid w:val="352E7EE0"/>
    <w:rsid w:val="358D786E"/>
    <w:rsid w:val="3627778B"/>
    <w:rsid w:val="373A61E9"/>
    <w:rsid w:val="37804731"/>
    <w:rsid w:val="37A97B52"/>
    <w:rsid w:val="38576C19"/>
    <w:rsid w:val="38657F1D"/>
    <w:rsid w:val="38797123"/>
    <w:rsid w:val="387B67A4"/>
    <w:rsid w:val="392E0742"/>
    <w:rsid w:val="395E0C52"/>
    <w:rsid w:val="39634A1F"/>
    <w:rsid w:val="39700927"/>
    <w:rsid w:val="398E6FFF"/>
    <w:rsid w:val="39F11435"/>
    <w:rsid w:val="3A4A73CA"/>
    <w:rsid w:val="3A4C1021"/>
    <w:rsid w:val="3A995C5C"/>
    <w:rsid w:val="3B180BF2"/>
    <w:rsid w:val="3BA40D5C"/>
    <w:rsid w:val="3BD85E52"/>
    <w:rsid w:val="3BD97E5E"/>
    <w:rsid w:val="3C2D0D52"/>
    <w:rsid w:val="3D677DF3"/>
    <w:rsid w:val="3E2D1BCB"/>
    <w:rsid w:val="3E927592"/>
    <w:rsid w:val="3F185CE9"/>
    <w:rsid w:val="3F6040D9"/>
    <w:rsid w:val="3F8153D0"/>
    <w:rsid w:val="3FFDA2AA"/>
    <w:rsid w:val="400F7AFB"/>
    <w:rsid w:val="40876E36"/>
    <w:rsid w:val="40BC6B48"/>
    <w:rsid w:val="40C1415E"/>
    <w:rsid w:val="40EE6CB6"/>
    <w:rsid w:val="41395F26"/>
    <w:rsid w:val="41744D2D"/>
    <w:rsid w:val="41894C7C"/>
    <w:rsid w:val="41950615"/>
    <w:rsid w:val="41A26B32"/>
    <w:rsid w:val="41B34780"/>
    <w:rsid w:val="421B6C44"/>
    <w:rsid w:val="42246753"/>
    <w:rsid w:val="423A5DB0"/>
    <w:rsid w:val="42471356"/>
    <w:rsid w:val="42F56CF9"/>
    <w:rsid w:val="42F936C4"/>
    <w:rsid w:val="4300698E"/>
    <w:rsid w:val="436B215F"/>
    <w:rsid w:val="439B0C97"/>
    <w:rsid w:val="43C21F29"/>
    <w:rsid w:val="4414531D"/>
    <w:rsid w:val="441C6831"/>
    <w:rsid w:val="446D2137"/>
    <w:rsid w:val="44947ABC"/>
    <w:rsid w:val="44A14782"/>
    <w:rsid w:val="44DC50C3"/>
    <w:rsid w:val="44EB79FC"/>
    <w:rsid w:val="453835FD"/>
    <w:rsid w:val="45B16B27"/>
    <w:rsid w:val="460E36A4"/>
    <w:rsid w:val="46235872"/>
    <w:rsid w:val="467F03FC"/>
    <w:rsid w:val="46935C55"/>
    <w:rsid w:val="46C25B2A"/>
    <w:rsid w:val="46C606E7"/>
    <w:rsid w:val="47067FDA"/>
    <w:rsid w:val="47131106"/>
    <w:rsid w:val="47E32C0C"/>
    <w:rsid w:val="480768FB"/>
    <w:rsid w:val="482A1C45"/>
    <w:rsid w:val="486C23C5"/>
    <w:rsid w:val="492557CF"/>
    <w:rsid w:val="4954230A"/>
    <w:rsid w:val="49971F00"/>
    <w:rsid w:val="49DE62AE"/>
    <w:rsid w:val="4A9B3DB7"/>
    <w:rsid w:val="4AF71B1E"/>
    <w:rsid w:val="4AF91561"/>
    <w:rsid w:val="4B5005B9"/>
    <w:rsid w:val="4BAB1C93"/>
    <w:rsid w:val="4BB40B47"/>
    <w:rsid w:val="4BF922B4"/>
    <w:rsid w:val="4C2C7C0F"/>
    <w:rsid w:val="4C3D3595"/>
    <w:rsid w:val="4C3F024B"/>
    <w:rsid w:val="4C8A7AFA"/>
    <w:rsid w:val="4CBF55DE"/>
    <w:rsid w:val="4CF06FA9"/>
    <w:rsid w:val="4D743CC1"/>
    <w:rsid w:val="4DA3023B"/>
    <w:rsid w:val="4DB017E2"/>
    <w:rsid w:val="4DFC265C"/>
    <w:rsid w:val="4E110A3D"/>
    <w:rsid w:val="4E231FB4"/>
    <w:rsid w:val="4E320449"/>
    <w:rsid w:val="4EEE14ED"/>
    <w:rsid w:val="4F0771E0"/>
    <w:rsid w:val="4F12091A"/>
    <w:rsid w:val="4F141126"/>
    <w:rsid w:val="4FB21842"/>
    <w:rsid w:val="4FBE4E47"/>
    <w:rsid w:val="50625EE2"/>
    <w:rsid w:val="50634294"/>
    <w:rsid w:val="506C6001"/>
    <w:rsid w:val="508B7A56"/>
    <w:rsid w:val="50BD39FE"/>
    <w:rsid w:val="50CF76DB"/>
    <w:rsid w:val="514A5AAA"/>
    <w:rsid w:val="5189520E"/>
    <w:rsid w:val="527E4F21"/>
    <w:rsid w:val="52AD3DFE"/>
    <w:rsid w:val="531F7C3E"/>
    <w:rsid w:val="542D593B"/>
    <w:rsid w:val="547678B9"/>
    <w:rsid w:val="5492579E"/>
    <w:rsid w:val="54A8488A"/>
    <w:rsid w:val="54B03E76"/>
    <w:rsid w:val="54C87412"/>
    <w:rsid w:val="54CF4984"/>
    <w:rsid w:val="550714AC"/>
    <w:rsid w:val="551B1C37"/>
    <w:rsid w:val="55A25DBA"/>
    <w:rsid w:val="55C022BA"/>
    <w:rsid w:val="55DF2139"/>
    <w:rsid w:val="56242D6E"/>
    <w:rsid w:val="56411F70"/>
    <w:rsid w:val="5646623C"/>
    <w:rsid w:val="565A1477"/>
    <w:rsid w:val="56B24CB9"/>
    <w:rsid w:val="56C8194B"/>
    <w:rsid w:val="571D34E2"/>
    <w:rsid w:val="57234DD3"/>
    <w:rsid w:val="57333F5C"/>
    <w:rsid w:val="573E3E22"/>
    <w:rsid w:val="57790E97"/>
    <w:rsid w:val="579D4B86"/>
    <w:rsid w:val="57AB2443"/>
    <w:rsid w:val="57BE1D6E"/>
    <w:rsid w:val="58006EC2"/>
    <w:rsid w:val="580B03C5"/>
    <w:rsid w:val="58947F84"/>
    <w:rsid w:val="58984AC0"/>
    <w:rsid w:val="58C249DB"/>
    <w:rsid w:val="58DA3BB7"/>
    <w:rsid w:val="59787591"/>
    <w:rsid w:val="599947AE"/>
    <w:rsid w:val="599A1269"/>
    <w:rsid w:val="59C56616"/>
    <w:rsid w:val="5A2D6323"/>
    <w:rsid w:val="5A5D684E"/>
    <w:rsid w:val="5A9E51C3"/>
    <w:rsid w:val="5AD50873"/>
    <w:rsid w:val="5B9444F1"/>
    <w:rsid w:val="5BDC684B"/>
    <w:rsid w:val="5BE53BBA"/>
    <w:rsid w:val="5C2E2250"/>
    <w:rsid w:val="5C447CC6"/>
    <w:rsid w:val="5C910A31"/>
    <w:rsid w:val="5C9C18B0"/>
    <w:rsid w:val="5CA74B55"/>
    <w:rsid w:val="5CBD6FBC"/>
    <w:rsid w:val="5CE46DB3"/>
    <w:rsid w:val="5CFD21A5"/>
    <w:rsid w:val="5D0C53C8"/>
    <w:rsid w:val="5D2D2508"/>
    <w:rsid w:val="5DCA244C"/>
    <w:rsid w:val="5E0E058B"/>
    <w:rsid w:val="5E227B93"/>
    <w:rsid w:val="5E2B7497"/>
    <w:rsid w:val="5E4D0214"/>
    <w:rsid w:val="5F076D88"/>
    <w:rsid w:val="5F4068D7"/>
    <w:rsid w:val="5F571ABE"/>
    <w:rsid w:val="5F6366B5"/>
    <w:rsid w:val="5F915269"/>
    <w:rsid w:val="5FA05DF2"/>
    <w:rsid w:val="5FAF36A8"/>
    <w:rsid w:val="5FC902C0"/>
    <w:rsid w:val="5FE23241"/>
    <w:rsid w:val="5FF5405C"/>
    <w:rsid w:val="61457497"/>
    <w:rsid w:val="621F43E9"/>
    <w:rsid w:val="62543216"/>
    <w:rsid w:val="62796565"/>
    <w:rsid w:val="62A00579"/>
    <w:rsid w:val="62D653F0"/>
    <w:rsid w:val="62FC74AA"/>
    <w:rsid w:val="62FE5D89"/>
    <w:rsid w:val="635C0004"/>
    <w:rsid w:val="635C1B0B"/>
    <w:rsid w:val="63B845BD"/>
    <w:rsid w:val="63BE65AF"/>
    <w:rsid w:val="63BF2E3F"/>
    <w:rsid w:val="63F42E5D"/>
    <w:rsid w:val="646F55F7"/>
    <w:rsid w:val="649269B2"/>
    <w:rsid w:val="649433CF"/>
    <w:rsid w:val="64AF1B19"/>
    <w:rsid w:val="64CA2D32"/>
    <w:rsid w:val="64DD0CB7"/>
    <w:rsid w:val="64F93617"/>
    <w:rsid w:val="65320F27"/>
    <w:rsid w:val="654E2686"/>
    <w:rsid w:val="654E3963"/>
    <w:rsid w:val="666371EA"/>
    <w:rsid w:val="66FAF452"/>
    <w:rsid w:val="66FF281C"/>
    <w:rsid w:val="677F36F2"/>
    <w:rsid w:val="679A2E90"/>
    <w:rsid w:val="67A30B96"/>
    <w:rsid w:val="67C577E1"/>
    <w:rsid w:val="67D30150"/>
    <w:rsid w:val="67D6379C"/>
    <w:rsid w:val="67EE4644"/>
    <w:rsid w:val="67F02AB0"/>
    <w:rsid w:val="681A5BDA"/>
    <w:rsid w:val="681D1057"/>
    <w:rsid w:val="6826773F"/>
    <w:rsid w:val="684339C9"/>
    <w:rsid w:val="689F2C79"/>
    <w:rsid w:val="692549DB"/>
    <w:rsid w:val="692F1F37"/>
    <w:rsid w:val="694D0E60"/>
    <w:rsid w:val="697A2F79"/>
    <w:rsid w:val="699F2638"/>
    <w:rsid w:val="6A2B6021"/>
    <w:rsid w:val="6B0B6EAA"/>
    <w:rsid w:val="6B1D7DAD"/>
    <w:rsid w:val="6BAB6D24"/>
    <w:rsid w:val="6BDF70C3"/>
    <w:rsid w:val="6BE24E05"/>
    <w:rsid w:val="6CFA4FE4"/>
    <w:rsid w:val="6D0B366D"/>
    <w:rsid w:val="6D13078A"/>
    <w:rsid w:val="6D142D9C"/>
    <w:rsid w:val="6D15067D"/>
    <w:rsid w:val="6D5835D1"/>
    <w:rsid w:val="6D8048D6"/>
    <w:rsid w:val="6DC05D8D"/>
    <w:rsid w:val="6EC0117B"/>
    <w:rsid w:val="6ECC489D"/>
    <w:rsid w:val="6F0D03EB"/>
    <w:rsid w:val="6F23746D"/>
    <w:rsid w:val="6F675D4D"/>
    <w:rsid w:val="6FFB76E6"/>
    <w:rsid w:val="70053B5D"/>
    <w:rsid w:val="70183345"/>
    <w:rsid w:val="702C19E4"/>
    <w:rsid w:val="70A73F27"/>
    <w:rsid w:val="70C536AB"/>
    <w:rsid w:val="712E54D4"/>
    <w:rsid w:val="716F0EE9"/>
    <w:rsid w:val="71721AF7"/>
    <w:rsid w:val="71A6252C"/>
    <w:rsid w:val="71BB412E"/>
    <w:rsid w:val="722A12B4"/>
    <w:rsid w:val="72B877C5"/>
    <w:rsid w:val="731C6E4F"/>
    <w:rsid w:val="732127F2"/>
    <w:rsid w:val="73893DB8"/>
    <w:rsid w:val="738A200A"/>
    <w:rsid w:val="73BF3F52"/>
    <w:rsid w:val="74116287"/>
    <w:rsid w:val="748F2520"/>
    <w:rsid w:val="74D97CC6"/>
    <w:rsid w:val="75345F3F"/>
    <w:rsid w:val="754B7577"/>
    <w:rsid w:val="754E1438"/>
    <w:rsid w:val="7557416E"/>
    <w:rsid w:val="75E22BDF"/>
    <w:rsid w:val="762304F4"/>
    <w:rsid w:val="76475789"/>
    <w:rsid w:val="76A82934"/>
    <w:rsid w:val="76AE0FA8"/>
    <w:rsid w:val="772722F0"/>
    <w:rsid w:val="7789082B"/>
    <w:rsid w:val="77D2587A"/>
    <w:rsid w:val="77E61B47"/>
    <w:rsid w:val="785E3A65"/>
    <w:rsid w:val="78907B47"/>
    <w:rsid w:val="78EE4DE9"/>
    <w:rsid w:val="790A6167"/>
    <w:rsid w:val="79940054"/>
    <w:rsid w:val="7A0568A1"/>
    <w:rsid w:val="7A4556B0"/>
    <w:rsid w:val="7A5F0939"/>
    <w:rsid w:val="7A6F1F5A"/>
    <w:rsid w:val="7A772BBC"/>
    <w:rsid w:val="7A8877BF"/>
    <w:rsid w:val="7AB160CE"/>
    <w:rsid w:val="7B5F16BB"/>
    <w:rsid w:val="7C074735"/>
    <w:rsid w:val="7C947A56"/>
    <w:rsid w:val="7CBE0F77"/>
    <w:rsid w:val="7D0D6AFC"/>
    <w:rsid w:val="7D252F18"/>
    <w:rsid w:val="7D292894"/>
    <w:rsid w:val="7D44585B"/>
    <w:rsid w:val="7D455A1F"/>
    <w:rsid w:val="7D52472A"/>
    <w:rsid w:val="7D727ED2"/>
    <w:rsid w:val="7D8C697F"/>
    <w:rsid w:val="7DB650C5"/>
    <w:rsid w:val="7DEEFC10"/>
    <w:rsid w:val="7E415835"/>
    <w:rsid w:val="7E7926D8"/>
    <w:rsid w:val="7EC56C8D"/>
    <w:rsid w:val="7ED44D8F"/>
    <w:rsid w:val="7EDF5036"/>
    <w:rsid w:val="7F166E48"/>
    <w:rsid w:val="7F1E7AAB"/>
    <w:rsid w:val="7F2D4191"/>
    <w:rsid w:val="7F5760AF"/>
    <w:rsid w:val="7F6E0A32"/>
    <w:rsid w:val="7F7964CA"/>
    <w:rsid w:val="7F7D689B"/>
    <w:rsid w:val="7F8C0EB8"/>
    <w:rsid w:val="7F9E0253"/>
    <w:rsid w:val="7FAD4C6C"/>
    <w:rsid w:val="7FADCC2E"/>
    <w:rsid w:val="8B46E091"/>
    <w:rsid w:val="9DF61F40"/>
    <w:rsid w:val="9EDE42B3"/>
    <w:rsid w:val="A6BBAC61"/>
    <w:rsid w:val="B3FBB910"/>
    <w:rsid w:val="B8FFA4CA"/>
    <w:rsid w:val="BFDB48CF"/>
    <w:rsid w:val="BFDF3C3E"/>
    <w:rsid w:val="DD7F9527"/>
    <w:rsid w:val="EEFF902E"/>
    <w:rsid w:val="FB6624C7"/>
    <w:rsid w:val="FE3FE800"/>
    <w:rsid w:val="FFFF6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qFormat="1" w:unhideWhenUsed="0"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numPr>
        <w:ilvl w:val="0"/>
        <w:numId w:val="1"/>
      </w:numPr>
      <w:snapToGrid w:val="0"/>
      <w:spacing w:before="312" w:beforeLines="100" w:line="360" w:lineRule="auto"/>
      <w:outlineLvl w:val="0"/>
    </w:pPr>
    <w:rPr>
      <w:b/>
      <w:bCs/>
      <w:kern w:val="44"/>
      <w:sz w:val="24"/>
      <w:szCs w:val="21"/>
    </w:rPr>
  </w:style>
  <w:style w:type="paragraph" w:styleId="3">
    <w:name w:val="heading 2"/>
    <w:basedOn w:val="1"/>
    <w:next w:val="1"/>
    <w:link w:val="180"/>
    <w:qFormat/>
    <w:uiPriority w:val="9"/>
    <w:pPr>
      <w:keepLines/>
      <w:numPr>
        <w:ilvl w:val="1"/>
        <w:numId w:val="1"/>
      </w:numPr>
      <w:adjustRightInd w:val="0"/>
      <w:snapToGrid w:val="0"/>
      <w:spacing w:before="156" w:beforeLines="50" w:line="360" w:lineRule="auto"/>
      <w:outlineLvl w:val="1"/>
    </w:pPr>
    <w:rPr>
      <w:rFonts w:ascii="宋体" w:hAnsi="宋体"/>
      <w:bCs/>
      <w:sz w:val="24"/>
    </w:rPr>
  </w:style>
  <w:style w:type="paragraph" w:styleId="4">
    <w:name w:val="heading 3"/>
    <w:basedOn w:val="1"/>
    <w:next w:val="1"/>
    <w:link w:val="46"/>
    <w:qFormat/>
    <w:uiPriority w:val="9"/>
    <w:pPr>
      <w:numPr>
        <w:ilvl w:val="2"/>
        <w:numId w:val="1"/>
      </w:numPr>
      <w:tabs>
        <w:tab w:val="left" w:pos="1560"/>
      </w:tabs>
      <w:snapToGrid w:val="0"/>
      <w:spacing w:before="156" w:beforeLines="50" w:line="360" w:lineRule="auto"/>
      <w:outlineLvl w:val="2"/>
    </w:pPr>
    <w:rPr>
      <w:rFonts w:ascii="宋体" w:hAnsi="宋体"/>
      <w:bCs/>
      <w:sz w:val="24"/>
    </w:rPr>
  </w:style>
  <w:style w:type="paragraph" w:styleId="5">
    <w:name w:val="heading 4"/>
    <w:basedOn w:val="1"/>
    <w:next w:val="1"/>
    <w:link w:val="47"/>
    <w:qFormat/>
    <w:uiPriority w:val="0"/>
    <w:pPr>
      <w:numPr>
        <w:ilvl w:val="3"/>
        <w:numId w:val="1"/>
      </w:numPr>
      <w:spacing w:line="360" w:lineRule="auto"/>
      <w:outlineLvl w:val="3"/>
    </w:pPr>
    <w:rPr>
      <w:rFonts w:ascii="宋体"/>
      <w:bCs/>
      <w:szCs w:val="21"/>
    </w:rPr>
  </w:style>
  <w:style w:type="paragraph" w:styleId="6">
    <w:name w:val="heading 5"/>
    <w:basedOn w:val="1"/>
    <w:next w:val="1"/>
    <w:link w:val="76"/>
    <w:qFormat/>
    <w:uiPriority w:val="9"/>
    <w:pPr>
      <w:keepNext/>
      <w:keepLines/>
      <w:numPr>
        <w:ilvl w:val="4"/>
        <w:numId w:val="1"/>
      </w:numPr>
      <w:adjustRightInd w:val="0"/>
      <w:spacing w:line="360" w:lineRule="auto"/>
      <w:ind w:right="100" w:rightChars="100"/>
      <w:textAlignment w:val="baseline"/>
      <w:outlineLvl w:val="4"/>
    </w:pPr>
    <w:rPr>
      <w:bCs/>
      <w:kern w:val="0"/>
      <w:szCs w:val="21"/>
    </w:rPr>
  </w:style>
  <w:style w:type="paragraph" w:styleId="7">
    <w:name w:val="heading 6"/>
    <w:basedOn w:val="1"/>
    <w:next w:val="1"/>
    <w:link w:val="49"/>
    <w:qFormat/>
    <w:uiPriority w:val="9"/>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57"/>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51"/>
    <w:qFormat/>
    <w:uiPriority w:val="9"/>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69"/>
    <w:qFormat/>
    <w:uiPriority w:val="9"/>
    <w:pPr>
      <w:keepNext/>
      <w:keepLines/>
      <w:numPr>
        <w:ilvl w:val="8"/>
        <w:numId w:val="1"/>
      </w:numPr>
      <w:spacing w:before="240" w:after="64" w:line="320" w:lineRule="auto"/>
      <w:outlineLvl w:val="8"/>
    </w:pPr>
    <w:rPr>
      <w:rFonts w:ascii="Arial" w:hAnsi="Arial" w:eastAsia="黑体"/>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rFonts w:asciiTheme="minorHAnsi" w:eastAsiaTheme="minorHAnsi"/>
      <w:sz w:val="18"/>
      <w:szCs w:val="18"/>
    </w:rPr>
  </w:style>
  <w:style w:type="paragraph" w:styleId="12">
    <w:name w:val="Normal Indent"/>
    <w:basedOn w:val="1"/>
    <w:link w:val="62"/>
    <w:qFormat/>
    <w:uiPriority w:val="0"/>
    <w:pPr>
      <w:spacing w:line="360" w:lineRule="auto"/>
      <w:ind w:firstLine="420" w:firstLineChars="200"/>
    </w:pPr>
  </w:style>
  <w:style w:type="paragraph" w:styleId="13">
    <w:name w:val="caption"/>
    <w:basedOn w:val="1"/>
    <w:next w:val="1"/>
    <w:qFormat/>
    <w:uiPriority w:val="35"/>
    <w:rPr>
      <w:rFonts w:ascii="Cambria" w:hAnsi="Cambria" w:eastAsia="黑体"/>
      <w:sz w:val="20"/>
      <w:szCs w:val="20"/>
    </w:rPr>
  </w:style>
  <w:style w:type="paragraph" w:styleId="14">
    <w:name w:val="Document Map"/>
    <w:basedOn w:val="1"/>
    <w:link w:val="127"/>
    <w:qFormat/>
    <w:uiPriority w:val="0"/>
    <w:rPr>
      <w:rFonts w:ascii="宋体"/>
      <w:sz w:val="18"/>
      <w:szCs w:val="18"/>
    </w:rPr>
  </w:style>
  <w:style w:type="paragraph" w:styleId="15">
    <w:name w:val="annotation text"/>
    <w:basedOn w:val="1"/>
    <w:link w:val="103"/>
    <w:qFormat/>
    <w:uiPriority w:val="99"/>
    <w:pPr>
      <w:jc w:val="left"/>
    </w:pPr>
  </w:style>
  <w:style w:type="paragraph" w:styleId="16">
    <w:name w:val="Body Text"/>
    <w:basedOn w:val="1"/>
    <w:next w:val="17"/>
    <w:link w:val="67"/>
    <w:qFormat/>
    <w:uiPriority w:val="0"/>
    <w:pPr>
      <w:spacing w:after="120"/>
    </w:pPr>
  </w:style>
  <w:style w:type="paragraph" w:styleId="17">
    <w:name w:val="Title"/>
    <w:basedOn w:val="1"/>
    <w:next w:val="1"/>
    <w:qFormat/>
    <w:uiPriority w:val="0"/>
    <w:pPr>
      <w:spacing w:before="240" w:after="60"/>
      <w:jc w:val="center"/>
      <w:outlineLvl w:val="0"/>
    </w:pPr>
    <w:rPr>
      <w:rFonts w:ascii="Arial" w:hAnsi="Arial" w:cs="Arial"/>
      <w:b/>
      <w:bCs/>
      <w:sz w:val="32"/>
      <w:szCs w:val="32"/>
    </w:rPr>
  </w:style>
  <w:style w:type="paragraph" w:styleId="18">
    <w:name w:val="toc 5"/>
    <w:basedOn w:val="1"/>
    <w:next w:val="1"/>
    <w:unhideWhenUsed/>
    <w:qFormat/>
    <w:uiPriority w:val="39"/>
    <w:pPr>
      <w:ind w:left="840"/>
      <w:jc w:val="left"/>
    </w:pPr>
    <w:rPr>
      <w:rFonts w:asciiTheme="minorHAnsi" w:eastAsiaTheme="minorHAnsi"/>
      <w:sz w:val="18"/>
      <w:szCs w:val="18"/>
    </w:rPr>
  </w:style>
  <w:style w:type="paragraph" w:styleId="19">
    <w:name w:val="toc 3"/>
    <w:basedOn w:val="1"/>
    <w:next w:val="1"/>
    <w:qFormat/>
    <w:uiPriority w:val="39"/>
    <w:pPr>
      <w:ind w:left="420"/>
      <w:jc w:val="left"/>
    </w:pPr>
    <w:rPr>
      <w:rFonts w:asciiTheme="minorHAnsi" w:eastAsiaTheme="minorHAnsi"/>
      <w:i/>
      <w:iCs/>
      <w:sz w:val="20"/>
      <w:szCs w:val="20"/>
    </w:rPr>
  </w:style>
  <w:style w:type="paragraph" w:styleId="20">
    <w:name w:val="Plain Text"/>
    <w:basedOn w:val="1"/>
    <w:link w:val="116"/>
    <w:qFormat/>
    <w:uiPriority w:val="0"/>
    <w:rPr>
      <w:rFonts w:ascii="宋体" w:hAnsi="Courier New"/>
    </w:rPr>
  </w:style>
  <w:style w:type="paragraph" w:styleId="21">
    <w:name w:val="toc 8"/>
    <w:basedOn w:val="1"/>
    <w:next w:val="1"/>
    <w:unhideWhenUsed/>
    <w:qFormat/>
    <w:uiPriority w:val="39"/>
    <w:pPr>
      <w:ind w:left="1470"/>
      <w:jc w:val="left"/>
    </w:pPr>
    <w:rPr>
      <w:rFonts w:asciiTheme="minorHAnsi" w:eastAsiaTheme="minorHAnsi"/>
      <w:sz w:val="18"/>
      <w:szCs w:val="18"/>
    </w:rPr>
  </w:style>
  <w:style w:type="paragraph" w:styleId="22">
    <w:name w:val="Date"/>
    <w:basedOn w:val="1"/>
    <w:next w:val="1"/>
    <w:link w:val="112"/>
    <w:qFormat/>
    <w:uiPriority w:val="0"/>
    <w:pPr>
      <w:ind w:left="100" w:leftChars="2500"/>
    </w:pPr>
  </w:style>
  <w:style w:type="paragraph" w:styleId="23">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24">
    <w:name w:val="Balloon Text"/>
    <w:basedOn w:val="1"/>
    <w:link w:val="110"/>
    <w:semiHidden/>
    <w:qFormat/>
    <w:uiPriority w:val="99"/>
    <w:rPr>
      <w:sz w:val="18"/>
      <w:szCs w:val="18"/>
    </w:rPr>
  </w:style>
  <w:style w:type="paragraph" w:styleId="25">
    <w:name w:val="footer"/>
    <w:basedOn w:val="1"/>
    <w:link w:val="58"/>
    <w:qFormat/>
    <w:uiPriority w:val="99"/>
    <w:pPr>
      <w:tabs>
        <w:tab w:val="center" w:pos="4153"/>
        <w:tab w:val="right" w:pos="8306"/>
      </w:tabs>
      <w:snapToGrid w:val="0"/>
      <w:jc w:val="left"/>
    </w:pPr>
    <w:rPr>
      <w:sz w:val="18"/>
      <w:szCs w:val="18"/>
    </w:rPr>
  </w:style>
  <w:style w:type="paragraph" w:styleId="26">
    <w:name w:val="header"/>
    <w:basedOn w:val="1"/>
    <w:link w:val="50"/>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Theme="minorHAnsi" w:eastAsiaTheme="minorHAnsi"/>
      <w:b/>
      <w:bCs/>
      <w:caps/>
      <w:sz w:val="20"/>
      <w:szCs w:val="20"/>
    </w:rPr>
  </w:style>
  <w:style w:type="paragraph" w:styleId="28">
    <w:name w:val="toc 4"/>
    <w:basedOn w:val="1"/>
    <w:next w:val="1"/>
    <w:qFormat/>
    <w:uiPriority w:val="39"/>
    <w:pPr>
      <w:ind w:left="630"/>
      <w:jc w:val="left"/>
    </w:pPr>
    <w:rPr>
      <w:rFonts w:asciiTheme="minorHAnsi" w:eastAsiaTheme="minorHAnsi"/>
      <w:sz w:val="18"/>
      <w:szCs w:val="18"/>
    </w:rPr>
  </w:style>
  <w:style w:type="paragraph" w:styleId="29">
    <w:name w:val="toc 6"/>
    <w:basedOn w:val="1"/>
    <w:next w:val="1"/>
    <w:unhideWhenUsed/>
    <w:qFormat/>
    <w:uiPriority w:val="39"/>
    <w:pPr>
      <w:ind w:left="1050"/>
      <w:jc w:val="left"/>
    </w:pPr>
    <w:rPr>
      <w:rFonts w:asciiTheme="minorHAnsi" w:eastAsiaTheme="minorHAnsi"/>
      <w:sz w:val="18"/>
      <w:szCs w:val="18"/>
    </w:rPr>
  </w:style>
  <w:style w:type="paragraph" w:styleId="30">
    <w:name w:val="toc 2"/>
    <w:basedOn w:val="1"/>
    <w:next w:val="1"/>
    <w:qFormat/>
    <w:uiPriority w:val="39"/>
    <w:pPr>
      <w:ind w:left="210"/>
      <w:jc w:val="left"/>
    </w:pPr>
    <w:rPr>
      <w:rFonts w:asciiTheme="minorHAnsi" w:eastAsiaTheme="minorHAnsi"/>
      <w:smallCaps/>
      <w:sz w:val="20"/>
      <w:szCs w:val="20"/>
    </w:rPr>
  </w:style>
  <w:style w:type="paragraph" w:styleId="31">
    <w:name w:val="toc 9"/>
    <w:basedOn w:val="1"/>
    <w:next w:val="1"/>
    <w:unhideWhenUsed/>
    <w:qFormat/>
    <w:uiPriority w:val="39"/>
    <w:pPr>
      <w:ind w:left="1680"/>
      <w:jc w:val="left"/>
    </w:pPr>
    <w:rPr>
      <w:rFonts w:asciiTheme="minorHAnsi" w:eastAsiaTheme="minorHAnsi"/>
      <w:sz w:val="18"/>
      <w:szCs w:val="18"/>
    </w:rPr>
  </w:style>
  <w:style w:type="paragraph" w:styleId="32">
    <w:name w:val="Message Header"/>
    <w:basedOn w:val="1"/>
    <w:link w:val="118"/>
    <w:qFormat/>
    <w:uiPriority w:val="0"/>
    <w:pPr>
      <w:widowControl/>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pacing w:val="8"/>
      <w:kern w:val="0"/>
      <w:sz w:val="24"/>
      <w:szCs w:val="20"/>
      <w:shd w:val="pct20" w:color="auto" w:fill="auto"/>
      <w:lang w:val="en-GB"/>
    </w:rPr>
  </w:style>
  <w:style w:type="paragraph" w:styleId="33">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34">
    <w:name w:val="annotation subject"/>
    <w:basedOn w:val="15"/>
    <w:next w:val="15"/>
    <w:link w:val="114"/>
    <w:semiHidden/>
    <w:qFormat/>
    <w:uiPriority w:val="99"/>
    <w:rPr>
      <w:b/>
      <w:bCs/>
    </w:rPr>
  </w:style>
  <w:style w:type="table" w:styleId="36">
    <w:name w:val="Table Grid"/>
    <w:basedOn w:val="3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22"/>
    <w:rPr>
      <w:b/>
      <w:bCs/>
    </w:rPr>
  </w:style>
  <w:style w:type="character" w:styleId="39">
    <w:name w:val="page number"/>
    <w:basedOn w:val="37"/>
    <w:qFormat/>
    <w:uiPriority w:val="0"/>
  </w:style>
  <w:style w:type="character" w:styleId="40">
    <w:name w:val="Emphasis"/>
    <w:qFormat/>
    <w:uiPriority w:val="0"/>
    <w:rPr>
      <w:color w:val="CC0000"/>
    </w:rPr>
  </w:style>
  <w:style w:type="character" w:styleId="41">
    <w:name w:val="HTML Definition"/>
    <w:semiHidden/>
    <w:qFormat/>
    <w:uiPriority w:val="0"/>
    <w:rPr>
      <w:i/>
      <w:iCs/>
    </w:rPr>
  </w:style>
  <w:style w:type="character" w:styleId="42">
    <w:name w:val="Hyperlink"/>
    <w:qFormat/>
    <w:uiPriority w:val="99"/>
    <w:rPr>
      <w:color w:val="0000FF"/>
      <w:u w:val="single"/>
    </w:rPr>
  </w:style>
  <w:style w:type="character" w:styleId="43">
    <w:name w:val="annotation reference"/>
    <w:semiHidden/>
    <w:qFormat/>
    <w:uiPriority w:val="99"/>
    <w:rPr>
      <w:sz w:val="21"/>
      <w:szCs w:val="21"/>
    </w:rPr>
  </w:style>
  <w:style w:type="character" w:customStyle="1" w:styleId="44">
    <w:name w:val="标题 1 字符"/>
    <w:link w:val="2"/>
    <w:qFormat/>
    <w:uiPriority w:val="0"/>
    <w:rPr>
      <w:b/>
      <w:bCs/>
      <w:kern w:val="44"/>
      <w:sz w:val="24"/>
      <w:szCs w:val="21"/>
    </w:rPr>
  </w:style>
  <w:style w:type="character" w:customStyle="1" w:styleId="45">
    <w:name w:val="标题 2 Char"/>
    <w:qFormat/>
    <w:uiPriority w:val="9"/>
    <w:rPr>
      <w:rFonts w:ascii="宋体" w:hAnsi="宋体"/>
      <w:bCs/>
      <w:kern w:val="2"/>
      <w:sz w:val="24"/>
      <w:szCs w:val="24"/>
    </w:rPr>
  </w:style>
  <w:style w:type="character" w:customStyle="1" w:styleId="46">
    <w:name w:val="标题 3 字符"/>
    <w:link w:val="4"/>
    <w:qFormat/>
    <w:locked/>
    <w:uiPriority w:val="9"/>
    <w:rPr>
      <w:rFonts w:ascii="宋体" w:hAnsi="宋体"/>
      <w:bCs/>
      <w:kern w:val="2"/>
      <w:sz w:val="24"/>
      <w:szCs w:val="24"/>
    </w:rPr>
  </w:style>
  <w:style w:type="character" w:customStyle="1" w:styleId="47">
    <w:name w:val="标题 4 字符"/>
    <w:link w:val="5"/>
    <w:qFormat/>
    <w:uiPriority w:val="0"/>
    <w:rPr>
      <w:rFonts w:ascii="宋体" w:eastAsia="宋体"/>
      <w:bCs/>
      <w:kern w:val="2"/>
      <w:sz w:val="21"/>
      <w:szCs w:val="21"/>
      <w:lang w:val="en-US" w:eastAsia="zh-CN" w:bidi="ar-SA"/>
    </w:rPr>
  </w:style>
  <w:style w:type="character" w:customStyle="1" w:styleId="48">
    <w:name w:val="信息标题 Char119"/>
    <w:semiHidden/>
    <w:qFormat/>
    <w:uiPriority w:val="99"/>
    <w:rPr>
      <w:rFonts w:ascii="Cambria" w:hAnsi="Cambria" w:eastAsia="宋体" w:cs="Times New Roman"/>
      <w:sz w:val="24"/>
      <w:szCs w:val="24"/>
      <w:shd w:val="pct20" w:color="auto" w:fill="auto"/>
    </w:rPr>
  </w:style>
  <w:style w:type="character" w:customStyle="1" w:styleId="49">
    <w:name w:val="标题 6 字符"/>
    <w:link w:val="7"/>
    <w:qFormat/>
    <w:locked/>
    <w:uiPriority w:val="9"/>
    <w:rPr>
      <w:rFonts w:ascii="Arial" w:hAnsi="Arial" w:eastAsia="黑体"/>
      <w:b/>
      <w:bCs/>
      <w:kern w:val="2"/>
      <w:sz w:val="24"/>
      <w:szCs w:val="24"/>
    </w:rPr>
  </w:style>
  <w:style w:type="character" w:customStyle="1" w:styleId="50">
    <w:name w:val="页眉 字符"/>
    <w:link w:val="26"/>
    <w:qFormat/>
    <w:locked/>
    <w:uiPriority w:val="99"/>
    <w:rPr>
      <w:kern w:val="2"/>
      <w:sz w:val="18"/>
      <w:szCs w:val="18"/>
    </w:rPr>
  </w:style>
  <w:style w:type="character" w:customStyle="1" w:styleId="51">
    <w:name w:val="标题 8 字符"/>
    <w:link w:val="9"/>
    <w:qFormat/>
    <w:locked/>
    <w:uiPriority w:val="9"/>
    <w:rPr>
      <w:rFonts w:ascii="Arial" w:hAnsi="Arial" w:eastAsia="黑体"/>
      <w:kern w:val="2"/>
      <w:sz w:val="24"/>
      <w:szCs w:val="24"/>
    </w:rPr>
  </w:style>
  <w:style w:type="character" w:customStyle="1" w:styleId="52">
    <w:name w:val="信息标题 Char110"/>
    <w:semiHidden/>
    <w:qFormat/>
    <w:uiPriority w:val="99"/>
    <w:rPr>
      <w:rFonts w:ascii="Cambria" w:hAnsi="Cambria" w:eastAsia="宋体" w:cs="Times New Roman"/>
      <w:sz w:val="24"/>
      <w:szCs w:val="24"/>
      <w:shd w:val="pct20" w:color="auto" w:fill="auto"/>
    </w:rPr>
  </w:style>
  <w:style w:type="character" w:customStyle="1" w:styleId="53">
    <w:name w:val="表内居中小五 Char"/>
    <w:link w:val="54"/>
    <w:qFormat/>
    <w:uiPriority w:val="0"/>
    <w:rPr>
      <w:rFonts w:eastAsia="宋体" w:cs="宋体"/>
      <w:kern w:val="2"/>
      <w:sz w:val="18"/>
      <w:szCs w:val="18"/>
      <w:lang w:val="en-US" w:eastAsia="zh-CN" w:bidi="ar-SA"/>
    </w:rPr>
  </w:style>
  <w:style w:type="paragraph" w:customStyle="1" w:styleId="54">
    <w:name w:val="表内居中小五"/>
    <w:basedOn w:val="1"/>
    <w:link w:val="53"/>
    <w:qFormat/>
    <w:uiPriority w:val="0"/>
    <w:pPr>
      <w:jc w:val="center"/>
    </w:pPr>
    <w:rPr>
      <w:rFonts w:cs="宋体"/>
      <w:sz w:val="18"/>
      <w:szCs w:val="18"/>
    </w:rPr>
  </w:style>
  <w:style w:type="character" w:customStyle="1" w:styleId="55">
    <w:name w:val="信息标题 Char142"/>
    <w:semiHidden/>
    <w:qFormat/>
    <w:uiPriority w:val="99"/>
    <w:rPr>
      <w:rFonts w:ascii="Cambria" w:hAnsi="Cambria" w:eastAsia="宋体" w:cs="Times New Roman"/>
      <w:sz w:val="24"/>
      <w:szCs w:val="24"/>
      <w:shd w:val="pct20" w:color="auto" w:fill="auto"/>
    </w:rPr>
  </w:style>
  <w:style w:type="character" w:customStyle="1" w:styleId="56">
    <w:name w:val="信息标题 Char127"/>
    <w:semiHidden/>
    <w:qFormat/>
    <w:uiPriority w:val="99"/>
    <w:rPr>
      <w:rFonts w:ascii="Cambria" w:hAnsi="Cambria" w:eastAsia="宋体" w:cs="Times New Roman"/>
      <w:sz w:val="24"/>
      <w:szCs w:val="24"/>
      <w:shd w:val="pct20" w:color="auto" w:fill="auto"/>
    </w:rPr>
  </w:style>
  <w:style w:type="character" w:customStyle="1" w:styleId="57">
    <w:name w:val="标题 7 字符"/>
    <w:link w:val="8"/>
    <w:qFormat/>
    <w:locked/>
    <w:uiPriority w:val="9"/>
    <w:rPr>
      <w:b/>
      <w:bCs/>
      <w:kern w:val="2"/>
      <w:sz w:val="24"/>
      <w:szCs w:val="24"/>
    </w:rPr>
  </w:style>
  <w:style w:type="character" w:customStyle="1" w:styleId="58">
    <w:name w:val="页脚 字符"/>
    <w:link w:val="25"/>
    <w:qFormat/>
    <w:uiPriority w:val="99"/>
    <w:rPr>
      <w:rFonts w:eastAsia="宋体"/>
      <w:kern w:val="2"/>
      <w:sz w:val="18"/>
      <w:szCs w:val="18"/>
      <w:lang w:val="en-US" w:eastAsia="zh-CN" w:bidi="ar-SA"/>
    </w:rPr>
  </w:style>
  <w:style w:type="character" w:customStyle="1" w:styleId="59">
    <w:name w:val="信息标题 Char14"/>
    <w:semiHidden/>
    <w:qFormat/>
    <w:uiPriority w:val="99"/>
    <w:rPr>
      <w:rFonts w:ascii="Cambria" w:hAnsi="Cambria" w:eastAsia="宋体" w:cs="Times New Roman"/>
      <w:sz w:val="24"/>
      <w:szCs w:val="24"/>
      <w:shd w:val="pct20" w:color="auto" w:fill="auto"/>
    </w:rPr>
  </w:style>
  <w:style w:type="character" w:customStyle="1" w:styleId="60">
    <w:name w:val="信息标题 Char146"/>
    <w:semiHidden/>
    <w:qFormat/>
    <w:uiPriority w:val="99"/>
    <w:rPr>
      <w:rFonts w:ascii="Cambria" w:hAnsi="Cambria" w:eastAsia="宋体" w:cs="Times New Roman"/>
      <w:sz w:val="24"/>
      <w:szCs w:val="24"/>
      <w:shd w:val="pct20" w:color="auto" w:fill="auto"/>
    </w:rPr>
  </w:style>
  <w:style w:type="character" w:customStyle="1" w:styleId="61">
    <w:name w:val="信息标题 Char141"/>
    <w:semiHidden/>
    <w:qFormat/>
    <w:uiPriority w:val="99"/>
    <w:rPr>
      <w:rFonts w:ascii="Cambria" w:hAnsi="Cambria" w:eastAsia="宋体" w:cs="Times New Roman"/>
      <w:sz w:val="24"/>
      <w:szCs w:val="24"/>
      <w:shd w:val="pct20" w:color="auto" w:fill="auto"/>
    </w:rPr>
  </w:style>
  <w:style w:type="character" w:customStyle="1" w:styleId="62">
    <w:name w:val="正文缩进 字符"/>
    <w:link w:val="12"/>
    <w:qFormat/>
    <w:uiPriority w:val="0"/>
    <w:rPr>
      <w:rFonts w:eastAsia="宋体"/>
      <w:kern w:val="2"/>
      <w:sz w:val="21"/>
      <w:szCs w:val="24"/>
      <w:lang w:val="en-US" w:eastAsia="zh-CN" w:bidi="ar-SA"/>
    </w:rPr>
  </w:style>
  <w:style w:type="character" w:customStyle="1" w:styleId="63">
    <w:name w:val="信息标题 Char19"/>
    <w:semiHidden/>
    <w:qFormat/>
    <w:uiPriority w:val="99"/>
    <w:rPr>
      <w:rFonts w:ascii="Cambria" w:hAnsi="Cambria" w:eastAsia="宋体" w:cs="Times New Roman"/>
      <w:sz w:val="24"/>
      <w:szCs w:val="24"/>
      <w:shd w:val="pct20" w:color="auto" w:fill="auto"/>
    </w:rPr>
  </w:style>
  <w:style w:type="character" w:customStyle="1" w:styleId="64">
    <w:name w:val="信息标题 Char13"/>
    <w:semiHidden/>
    <w:qFormat/>
    <w:uiPriority w:val="99"/>
    <w:rPr>
      <w:rFonts w:ascii="Cambria" w:hAnsi="Cambria" w:eastAsia="宋体" w:cs="Times New Roman"/>
      <w:sz w:val="24"/>
      <w:szCs w:val="24"/>
      <w:shd w:val="pct20" w:color="auto" w:fill="auto"/>
    </w:rPr>
  </w:style>
  <w:style w:type="character" w:customStyle="1" w:styleId="65">
    <w:name w:val="apple-converted-space"/>
    <w:qFormat/>
    <w:uiPriority w:val="0"/>
  </w:style>
  <w:style w:type="character" w:customStyle="1" w:styleId="66">
    <w:name w:val="信息标题 Char139"/>
    <w:semiHidden/>
    <w:qFormat/>
    <w:uiPriority w:val="99"/>
    <w:rPr>
      <w:rFonts w:ascii="Cambria" w:hAnsi="Cambria" w:eastAsia="宋体" w:cs="Times New Roman"/>
      <w:sz w:val="24"/>
      <w:szCs w:val="24"/>
      <w:shd w:val="pct20" w:color="auto" w:fill="auto"/>
    </w:rPr>
  </w:style>
  <w:style w:type="character" w:customStyle="1" w:styleId="67">
    <w:name w:val="正文文本 字符"/>
    <w:link w:val="16"/>
    <w:qFormat/>
    <w:uiPriority w:val="0"/>
    <w:rPr>
      <w:kern w:val="2"/>
      <w:sz w:val="21"/>
      <w:szCs w:val="24"/>
    </w:rPr>
  </w:style>
  <w:style w:type="character" w:customStyle="1" w:styleId="68">
    <w:name w:val="信息标题 Char16"/>
    <w:semiHidden/>
    <w:qFormat/>
    <w:uiPriority w:val="99"/>
    <w:rPr>
      <w:rFonts w:ascii="Cambria" w:hAnsi="Cambria" w:eastAsia="宋体" w:cs="Times New Roman"/>
      <w:sz w:val="24"/>
      <w:szCs w:val="24"/>
      <w:shd w:val="pct20" w:color="auto" w:fill="auto"/>
    </w:rPr>
  </w:style>
  <w:style w:type="character" w:customStyle="1" w:styleId="69">
    <w:name w:val="标题 9 字符"/>
    <w:link w:val="10"/>
    <w:qFormat/>
    <w:locked/>
    <w:uiPriority w:val="9"/>
    <w:rPr>
      <w:rFonts w:ascii="Arial" w:hAnsi="Arial" w:eastAsia="黑体"/>
      <w:kern w:val="2"/>
      <w:sz w:val="21"/>
      <w:szCs w:val="21"/>
    </w:rPr>
  </w:style>
  <w:style w:type="character" w:customStyle="1" w:styleId="70">
    <w:name w:val="信息标题 Char12"/>
    <w:semiHidden/>
    <w:qFormat/>
    <w:uiPriority w:val="99"/>
    <w:rPr>
      <w:rFonts w:ascii="Cambria" w:hAnsi="Cambria" w:eastAsia="宋体" w:cs="Times New Roman"/>
      <w:sz w:val="24"/>
      <w:szCs w:val="24"/>
      <w:shd w:val="pct20" w:color="auto" w:fill="auto"/>
    </w:rPr>
  </w:style>
  <w:style w:type="character" w:customStyle="1" w:styleId="71">
    <w:name w:val="信息标题 Char118"/>
    <w:semiHidden/>
    <w:qFormat/>
    <w:uiPriority w:val="99"/>
    <w:rPr>
      <w:rFonts w:ascii="Cambria" w:hAnsi="Cambria" w:eastAsia="宋体" w:cs="Times New Roman"/>
      <w:sz w:val="24"/>
      <w:szCs w:val="24"/>
      <w:shd w:val="pct20" w:color="auto" w:fill="auto"/>
    </w:rPr>
  </w:style>
  <w:style w:type="character" w:customStyle="1" w:styleId="72">
    <w:name w:val="信息标题 Char131"/>
    <w:semiHidden/>
    <w:qFormat/>
    <w:uiPriority w:val="99"/>
    <w:rPr>
      <w:rFonts w:ascii="Cambria" w:hAnsi="Cambria" w:eastAsia="宋体" w:cs="Times New Roman"/>
      <w:sz w:val="24"/>
      <w:szCs w:val="24"/>
      <w:shd w:val="pct20" w:color="auto" w:fill="auto"/>
    </w:rPr>
  </w:style>
  <w:style w:type="character" w:customStyle="1" w:styleId="73">
    <w:name w:val="纯文本 Char1"/>
    <w:qFormat/>
    <w:locked/>
    <w:uiPriority w:val="99"/>
    <w:rPr>
      <w:rFonts w:ascii="宋体" w:hAnsi="Courier New" w:eastAsia="宋体" w:cs="Times New Roman"/>
      <w:sz w:val="20"/>
      <w:szCs w:val="20"/>
    </w:rPr>
  </w:style>
  <w:style w:type="character" w:customStyle="1" w:styleId="74">
    <w:name w:val="未处理的提及1"/>
    <w:unhideWhenUsed/>
    <w:qFormat/>
    <w:uiPriority w:val="99"/>
    <w:rPr>
      <w:color w:val="808080"/>
      <w:shd w:val="clear" w:color="auto" w:fill="E6E6E6"/>
    </w:rPr>
  </w:style>
  <w:style w:type="character" w:customStyle="1" w:styleId="75">
    <w:name w:val="信息标题 Char18"/>
    <w:semiHidden/>
    <w:qFormat/>
    <w:uiPriority w:val="99"/>
    <w:rPr>
      <w:rFonts w:ascii="Cambria" w:hAnsi="Cambria" w:eastAsia="宋体" w:cs="Times New Roman"/>
      <w:sz w:val="24"/>
      <w:szCs w:val="24"/>
      <w:shd w:val="pct20" w:color="auto" w:fill="auto"/>
    </w:rPr>
  </w:style>
  <w:style w:type="character" w:customStyle="1" w:styleId="76">
    <w:name w:val="标题 5 字符"/>
    <w:link w:val="6"/>
    <w:qFormat/>
    <w:uiPriority w:val="9"/>
    <w:rPr>
      <w:bCs/>
      <w:sz w:val="21"/>
      <w:szCs w:val="21"/>
    </w:rPr>
  </w:style>
  <w:style w:type="character" w:customStyle="1" w:styleId="77">
    <w:name w:val="信息标题 Char137"/>
    <w:semiHidden/>
    <w:qFormat/>
    <w:uiPriority w:val="99"/>
    <w:rPr>
      <w:rFonts w:ascii="Cambria" w:hAnsi="Cambria" w:eastAsia="宋体" w:cs="Times New Roman"/>
      <w:sz w:val="24"/>
      <w:szCs w:val="24"/>
      <w:shd w:val="pct20" w:color="auto" w:fill="auto"/>
    </w:rPr>
  </w:style>
  <w:style w:type="character" w:customStyle="1" w:styleId="78">
    <w:name w:val="信息标题 Char125"/>
    <w:semiHidden/>
    <w:qFormat/>
    <w:uiPriority w:val="99"/>
    <w:rPr>
      <w:rFonts w:ascii="Cambria" w:hAnsi="Cambria" w:eastAsia="宋体" w:cs="Times New Roman"/>
      <w:sz w:val="24"/>
      <w:szCs w:val="24"/>
      <w:shd w:val="pct20" w:color="auto" w:fill="auto"/>
    </w:rPr>
  </w:style>
  <w:style w:type="character" w:customStyle="1" w:styleId="79">
    <w:name w:val="信息标题 Char122"/>
    <w:semiHidden/>
    <w:qFormat/>
    <w:uiPriority w:val="99"/>
    <w:rPr>
      <w:rFonts w:ascii="Cambria" w:hAnsi="Cambria" w:eastAsia="宋体" w:cs="Times New Roman"/>
      <w:sz w:val="24"/>
      <w:szCs w:val="24"/>
      <w:shd w:val="pct20" w:color="auto" w:fill="auto"/>
    </w:rPr>
  </w:style>
  <w:style w:type="character" w:customStyle="1" w:styleId="80">
    <w:name w:val="三级条标题 Char"/>
    <w:link w:val="81"/>
    <w:qFormat/>
    <w:uiPriority w:val="0"/>
    <w:rPr>
      <w:rFonts w:ascii="黑体" w:eastAsia="黑体"/>
      <w:sz w:val="21"/>
    </w:rPr>
  </w:style>
  <w:style w:type="paragraph" w:customStyle="1" w:styleId="81">
    <w:name w:val="三级条标题"/>
    <w:basedOn w:val="82"/>
    <w:next w:val="83"/>
    <w:link w:val="80"/>
    <w:qFormat/>
    <w:uiPriority w:val="0"/>
    <w:pPr>
      <w:tabs>
        <w:tab w:val="left" w:pos="360"/>
      </w:tabs>
      <w:ind w:left="-180"/>
      <w:outlineLvl w:val="4"/>
    </w:pPr>
  </w:style>
  <w:style w:type="paragraph" w:customStyle="1" w:styleId="82">
    <w:name w:val="二级条标题"/>
    <w:basedOn w:val="1"/>
    <w:next w:val="83"/>
    <w:link w:val="115"/>
    <w:qFormat/>
    <w:uiPriority w:val="0"/>
    <w:pPr>
      <w:widowControl/>
      <w:outlineLvl w:val="3"/>
    </w:pPr>
    <w:rPr>
      <w:rFonts w:ascii="黑体" w:eastAsia="黑体"/>
      <w:kern w:val="0"/>
      <w:szCs w:val="20"/>
    </w:rPr>
  </w:style>
  <w:style w:type="paragraph" w:customStyle="1" w:styleId="83">
    <w:name w:val="段"/>
    <w:link w:val="187"/>
    <w:qFormat/>
    <w:uiPriority w:val="0"/>
    <w:pPr>
      <w:ind w:firstLine="200" w:firstLineChars="200"/>
      <w:jc w:val="both"/>
    </w:pPr>
    <w:rPr>
      <w:rFonts w:ascii="宋体" w:hAnsi="Times New Roman" w:eastAsia="宋体" w:cs="Times New Roman"/>
      <w:sz w:val="21"/>
      <w:lang w:val="en-US" w:eastAsia="zh-CN" w:bidi="ar-SA"/>
    </w:rPr>
  </w:style>
  <w:style w:type="character" w:customStyle="1" w:styleId="84">
    <w:name w:val="样式 标题 3 + 宋体 Char"/>
    <w:link w:val="85"/>
    <w:qFormat/>
    <w:uiPriority w:val="0"/>
    <w:rPr>
      <w:rFonts w:ascii="宋体" w:hAnsi="宋体" w:eastAsia="宋体"/>
      <w:kern w:val="2"/>
      <w:sz w:val="21"/>
      <w:szCs w:val="21"/>
      <w:lang w:val="en-US" w:eastAsia="zh-CN" w:bidi="ar-SA"/>
    </w:rPr>
  </w:style>
  <w:style w:type="paragraph" w:customStyle="1" w:styleId="85">
    <w:name w:val="样式 标题 3 + 宋体"/>
    <w:basedOn w:val="4"/>
    <w:link w:val="84"/>
    <w:qFormat/>
    <w:uiPriority w:val="0"/>
    <w:rPr>
      <w:bCs w:val="0"/>
      <w:sz w:val="21"/>
      <w:szCs w:val="21"/>
    </w:rPr>
  </w:style>
  <w:style w:type="character" w:customStyle="1" w:styleId="86">
    <w:name w:val="信息标题 Char148"/>
    <w:semiHidden/>
    <w:qFormat/>
    <w:uiPriority w:val="99"/>
    <w:rPr>
      <w:rFonts w:ascii="Cambria" w:hAnsi="Cambria" w:eastAsia="宋体" w:cs="Times New Roman"/>
      <w:sz w:val="24"/>
      <w:szCs w:val="24"/>
      <w:shd w:val="pct20" w:color="auto" w:fill="auto"/>
    </w:rPr>
  </w:style>
  <w:style w:type="character" w:customStyle="1" w:styleId="87">
    <w:name w:val="信息标题 Char147"/>
    <w:semiHidden/>
    <w:qFormat/>
    <w:uiPriority w:val="99"/>
    <w:rPr>
      <w:rFonts w:ascii="Cambria" w:hAnsi="Cambria" w:eastAsia="宋体" w:cs="Times New Roman"/>
      <w:sz w:val="24"/>
      <w:szCs w:val="24"/>
      <w:shd w:val="pct20" w:color="auto" w:fill="auto"/>
    </w:rPr>
  </w:style>
  <w:style w:type="character" w:customStyle="1" w:styleId="88">
    <w:name w:val="信息标题 Char126"/>
    <w:semiHidden/>
    <w:qFormat/>
    <w:uiPriority w:val="99"/>
    <w:rPr>
      <w:rFonts w:ascii="Cambria" w:hAnsi="Cambria" w:eastAsia="宋体" w:cs="Times New Roman"/>
      <w:sz w:val="24"/>
      <w:szCs w:val="24"/>
      <w:shd w:val="pct20" w:color="auto" w:fill="auto"/>
    </w:rPr>
  </w:style>
  <w:style w:type="character" w:customStyle="1" w:styleId="89">
    <w:name w:val="首行缩进 Char"/>
    <w:link w:val="90"/>
    <w:qFormat/>
    <w:uiPriority w:val="0"/>
    <w:rPr>
      <w:rFonts w:eastAsia="方正书宋简体" w:cs="宋体"/>
      <w:kern w:val="2"/>
      <w:sz w:val="21"/>
      <w:lang w:val="en-US" w:eastAsia="zh-CN" w:bidi="ar-SA"/>
    </w:rPr>
  </w:style>
  <w:style w:type="paragraph" w:customStyle="1" w:styleId="90">
    <w:name w:val="首行缩进"/>
    <w:basedOn w:val="1"/>
    <w:link w:val="89"/>
    <w:qFormat/>
    <w:uiPriority w:val="0"/>
    <w:pPr>
      <w:spacing w:line="300" w:lineRule="auto"/>
      <w:ind w:firstLine="420" w:firstLineChars="200"/>
    </w:pPr>
    <w:rPr>
      <w:rFonts w:eastAsia="方正书宋简体" w:cs="宋体"/>
      <w:szCs w:val="20"/>
    </w:rPr>
  </w:style>
  <w:style w:type="character" w:customStyle="1" w:styleId="91">
    <w:name w:val="信息标题 Char144"/>
    <w:semiHidden/>
    <w:qFormat/>
    <w:uiPriority w:val="99"/>
    <w:rPr>
      <w:rFonts w:ascii="Cambria" w:hAnsi="Cambria" w:eastAsia="宋体" w:cs="Times New Roman"/>
      <w:sz w:val="24"/>
      <w:szCs w:val="24"/>
      <w:shd w:val="pct20" w:color="auto" w:fill="auto"/>
    </w:rPr>
  </w:style>
  <w:style w:type="character" w:customStyle="1" w:styleId="92">
    <w:name w:val="信息标题 Char121"/>
    <w:semiHidden/>
    <w:qFormat/>
    <w:uiPriority w:val="99"/>
    <w:rPr>
      <w:rFonts w:ascii="Cambria" w:hAnsi="Cambria" w:eastAsia="宋体" w:cs="Times New Roman"/>
      <w:sz w:val="24"/>
      <w:szCs w:val="24"/>
      <w:shd w:val="pct20" w:color="auto" w:fill="auto"/>
    </w:rPr>
  </w:style>
  <w:style w:type="character" w:customStyle="1" w:styleId="93">
    <w:name w:val="信息标题 Char133"/>
    <w:semiHidden/>
    <w:qFormat/>
    <w:uiPriority w:val="99"/>
    <w:rPr>
      <w:rFonts w:ascii="Cambria" w:hAnsi="Cambria" w:eastAsia="宋体" w:cs="Times New Roman"/>
      <w:sz w:val="24"/>
      <w:szCs w:val="24"/>
      <w:shd w:val="pct20" w:color="auto" w:fill="auto"/>
    </w:rPr>
  </w:style>
  <w:style w:type="character" w:customStyle="1" w:styleId="94">
    <w:name w:val="信息标题 Char11"/>
    <w:semiHidden/>
    <w:qFormat/>
    <w:uiPriority w:val="99"/>
    <w:rPr>
      <w:rFonts w:ascii="Cambria" w:hAnsi="Cambria" w:eastAsia="宋体" w:cs="Times New Roman"/>
      <w:sz w:val="24"/>
      <w:szCs w:val="24"/>
      <w:shd w:val="pct20" w:color="auto" w:fill="auto"/>
    </w:rPr>
  </w:style>
  <w:style w:type="character" w:customStyle="1" w:styleId="95">
    <w:name w:val="信息标题 Char132"/>
    <w:semiHidden/>
    <w:qFormat/>
    <w:uiPriority w:val="99"/>
    <w:rPr>
      <w:rFonts w:ascii="Cambria" w:hAnsi="Cambria" w:eastAsia="宋体" w:cs="Times New Roman"/>
      <w:sz w:val="24"/>
      <w:szCs w:val="24"/>
      <w:shd w:val="pct20" w:color="auto" w:fill="auto"/>
    </w:rPr>
  </w:style>
  <w:style w:type="character" w:customStyle="1" w:styleId="96">
    <w:name w:val="信息标题 Char135"/>
    <w:semiHidden/>
    <w:qFormat/>
    <w:uiPriority w:val="99"/>
    <w:rPr>
      <w:rFonts w:ascii="Cambria" w:hAnsi="Cambria" w:eastAsia="宋体" w:cs="Times New Roman"/>
      <w:sz w:val="24"/>
      <w:szCs w:val="24"/>
      <w:shd w:val="pct20" w:color="auto" w:fill="auto"/>
    </w:rPr>
  </w:style>
  <w:style w:type="character" w:customStyle="1" w:styleId="97">
    <w:name w:val="信息标题 Char15"/>
    <w:semiHidden/>
    <w:qFormat/>
    <w:uiPriority w:val="99"/>
    <w:rPr>
      <w:rFonts w:ascii="Cambria" w:hAnsi="Cambria" w:eastAsia="宋体" w:cs="Times New Roman"/>
      <w:sz w:val="24"/>
      <w:szCs w:val="24"/>
      <w:shd w:val="pct20" w:color="auto" w:fill="auto"/>
    </w:rPr>
  </w:style>
  <w:style w:type="character" w:customStyle="1" w:styleId="98">
    <w:name w:val="信息标题 Char17"/>
    <w:semiHidden/>
    <w:qFormat/>
    <w:uiPriority w:val="99"/>
    <w:rPr>
      <w:rFonts w:ascii="Cambria" w:hAnsi="Cambria" w:eastAsia="宋体" w:cs="Times New Roman"/>
      <w:sz w:val="24"/>
      <w:szCs w:val="24"/>
      <w:shd w:val="pct20" w:color="auto" w:fill="auto"/>
    </w:rPr>
  </w:style>
  <w:style w:type="character" w:customStyle="1" w:styleId="99">
    <w:name w:val="信息标题 Char124"/>
    <w:semiHidden/>
    <w:qFormat/>
    <w:uiPriority w:val="99"/>
    <w:rPr>
      <w:rFonts w:ascii="Cambria" w:hAnsi="Cambria" w:eastAsia="宋体" w:cs="Times New Roman"/>
      <w:sz w:val="24"/>
      <w:szCs w:val="24"/>
      <w:shd w:val="pct20" w:color="auto" w:fill="auto"/>
    </w:rPr>
  </w:style>
  <w:style w:type="character" w:customStyle="1" w:styleId="100">
    <w:name w:val="表内居两端对齐 Char"/>
    <w:basedOn w:val="53"/>
    <w:link w:val="101"/>
    <w:qFormat/>
    <w:uiPriority w:val="0"/>
    <w:rPr>
      <w:rFonts w:eastAsia="宋体" w:cs="宋体"/>
      <w:kern w:val="2"/>
      <w:sz w:val="18"/>
      <w:szCs w:val="18"/>
      <w:lang w:val="en-US" w:eastAsia="zh-CN" w:bidi="ar-SA"/>
    </w:rPr>
  </w:style>
  <w:style w:type="paragraph" w:customStyle="1" w:styleId="101">
    <w:name w:val="表内居两端对齐"/>
    <w:basedOn w:val="54"/>
    <w:link w:val="100"/>
    <w:qFormat/>
    <w:uiPriority w:val="0"/>
    <w:pPr>
      <w:jc w:val="both"/>
    </w:pPr>
  </w:style>
  <w:style w:type="character" w:customStyle="1" w:styleId="102">
    <w:name w:val="信息标题 Char145"/>
    <w:semiHidden/>
    <w:qFormat/>
    <w:uiPriority w:val="99"/>
    <w:rPr>
      <w:rFonts w:ascii="Cambria" w:hAnsi="Cambria" w:eastAsia="宋体" w:cs="Times New Roman"/>
      <w:sz w:val="24"/>
      <w:szCs w:val="24"/>
      <w:shd w:val="pct20" w:color="auto" w:fill="auto"/>
    </w:rPr>
  </w:style>
  <w:style w:type="character" w:customStyle="1" w:styleId="103">
    <w:name w:val="批注文字 字符"/>
    <w:link w:val="15"/>
    <w:qFormat/>
    <w:locked/>
    <w:uiPriority w:val="99"/>
    <w:rPr>
      <w:kern w:val="2"/>
      <w:sz w:val="21"/>
      <w:szCs w:val="24"/>
    </w:rPr>
  </w:style>
  <w:style w:type="character" w:customStyle="1" w:styleId="104">
    <w:name w:val="信息标题 Char138"/>
    <w:semiHidden/>
    <w:qFormat/>
    <w:uiPriority w:val="99"/>
    <w:rPr>
      <w:rFonts w:ascii="Cambria" w:hAnsi="Cambria" w:eastAsia="宋体" w:cs="Times New Roman"/>
      <w:sz w:val="24"/>
      <w:szCs w:val="24"/>
      <w:shd w:val="pct20" w:color="auto" w:fill="auto"/>
    </w:rPr>
  </w:style>
  <w:style w:type="character" w:customStyle="1" w:styleId="105">
    <w:name w:val="信息标题 Char130"/>
    <w:semiHidden/>
    <w:qFormat/>
    <w:uiPriority w:val="99"/>
    <w:rPr>
      <w:rFonts w:ascii="Cambria" w:hAnsi="Cambria" w:eastAsia="宋体" w:cs="Times New Roman"/>
      <w:sz w:val="24"/>
      <w:szCs w:val="24"/>
      <w:shd w:val="pct20" w:color="auto" w:fill="auto"/>
    </w:rPr>
  </w:style>
  <w:style w:type="character" w:customStyle="1" w:styleId="106">
    <w:name w:val="一级条标题 Char"/>
    <w:link w:val="107"/>
    <w:qFormat/>
    <w:uiPriority w:val="0"/>
    <w:rPr>
      <w:rFonts w:ascii="黑体" w:eastAsia="黑体"/>
      <w:sz w:val="21"/>
      <w:lang w:val="en-US" w:eastAsia="zh-CN" w:bidi="ar-SA"/>
    </w:rPr>
  </w:style>
  <w:style w:type="paragraph" w:customStyle="1" w:styleId="107">
    <w:name w:val="一级条标题"/>
    <w:basedOn w:val="108"/>
    <w:next w:val="83"/>
    <w:link w:val="106"/>
    <w:qFormat/>
    <w:uiPriority w:val="0"/>
    <w:pPr>
      <w:spacing w:before="0" w:beforeLines="0" w:after="0" w:afterLines="0"/>
      <w:outlineLvl w:val="2"/>
    </w:pPr>
  </w:style>
  <w:style w:type="paragraph" w:customStyle="1" w:styleId="108">
    <w:name w:val="章标题"/>
    <w:next w:val="83"/>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character" w:customStyle="1" w:styleId="109">
    <w:name w:val="信息标题 Char114"/>
    <w:semiHidden/>
    <w:qFormat/>
    <w:uiPriority w:val="99"/>
    <w:rPr>
      <w:rFonts w:ascii="Cambria" w:hAnsi="Cambria" w:eastAsia="宋体" w:cs="Times New Roman"/>
      <w:sz w:val="24"/>
      <w:szCs w:val="24"/>
      <w:shd w:val="pct20" w:color="auto" w:fill="auto"/>
    </w:rPr>
  </w:style>
  <w:style w:type="character" w:customStyle="1" w:styleId="110">
    <w:name w:val="批注框文本 字符"/>
    <w:link w:val="24"/>
    <w:semiHidden/>
    <w:qFormat/>
    <w:locked/>
    <w:uiPriority w:val="99"/>
    <w:rPr>
      <w:kern w:val="2"/>
      <w:sz w:val="18"/>
      <w:szCs w:val="18"/>
    </w:rPr>
  </w:style>
  <w:style w:type="character" w:customStyle="1" w:styleId="111">
    <w:name w:val="信息标题 Char123"/>
    <w:semiHidden/>
    <w:qFormat/>
    <w:uiPriority w:val="99"/>
    <w:rPr>
      <w:rFonts w:ascii="Cambria" w:hAnsi="Cambria" w:eastAsia="宋体" w:cs="Times New Roman"/>
      <w:sz w:val="24"/>
      <w:szCs w:val="24"/>
      <w:shd w:val="pct20" w:color="auto" w:fill="auto"/>
    </w:rPr>
  </w:style>
  <w:style w:type="character" w:customStyle="1" w:styleId="112">
    <w:name w:val="日期 字符"/>
    <w:link w:val="22"/>
    <w:qFormat/>
    <w:uiPriority w:val="0"/>
    <w:rPr>
      <w:kern w:val="2"/>
      <w:sz w:val="21"/>
      <w:szCs w:val="24"/>
    </w:rPr>
  </w:style>
  <w:style w:type="character" w:customStyle="1" w:styleId="113">
    <w:name w:val="信息标题 Char111"/>
    <w:semiHidden/>
    <w:qFormat/>
    <w:uiPriority w:val="99"/>
    <w:rPr>
      <w:rFonts w:ascii="Cambria" w:hAnsi="Cambria" w:eastAsia="宋体" w:cs="Times New Roman"/>
      <w:sz w:val="24"/>
      <w:szCs w:val="24"/>
      <w:shd w:val="pct20" w:color="auto" w:fill="auto"/>
    </w:rPr>
  </w:style>
  <w:style w:type="character" w:customStyle="1" w:styleId="114">
    <w:name w:val="批注主题 字符"/>
    <w:link w:val="34"/>
    <w:semiHidden/>
    <w:qFormat/>
    <w:locked/>
    <w:uiPriority w:val="99"/>
    <w:rPr>
      <w:b/>
      <w:bCs/>
      <w:kern w:val="2"/>
      <w:sz w:val="21"/>
      <w:szCs w:val="24"/>
    </w:rPr>
  </w:style>
  <w:style w:type="character" w:customStyle="1" w:styleId="115">
    <w:name w:val="二级条标题 Char"/>
    <w:link w:val="82"/>
    <w:qFormat/>
    <w:uiPriority w:val="0"/>
    <w:rPr>
      <w:rFonts w:ascii="黑体" w:eastAsia="黑体"/>
      <w:sz w:val="21"/>
      <w:lang w:val="en-US" w:eastAsia="zh-CN" w:bidi="ar-SA"/>
    </w:rPr>
  </w:style>
  <w:style w:type="character" w:customStyle="1" w:styleId="116">
    <w:name w:val="纯文本 字符"/>
    <w:link w:val="20"/>
    <w:qFormat/>
    <w:uiPriority w:val="99"/>
    <w:rPr>
      <w:rFonts w:ascii="宋体" w:hAnsi="Courier New" w:eastAsia="宋体"/>
      <w:kern w:val="2"/>
      <w:sz w:val="21"/>
      <w:szCs w:val="24"/>
      <w:lang w:val="en-US" w:eastAsia="zh-CN" w:bidi="ar-SA"/>
    </w:rPr>
  </w:style>
  <w:style w:type="character" w:customStyle="1" w:styleId="117">
    <w:name w:val="信息标题 Char149"/>
    <w:semiHidden/>
    <w:qFormat/>
    <w:uiPriority w:val="99"/>
    <w:rPr>
      <w:rFonts w:ascii="Cambria" w:hAnsi="Cambria" w:eastAsia="宋体" w:cs="Times New Roman"/>
      <w:sz w:val="24"/>
      <w:szCs w:val="24"/>
      <w:shd w:val="pct20" w:color="auto" w:fill="auto"/>
    </w:rPr>
  </w:style>
  <w:style w:type="character" w:customStyle="1" w:styleId="118">
    <w:name w:val="信息标题 字符"/>
    <w:link w:val="32"/>
    <w:qFormat/>
    <w:locked/>
    <w:uiPriority w:val="0"/>
    <w:rPr>
      <w:rFonts w:ascii="Arial" w:hAnsi="Arial"/>
      <w:spacing w:val="8"/>
      <w:sz w:val="24"/>
      <w:shd w:val="pct20" w:color="auto" w:fill="auto"/>
      <w:lang w:val="en-GB"/>
    </w:rPr>
  </w:style>
  <w:style w:type="character" w:customStyle="1" w:styleId="119">
    <w:name w:val="信息标题 Char128"/>
    <w:semiHidden/>
    <w:qFormat/>
    <w:uiPriority w:val="99"/>
    <w:rPr>
      <w:rFonts w:ascii="Cambria" w:hAnsi="Cambria" w:eastAsia="宋体" w:cs="Times New Roman"/>
      <w:sz w:val="24"/>
      <w:szCs w:val="24"/>
      <w:shd w:val="pct20" w:color="auto" w:fill="auto"/>
    </w:rPr>
  </w:style>
  <w:style w:type="character" w:customStyle="1" w:styleId="120">
    <w:name w:val="信息标题 Char136"/>
    <w:semiHidden/>
    <w:qFormat/>
    <w:uiPriority w:val="99"/>
    <w:rPr>
      <w:rFonts w:ascii="Cambria" w:hAnsi="Cambria" w:eastAsia="宋体" w:cs="Times New Roman"/>
      <w:sz w:val="24"/>
      <w:szCs w:val="24"/>
      <w:shd w:val="pct20" w:color="auto" w:fill="auto"/>
    </w:rPr>
  </w:style>
  <w:style w:type="character" w:customStyle="1" w:styleId="121">
    <w:name w:val="信息标题 Char115"/>
    <w:semiHidden/>
    <w:qFormat/>
    <w:uiPriority w:val="99"/>
    <w:rPr>
      <w:rFonts w:ascii="Cambria" w:hAnsi="Cambria" w:eastAsia="宋体" w:cs="Times New Roman"/>
      <w:sz w:val="24"/>
      <w:szCs w:val="24"/>
      <w:shd w:val="pct20" w:color="auto" w:fill="auto"/>
    </w:rPr>
  </w:style>
  <w:style w:type="character" w:customStyle="1" w:styleId="122">
    <w:name w:val="样式 标题 4 + (符号) 宋体 Char"/>
    <w:basedOn w:val="47"/>
    <w:link w:val="123"/>
    <w:qFormat/>
    <w:uiPriority w:val="0"/>
    <w:rPr>
      <w:rFonts w:ascii="宋体" w:eastAsia="宋体"/>
      <w:kern w:val="2"/>
      <w:sz w:val="21"/>
      <w:szCs w:val="21"/>
      <w:lang w:val="en-US" w:eastAsia="zh-CN" w:bidi="ar-SA"/>
    </w:rPr>
  </w:style>
  <w:style w:type="paragraph" w:customStyle="1" w:styleId="123">
    <w:name w:val="样式 标题 4 + (符号) 宋体"/>
    <w:basedOn w:val="5"/>
    <w:link w:val="122"/>
    <w:qFormat/>
    <w:uiPriority w:val="0"/>
    <w:pPr>
      <w:adjustRightInd w:val="0"/>
      <w:snapToGrid w:val="0"/>
    </w:pPr>
    <w:rPr>
      <w:bCs w:val="0"/>
    </w:rPr>
  </w:style>
  <w:style w:type="character" w:customStyle="1" w:styleId="124">
    <w:name w:val="信息标题 Char129"/>
    <w:semiHidden/>
    <w:qFormat/>
    <w:uiPriority w:val="99"/>
    <w:rPr>
      <w:rFonts w:ascii="Cambria" w:hAnsi="Cambria" w:eastAsia="宋体" w:cs="Times New Roman"/>
      <w:sz w:val="24"/>
      <w:szCs w:val="24"/>
      <w:shd w:val="pct20" w:color="auto" w:fill="auto"/>
    </w:rPr>
  </w:style>
  <w:style w:type="character" w:customStyle="1" w:styleId="125">
    <w:name w:val="标书正文 Char Char"/>
    <w:link w:val="126"/>
    <w:qFormat/>
    <w:uiPriority w:val="0"/>
    <w:rPr>
      <w:rFonts w:eastAsia="宋体"/>
      <w:spacing w:val="1"/>
      <w:sz w:val="24"/>
      <w:lang w:bidi="ar-SA"/>
    </w:rPr>
  </w:style>
  <w:style w:type="paragraph" w:customStyle="1" w:styleId="126">
    <w:name w:val="标书正文"/>
    <w:basedOn w:val="1"/>
    <w:link w:val="125"/>
    <w:qFormat/>
    <w:uiPriority w:val="0"/>
    <w:pPr>
      <w:spacing w:line="360" w:lineRule="auto"/>
      <w:ind w:firstLine="200" w:firstLineChars="200"/>
    </w:pPr>
    <w:rPr>
      <w:spacing w:val="1"/>
      <w:kern w:val="0"/>
      <w:sz w:val="24"/>
      <w:szCs w:val="20"/>
    </w:rPr>
  </w:style>
  <w:style w:type="character" w:customStyle="1" w:styleId="127">
    <w:name w:val="文档结构图 字符"/>
    <w:link w:val="14"/>
    <w:qFormat/>
    <w:uiPriority w:val="0"/>
    <w:rPr>
      <w:rFonts w:ascii="宋体"/>
      <w:kern w:val="2"/>
      <w:sz w:val="18"/>
      <w:szCs w:val="18"/>
    </w:rPr>
  </w:style>
  <w:style w:type="character" w:customStyle="1" w:styleId="128">
    <w:name w:val="信息标题 Char140"/>
    <w:semiHidden/>
    <w:qFormat/>
    <w:uiPriority w:val="99"/>
    <w:rPr>
      <w:rFonts w:ascii="Cambria" w:hAnsi="Cambria" w:eastAsia="宋体" w:cs="Times New Roman"/>
      <w:sz w:val="24"/>
      <w:szCs w:val="24"/>
      <w:shd w:val="pct20" w:color="auto" w:fill="auto"/>
    </w:rPr>
  </w:style>
  <w:style w:type="character" w:customStyle="1" w:styleId="129">
    <w:name w:val="信息标题 Char1"/>
    <w:qFormat/>
    <w:uiPriority w:val="99"/>
    <w:rPr>
      <w:rFonts w:ascii="Cambria" w:hAnsi="Cambria" w:eastAsia="宋体" w:cs="Times New Roman"/>
      <w:kern w:val="2"/>
      <w:sz w:val="24"/>
      <w:szCs w:val="24"/>
      <w:shd w:val="pct20" w:color="auto" w:fill="auto"/>
    </w:rPr>
  </w:style>
  <w:style w:type="character" w:customStyle="1" w:styleId="130">
    <w:name w:val="信息标题 Char113"/>
    <w:semiHidden/>
    <w:qFormat/>
    <w:uiPriority w:val="99"/>
    <w:rPr>
      <w:rFonts w:ascii="Cambria" w:hAnsi="Cambria" w:eastAsia="宋体" w:cs="Times New Roman"/>
      <w:sz w:val="24"/>
      <w:szCs w:val="24"/>
      <w:shd w:val="pct20" w:color="auto" w:fill="auto"/>
    </w:rPr>
  </w:style>
  <w:style w:type="character" w:customStyle="1" w:styleId="131">
    <w:name w:val="信息标题 Char117"/>
    <w:semiHidden/>
    <w:qFormat/>
    <w:uiPriority w:val="99"/>
    <w:rPr>
      <w:rFonts w:ascii="Cambria" w:hAnsi="Cambria" w:eastAsia="宋体" w:cs="Times New Roman"/>
      <w:sz w:val="24"/>
      <w:szCs w:val="24"/>
      <w:shd w:val="pct20" w:color="auto" w:fill="auto"/>
    </w:rPr>
  </w:style>
  <w:style w:type="character" w:customStyle="1" w:styleId="132">
    <w:name w:val="信息标题 Char143"/>
    <w:semiHidden/>
    <w:qFormat/>
    <w:uiPriority w:val="99"/>
    <w:rPr>
      <w:rFonts w:ascii="Cambria" w:hAnsi="Cambria" w:eastAsia="宋体" w:cs="Times New Roman"/>
      <w:sz w:val="24"/>
      <w:szCs w:val="24"/>
      <w:shd w:val="pct20" w:color="auto" w:fill="auto"/>
    </w:rPr>
  </w:style>
  <w:style w:type="character" w:customStyle="1" w:styleId="133">
    <w:name w:val="信息标题 Char112"/>
    <w:semiHidden/>
    <w:qFormat/>
    <w:uiPriority w:val="99"/>
    <w:rPr>
      <w:rFonts w:ascii="Cambria" w:hAnsi="Cambria" w:eastAsia="宋体" w:cs="Times New Roman"/>
      <w:sz w:val="24"/>
      <w:szCs w:val="24"/>
      <w:shd w:val="pct20" w:color="auto" w:fill="auto"/>
    </w:rPr>
  </w:style>
  <w:style w:type="character" w:customStyle="1" w:styleId="134">
    <w:name w:val="无间隔 字符"/>
    <w:link w:val="135"/>
    <w:qFormat/>
    <w:locked/>
    <w:uiPriority w:val="1"/>
    <w:rPr>
      <w:kern w:val="2"/>
      <w:sz w:val="21"/>
      <w:szCs w:val="24"/>
    </w:rPr>
  </w:style>
  <w:style w:type="paragraph" w:customStyle="1" w:styleId="135">
    <w:name w:val="无间隔1"/>
    <w:link w:val="134"/>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36">
    <w:name w:val="信息标题 Char120"/>
    <w:semiHidden/>
    <w:qFormat/>
    <w:uiPriority w:val="99"/>
    <w:rPr>
      <w:rFonts w:ascii="Cambria" w:hAnsi="Cambria" w:eastAsia="宋体" w:cs="Times New Roman"/>
      <w:sz w:val="24"/>
      <w:szCs w:val="24"/>
      <w:shd w:val="pct20" w:color="auto" w:fill="auto"/>
    </w:rPr>
  </w:style>
  <w:style w:type="character" w:customStyle="1" w:styleId="137">
    <w:name w:val="信息标题 Char116"/>
    <w:semiHidden/>
    <w:qFormat/>
    <w:uiPriority w:val="99"/>
    <w:rPr>
      <w:rFonts w:ascii="Cambria" w:hAnsi="Cambria" w:eastAsia="宋体" w:cs="Times New Roman"/>
      <w:sz w:val="24"/>
      <w:szCs w:val="24"/>
      <w:shd w:val="pct20" w:color="auto" w:fill="auto"/>
    </w:rPr>
  </w:style>
  <w:style w:type="character" w:customStyle="1" w:styleId="138">
    <w:name w:val="信息标题 Char134"/>
    <w:semiHidden/>
    <w:qFormat/>
    <w:uiPriority w:val="99"/>
    <w:rPr>
      <w:rFonts w:ascii="Cambria" w:hAnsi="Cambria" w:eastAsia="宋体" w:cs="Times New Roman"/>
      <w:sz w:val="24"/>
      <w:szCs w:val="24"/>
      <w:shd w:val="pct20" w:color="auto" w:fill="auto"/>
    </w:rPr>
  </w:style>
  <w:style w:type="character" w:customStyle="1" w:styleId="139">
    <w:name w:val="信息标题 Char2"/>
    <w:qFormat/>
    <w:uiPriority w:val="0"/>
    <w:rPr>
      <w:rFonts w:ascii="Cambria" w:hAnsi="Cambria" w:eastAsia="宋体"/>
      <w:kern w:val="2"/>
      <w:sz w:val="24"/>
      <w:shd w:val="pct20" w:color="auto" w:fill="auto"/>
    </w:rPr>
  </w:style>
  <w:style w:type="paragraph" w:customStyle="1" w:styleId="140">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4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3">
    <w:name w:val="CM3"/>
    <w:basedOn w:val="141"/>
    <w:next w:val="141"/>
    <w:qFormat/>
    <w:uiPriority w:val="0"/>
    <w:pPr>
      <w:spacing w:line="468" w:lineRule="atLeast"/>
    </w:pPr>
    <w:rPr>
      <w:rFonts w:ascii="黑体" w:eastAsia="黑体" w:cs="Times New Roman"/>
      <w:color w:val="auto"/>
    </w:rPr>
  </w:style>
  <w:style w:type="paragraph" w:customStyle="1" w:styleId="144">
    <w:name w:val="CM5"/>
    <w:basedOn w:val="141"/>
    <w:next w:val="141"/>
    <w:qFormat/>
    <w:uiPriority w:val="0"/>
    <w:pPr>
      <w:spacing w:line="471" w:lineRule="atLeast"/>
    </w:pPr>
    <w:rPr>
      <w:rFonts w:ascii="黑体" w:eastAsia="黑体" w:cs="Times New Roman"/>
      <w:color w:val="auto"/>
    </w:rPr>
  </w:style>
  <w:style w:type="paragraph" w:customStyle="1" w:styleId="145">
    <w:name w:val="目次、标准名称标题"/>
    <w:basedOn w:val="140"/>
    <w:next w:val="83"/>
    <w:qFormat/>
    <w:uiPriority w:val="0"/>
    <w:pPr>
      <w:tabs>
        <w:tab w:val="left" w:pos="1140"/>
      </w:tabs>
      <w:spacing w:line="460" w:lineRule="exact"/>
      <w:ind w:left="0" w:firstLine="0"/>
    </w:pPr>
  </w:style>
  <w:style w:type="paragraph" w:customStyle="1" w:styleId="14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7">
    <w:name w:val="标准书眉一"/>
    <w:qFormat/>
    <w:uiPriority w:val="0"/>
    <w:pPr>
      <w:jc w:val="both"/>
    </w:pPr>
    <w:rPr>
      <w:rFonts w:ascii="Times New Roman" w:hAnsi="Times New Roman" w:eastAsia="宋体" w:cs="Times New Roman"/>
      <w:lang w:val="en-US" w:eastAsia="zh-CN" w:bidi="ar-SA"/>
    </w:rPr>
  </w:style>
  <w:style w:type="paragraph" w:customStyle="1" w:styleId="148">
    <w:name w:val="附录表标题"/>
    <w:basedOn w:val="1"/>
    <w:next w:val="83"/>
    <w:qFormat/>
    <w:uiPriority w:val="0"/>
    <w:pPr>
      <w:widowControl/>
      <w:numPr>
        <w:ilvl w:val="0"/>
        <w:numId w:val="2"/>
      </w:numPr>
      <w:tabs>
        <w:tab w:val="left" w:pos="210"/>
        <w:tab w:val="left" w:pos="420"/>
        <w:tab w:val="clear" w:pos="360"/>
      </w:tabs>
      <w:jc w:val="center"/>
      <w:textAlignment w:val="baseline"/>
    </w:pPr>
    <w:rPr>
      <w:rFonts w:ascii="宋体"/>
      <w:b/>
      <w:kern w:val="21"/>
      <w:szCs w:val="20"/>
    </w:rPr>
  </w:style>
  <w:style w:type="paragraph" w:customStyle="1" w:styleId="149">
    <w:name w:val="CM17"/>
    <w:basedOn w:val="141"/>
    <w:next w:val="141"/>
    <w:qFormat/>
    <w:uiPriority w:val="0"/>
    <w:pPr>
      <w:spacing w:line="468" w:lineRule="atLeast"/>
    </w:pPr>
    <w:rPr>
      <w:rFonts w:ascii="黑体" w:eastAsia="黑体" w:cs="Times New Roman"/>
      <w:color w:val="auto"/>
    </w:rPr>
  </w:style>
  <w:style w:type="paragraph" w:customStyle="1" w:styleId="150">
    <w:name w:val="CM33"/>
    <w:basedOn w:val="141"/>
    <w:next w:val="141"/>
    <w:qFormat/>
    <w:uiPriority w:val="0"/>
    <w:pPr>
      <w:spacing w:after="205"/>
    </w:pPr>
    <w:rPr>
      <w:rFonts w:ascii="黑体" w:eastAsia="黑体" w:cs="Times New Roman"/>
      <w:color w:val="auto"/>
    </w:rPr>
  </w:style>
  <w:style w:type="paragraph" w:customStyle="1" w:styleId="151">
    <w:name w:val="四级条标题"/>
    <w:basedOn w:val="81"/>
    <w:next w:val="83"/>
    <w:qFormat/>
    <w:uiPriority w:val="0"/>
    <w:pPr>
      <w:ind w:left="0"/>
      <w:outlineLvl w:val="5"/>
    </w:pPr>
  </w:style>
  <w:style w:type="paragraph" w:customStyle="1" w:styleId="152">
    <w:name w:val="列出段落1"/>
    <w:basedOn w:val="1"/>
    <w:qFormat/>
    <w:uiPriority w:val="34"/>
    <w:pPr>
      <w:ind w:firstLine="420" w:firstLineChars="200"/>
    </w:pPr>
    <w:rPr>
      <w:rFonts w:ascii="Calibri" w:hAnsi="Calibri"/>
      <w:szCs w:val="22"/>
    </w:rPr>
  </w:style>
  <w:style w:type="paragraph" w:customStyle="1" w:styleId="153">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15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55">
    <w:name w:val="正文表标题"/>
    <w:next w:val="83"/>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YK 首行缩进 2"/>
    <w:basedOn w:val="1"/>
    <w:next w:val="1"/>
    <w:unhideWhenUsed/>
    <w:qFormat/>
    <w:uiPriority w:val="0"/>
    <w:pPr>
      <w:ind w:firstLine="420" w:firstLineChars="200"/>
      <w:jc w:val="left"/>
    </w:pPr>
    <w:rPr>
      <w:rFonts w:ascii="Calibri" w:hAnsi="Calibri"/>
      <w:szCs w:val="22"/>
    </w:rPr>
  </w:style>
  <w:style w:type="paragraph" w:customStyle="1" w:styleId="158">
    <w:name w:val="五级条标题"/>
    <w:basedOn w:val="1"/>
    <w:next w:val="83"/>
    <w:qFormat/>
    <w:uiPriority w:val="0"/>
    <w:pPr>
      <w:widowControl/>
      <w:outlineLvl w:val="6"/>
    </w:pPr>
    <w:rPr>
      <w:rFonts w:ascii="黑体" w:eastAsia="黑体"/>
      <w:kern w:val="0"/>
      <w:szCs w:val="20"/>
    </w:rPr>
  </w:style>
  <w:style w:type="paragraph" w:customStyle="1" w:styleId="159">
    <w:name w:val="TOC 标题1"/>
    <w:basedOn w:val="2"/>
    <w:next w:val="1"/>
    <w:qFormat/>
    <w:uiPriority w:val="39"/>
    <w:pPr>
      <w:widowControl/>
      <w:snapToGrid/>
      <w:spacing w:before="480" w:beforeLines="0" w:line="276" w:lineRule="auto"/>
      <w:jc w:val="left"/>
      <w:outlineLvl w:val="9"/>
    </w:pPr>
    <w:rPr>
      <w:rFonts w:ascii="Cambria" w:hAnsi="Cambria"/>
      <w:color w:val="365F91"/>
      <w:kern w:val="0"/>
      <w:sz w:val="28"/>
      <w:szCs w:val="28"/>
    </w:rPr>
  </w:style>
  <w:style w:type="paragraph" w:customStyle="1" w:styleId="160">
    <w:name w:val="CM10"/>
    <w:basedOn w:val="141"/>
    <w:next w:val="141"/>
    <w:qFormat/>
    <w:uiPriority w:val="0"/>
    <w:pPr>
      <w:spacing w:line="468" w:lineRule="atLeast"/>
    </w:pPr>
    <w:rPr>
      <w:rFonts w:ascii="黑体" w:eastAsia="黑体" w:cs="Times New Roman"/>
      <w:color w:val="auto"/>
    </w:rPr>
  </w:style>
  <w:style w:type="paragraph" w:customStyle="1" w:styleId="161">
    <w:name w:val="Char"/>
    <w:basedOn w:val="1"/>
    <w:qFormat/>
    <w:uiPriority w:val="0"/>
    <w:pPr>
      <w:spacing w:line="360" w:lineRule="auto"/>
    </w:pPr>
    <w:rPr>
      <w:rFonts w:ascii="Tahoma" w:hAnsi="Tahoma"/>
      <w:sz w:val="24"/>
      <w:szCs w:val="20"/>
    </w:rPr>
  </w:style>
  <w:style w:type="paragraph" w:customStyle="1" w:styleId="162">
    <w:name w:val="无标题条"/>
    <w:next w:val="83"/>
    <w:qFormat/>
    <w:uiPriority w:val="0"/>
    <w:pPr>
      <w:jc w:val="both"/>
    </w:pPr>
    <w:rPr>
      <w:rFonts w:ascii="Times New Roman" w:hAnsi="Times New Roman" w:eastAsia="宋体" w:cs="Times New Roman"/>
      <w:sz w:val="21"/>
      <w:lang w:val="en-US" w:eastAsia="zh-CN" w:bidi="ar-SA"/>
    </w:rPr>
  </w:style>
  <w:style w:type="paragraph" w:customStyle="1" w:styleId="163">
    <w:name w:val="CM23"/>
    <w:basedOn w:val="141"/>
    <w:next w:val="141"/>
    <w:qFormat/>
    <w:uiPriority w:val="0"/>
    <w:pPr>
      <w:spacing w:line="468" w:lineRule="atLeast"/>
    </w:pPr>
    <w:rPr>
      <w:rFonts w:ascii="黑体" w:eastAsia="黑体" w:cs="Times New Roman"/>
      <w:color w:val="auto"/>
    </w:rPr>
  </w:style>
  <w:style w:type="paragraph" w:customStyle="1" w:styleId="164">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65">
    <w:name w:val="_标准条文"/>
    <w:basedOn w:val="1"/>
    <w:qFormat/>
    <w:uiPriority w:val="0"/>
    <w:pPr>
      <w:widowControl/>
      <w:overflowPunct w:val="0"/>
      <w:snapToGrid w:val="0"/>
      <w:spacing w:before="156" w:after="156" w:line="300" w:lineRule="auto"/>
      <w:ind w:firstLine="426"/>
    </w:pPr>
    <w:rPr>
      <w:rFonts w:ascii="宋体" w:hAnsi="宋体"/>
      <w:szCs w:val="20"/>
    </w:rPr>
  </w:style>
  <w:style w:type="paragraph" w:customStyle="1" w:styleId="166">
    <w:name w:val="前言首行"/>
    <w:basedOn w:val="1"/>
    <w:qFormat/>
    <w:uiPriority w:val="0"/>
    <w:pPr>
      <w:spacing w:after="120"/>
      <w:jc w:val="center"/>
    </w:pPr>
    <w:rPr>
      <w:rFonts w:eastAsia="黑体" w:cs="宋体"/>
      <w:b/>
      <w:bCs/>
      <w:sz w:val="32"/>
      <w:szCs w:val="20"/>
    </w:rPr>
  </w:style>
  <w:style w:type="paragraph" w:customStyle="1" w:styleId="167">
    <w:name w:val="CM22"/>
    <w:basedOn w:val="141"/>
    <w:next w:val="141"/>
    <w:qFormat/>
    <w:uiPriority w:val="0"/>
    <w:pPr>
      <w:spacing w:line="468" w:lineRule="atLeast"/>
    </w:pPr>
    <w:rPr>
      <w:rFonts w:ascii="黑体" w:eastAsia="黑体" w:cs="Times New Roman"/>
      <w:color w:val="auto"/>
    </w:rPr>
  </w:style>
  <w:style w:type="paragraph" w:customStyle="1" w:styleId="168">
    <w:name w:val="样式 标题 5 + 右侧:  1 字符"/>
    <w:basedOn w:val="6"/>
    <w:qFormat/>
    <w:uiPriority w:val="0"/>
    <w:pPr>
      <w:ind w:right="210"/>
    </w:pPr>
    <w:rPr>
      <w:bCs w:val="0"/>
      <w:szCs w:val="20"/>
    </w:rPr>
  </w:style>
  <w:style w:type="paragraph" w:customStyle="1" w:styleId="16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0">
    <w:name w:val="Char Char Char Char Char Char Char Char Char Char Char Char"/>
    <w:basedOn w:val="1"/>
    <w:qFormat/>
    <w:uiPriority w:val="0"/>
    <w:pPr>
      <w:spacing w:line="360" w:lineRule="auto"/>
    </w:pPr>
    <w:rPr>
      <w:rFonts w:ascii="Tahoma" w:hAnsi="Tahoma"/>
      <w:sz w:val="24"/>
      <w:szCs w:val="20"/>
    </w:rPr>
  </w:style>
  <w:style w:type="paragraph" w:customStyle="1" w:styleId="171">
    <w:name w:val="CM9"/>
    <w:basedOn w:val="141"/>
    <w:next w:val="141"/>
    <w:qFormat/>
    <w:uiPriority w:val="0"/>
    <w:pPr>
      <w:spacing w:line="468" w:lineRule="atLeast"/>
    </w:pPr>
    <w:rPr>
      <w:rFonts w:ascii="黑体" w:eastAsia="黑体" w:cs="Times New Roman"/>
      <w:color w:val="auto"/>
    </w:rPr>
  </w:style>
  <w:style w:type="paragraph" w:customStyle="1" w:styleId="17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73">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数字编号列项（二级）"/>
    <w:qFormat/>
    <w:uiPriority w:val="0"/>
    <w:pPr>
      <w:jc w:val="both"/>
    </w:pPr>
    <w:rPr>
      <w:rFonts w:ascii="宋体" w:hAnsi="Times New Roman" w:eastAsia="宋体" w:cs="Times New Roman"/>
      <w:sz w:val="21"/>
      <w:lang w:val="en-US" w:eastAsia="zh-CN" w:bidi="ar-SA"/>
    </w:rPr>
  </w:style>
  <w:style w:type="paragraph" w:customStyle="1" w:styleId="175">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176">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77">
    <w:name w:val="样式1"/>
    <w:basedOn w:val="5"/>
    <w:qFormat/>
    <w:uiPriority w:val="0"/>
    <w:pPr>
      <w:tabs>
        <w:tab w:val="left" w:pos="360"/>
      </w:tabs>
    </w:pPr>
    <w:rPr>
      <w:rFonts w:hAnsi="宋体"/>
      <w:bCs w:val="0"/>
    </w:rPr>
  </w:style>
  <w:style w:type="character" w:customStyle="1" w:styleId="178">
    <w:name w:val="樣式 (拉丁) 微軟正黑體 (中文) 微軟正黑體"/>
    <w:qFormat/>
    <w:uiPriority w:val="0"/>
    <w:rPr>
      <w:rFonts w:ascii="Microsoft JhengHei" w:hAnsi="Microsoft JhengHei" w:eastAsia="Microsoft JhengHei"/>
      <w:sz w:val="20"/>
    </w:rPr>
  </w:style>
  <w:style w:type="paragraph" w:customStyle="1" w:styleId="179">
    <w:name w:val="列出段落11"/>
    <w:basedOn w:val="1"/>
    <w:unhideWhenUsed/>
    <w:qFormat/>
    <w:uiPriority w:val="99"/>
    <w:pPr>
      <w:ind w:firstLine="420" w:firstLineChars="200"/>
    </w:pPr>
    <w:rPr>
      <w:rFonts w:ascii="Calibri" w:hAnsi="Calibri" w:cs="黑体"/>
      <w:szCs w:val="22"/>
    </w:rPr>
  </w:style>
  <w:style w:type="character" w:customStyle="1" w:styleId="180">
    <w:name w:val="标题 2 字符"/>
    <w:link w:val="3"/>
    <w:qFormat/>
    <w:uiPriority w:val="9"/>
    <w:rPr>
      <w:rFonts w:ascii="宋体" w:hAnsi="宋体"/>
      <w:bCs/>
      <w:kern w:val="2"/>
      <w:sz w:val="24"/>
      <w:szCs w:val="24"/>
    </w:rPr>
  </w:style>
  <w:style w:type="character" w:customStyle="1" w:styleId="181">
    <w:name w:val="正文编号） Char Char1"/>
    <w:qFormat/>
    <w:uiPriority w:val="0"/>
    <w:rPr>
      <w:rFonts w:eastAsia="宋体"/>
      <w:kern w:val="2"/>
      <w:sz w:val="21"/>
      <w:szCs w:val="24"/>
      <w:lang w:val="en-US" w:eastAsia="zh-CN" w:bidi="ar-SA"/>
    </w:rPr>
  </w:style>
  <w:style w:type="paragraph" w:customStyle="1" w:styleId="182">
    <w:name w:val="表格（编号）"/>
    <w:qFormat/>
    <w:uiPriority w:val="16"/>
    <w:pPr>
      <w:numPr>
        <w:ilvl w:val="0"/>
        <w:numId w:val="3"/>
      </w:numPr>
      <w:jc w:val="center"/>
    </w:pPr>
    <w:rPr>
      <w:rFonts w:ascii="Times New Roman" w:hAnsi="Times New Roman" w:eastAsia="宋体" w:cs="Times New Roman"/>
      <w:kern w:val="2"/>
      <w:sz w:val="21"/>
      <w:szCs w:val="22"/>
      <w:lang w:val="en-US" w:eastAsia="zh-CN" w:bidi="ar-SA"/>
    </w:rPr>
  </w:style>
  <w:style w:type="paragraph" w:customStyle="1" w:styleId="183">
    <w:name w:val="表格标题"/>
    <w:qFormat/>
    <w:uiPriority w:val="12"/>
    <w:pPr>
      <w:ind w:firstLine="420"/>
      <w:jc w:val="center"/>
    </w:pPr>
    <w:rPr>
      <w:rFonts w:ascii="黑体" w:hAnsi="宋体" w:eastAsia="黑体" w:cs="Times New Roman"/>
      <w:kern w:val="2"/>
      <w:sz w:val="28"/>
      <w:szCs w:val="21"/>
      <w:lang w:val="en-US" w:eastAsia="zh-CN" w:bidi="ar-SA"/>
    </w:rPr>
  </w:style>
  <w:style w:type="paragraph" w:customStyle="1" w:styleId="184">
    <w:name w:val="正文(表格)"/>
    <w:qFormat/>
    <w:uiPriority w:val="15"/>
    <w:pPr>
      <w:widowControl w:val="0"/>
      <w:snapToGrid w:val="0"/>
      <w:jc w:val="center"/>
    </w:pPr>
    <w:rPr>
      <w:rFonts w:ascii="Times New Roman" w:hAnsi="Times New Roman" w:eastAsia="宋体" w:cs="Arial"/>
      <w:spacing w:val="8"/>
      <w:sz w:val="21"/>
      <w:szCs w:val="18"/>
      <w:lang w:val="en-GB" w:eastAsia="zh-CN" w:bidi="ar-SA"/>
    </w:rPr>
  </w:style>
  <w:style w:type="paragraph" w:customStyle="1" w:styleId="185">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86">
    <w:name w:val="¨¨¡À¨º???¡À?"/>
    <w:basedOn w:val="1"/>
    <w:qFormat/>
    <w:uiPriority w:val="0"/>
    <w:pPr>
      <w:autoSpaceDE w:val="0"/>
      <w:autoSpaceDN w:val="0"/>
      <w:adjustRightInd w:val="0"/>
      <w:spacing w:line="360" w:lineRule="auto"/>
      <w:jc w:val="left"/>
    </w:pPr>
    <w:rPr>
      <w:kern w:val="0"/>
      <w:szCs w:val="21"/>
    </w:rPr>
  </w:style>
  <w:style w:type="character" w:customStyle="1" w:styleId="187">
    <w:name w:val="段 Char"/>
    <w:link w:val="83"/>
    <w:qFormat/>
    <w:uiPriority w:val="99"/>
    <w:rPr>
      <w:rFonts w:ascii="宋体"/>
      <w:sz w:val="21"/>
    </w:rPr>
  </w:style>
  <w:style w:type="paragraph" w:customStyle="1" w:styleId="188">
    <w:name w:val="字母编号列项（一级）"/>
    <w:qFormat/>
    <w:uiPriority w:val="0"/>
    <w:pPr>
      <w:jc w:val="both"/>
    </w:pPr>
    <w:rPr>
      <w:rFonts w:ascii="宋体" w:hAnsi="Times New Roman" w:eastAsia="宋体" w:cs="Times New Roman"/>
      <w:sz w:val="21"/>
      <w:lang w:val="en-US" w:eastAsia="zh-CN" w:bidi="ar-SA"/>
    </w:rPr>
  </w:style>
  <w:style w:type="character" w:customStyle="1" w:styleId="189">
    <w:name w:val="D2 Char Char"/>
    <w:link w:val="190"/>
    <w:qFormat/>
    <w:uiPriority w:val="0"/>
  </w:style>
  <w:style w:type="paragraph" w:customStyle="1" w:styleId="190">
    <w:name w:val="D2"/>
    <w:basedOn w:val="1"/>
    <w:link w:val="189"/>
    <w:qFormat/>
    <w:uiPriority w:val="0"/>
    <w:pPr>
      <w:topLinePunct/>
      <w:spacing w:line="312" w:lineRule="exact"/>
    </w:pPr>
    <w:rPr>
      <w:kern w:val="0"/>
      <w:sz w:val="20"/>
      <w:szCs w:val="20"/>
    </w:rPr>
  </w:style>
  <w:style w:type="paragraph" w:customStyle="1" w:styleId="191">
    <w:name w:val="图的脚注"/>
    <w:next w:val="83"/>
    <w:qFormat/>
    <w:uiPriority w:val="0"/>
    <w:pPr>
      <w:widowControl w:val="0"/>
      <w:numPr>
        <w:ilvl w:val="0"/>
        <w:numId w:val="4"/>
      </w:numPr>
      <w:ind w:left="840" w:leftChars="200" w:hanging="420" w:hangingChars="200"/>
      <w:jc w:val="both"/>
    </w:pPr>
    <w:rPr>
      <w:rFonts w:ascii="宋体" w:hAnsi="Times New Roman" w:eastAsia="宋体" w:cs="Times New Roman"/>
      <w:sz w:val="18"/>
      <w:lang w:val="en-US" w:eastAsia="zh-CN" w:bidi="ar-SA"/>
    </w:rPr>
  </w:style>
  <w:style w:type="paragraph" w:customStyle="1" w:styleId="192">
    <w:name w:val="术语标题"/>
    <w:basedOn w:val="1"/>
    <w:qFormat/>
    <w:uiPriority w:val="0"/>
    <w:pPr>
      <w:adjustRightInd w:val="0"/>
      <w:spacing w:line="320" w:lineRule="exact"/>
      <w:ind w:firstLine="422" w:firstLineChars="200"/>
      <w:jc w:val="left"/>
      <w:textAlignment w:val="baseline"/>
    </w:pPr>
    <w:rPr>
      <w:rFonts w:ascii="黑体" w:eastAsia="黑体"/>
      <w:kern w:val="0"/>
      <w:szCs w:val="20"/>
    </w:rPr>
  </w:style>
  <w:style w:type="paragraph" w:customStyle="1" w:styleId="193">
    <w:name w:val="OYT_GB_段_abc"/>
    <w:basedOn w:val="1"/>
    <w:link w:val="195"/>
    <w:qFormat/>
    <w:uiPriority w:val="0"/>
    <w:pPr>
      <w:numPr>
        <w:ilvl w:val="0"/>
        <w:numId w:val="5"/>
      </w:numPr>
      <w:jc w:val="left"/>
    </w:pPr>
    <w:rPr>
      <w:rFonts w:ascii="宋体" w:hAnsi="宋体"/>
      <w:szCs w:val="22"/>
    </w:rPr>
  </w:style>
  <w:style w:type="paragraph" w:customStyle="1" w:styleId="194">
    <w:name w:val="OYT_GB_段1）2）3）"/>
    <w:basedOn w:val="1"/>
    <w:link w:val="196"/>
    <w:qFormat/>
    <w:uiPriority w:val="0"/>
    <w:pPr>
      <w:numPr>
        <w:ilvl w:val="0"/>
        <w:numId w:val="6"/>
      </w:numPr>
      <w:jc w:val="left"/>
    </w:pPr>
    <w:rPr>
      <w:rFonts w:ascii="宋体" w:hAnsi="宋体"/>
      <w:szCs w:val="21"/>
    </w:rPr>
  </w:style>
  <w:style w:type="character" w:customStyle="1" w:styleId="195">
    <w:name w:val="OYT_GB_段_abc 字符"/>
    <w:link w:val="193"/>
    <w:qFormat/>
    <w:uiPriority w:val="0"/>
    <w:rPr>
      <w:rFonts w:ascii="宋体" w:hAnsi="宋体"/>
      <w:kern w:val="2"/>
      <w:sz w:val="21"/>
      <w:szCs w:val="22"/>
    </w:rPr>
  </w:style>
  <w:style w:type="character" w:customStyle="1" w:styleId="196">
    <w:name w:val="OYT_GB_段1）2）3） 字符"/>
    <w:link w:val="194"/>
    <w:qFormat/>
    <w:uiPriority w:val="0"/>
    <w:rPr>
      <w:rFonts w:ascii="宋体" w:hAnsi="宋体"/>
      <w:kern w:val="2"/>
      <w:sz w:val="21"/>
      <w:szCs w:val="21"/>
    </w:rPr>
  </w:style>
  <w:style w:type="paragraph" w:customStyle="1" w:styleId="197">
    <w:name w:val="OYT_GB_段"/>
    <w:basedOn w:val="1"/>
    <w:link w:val="198"/>
    <w:qFormat/>
    <w:uiPriority w:val="0"/>
    <w:pPr>
      <w:ind w:firstLine="420" w:firstLineChars="200"/>
      <w:jc w:val="left"/>
    </w:pPr>
    <w:rPr>
      <w:rFonts w:ascii="宋体" w:hAnsi="宋体"/>
      <w:color w:val="000000"/>
      <w:szCs w:val="22"/>
      <w:shd w:val="clear" w:color="auto" w:fill="FFFFFF"/>
      <w:lang w:eastAsia="zh-Hans"/>
    </w:rPr>
  </w:style>
  <w:style w:type="character" w:customStyle="1" w:styleId="198">
    <w:name w:val="OYT_GB_段 字符"/>
    <w:link w:val="197"/>
    <w:qFormat/>
    <w:uiPriority w:val="0"/>
    <w:rPr>
      <w:rFonts w:ascii="宋体" w:hAnsi="宋体"/>
      <w:color w:val="000000"/>
      <w:kern w:val="2"/>
      <w:sz w:val="21"/>
      <w:szCs w:val="22"/>
      <w:lang w:eastAsia="zh-Hans"/>
    </w:rPr>
  </w:style>
  <w:style w:type="paragraph" w:customStyle="1" w:styleId="199">
    <w:name w:val="注×：（正文）"/>
    <w:qFormat/>
    <w:uiPriority w:val="0"/>
    <w:pPr>
      <w:tabs>
        <w:tab w:val="left" w:pos="360"/>
      </w:tabs>
      <w:jc w:val="both"/>
    </w:pPr>
    <w:rPr>
      <w:rFonts w:ascii="黑体" w:hAnsi="仿宋" w:eastAsia="黑体" w:cs="Cambria Math"/>
      <w:sz w:val="18"/>
      <w:szCs w:val="18"/>
      <w:lang w:val="en-US" w:eastAsia="zh-CN" w:bidi="ar-SA"/>
    </w:rPr>
  </w:style>
  <w:style w:type="paragraph" w:styleId="200">
    <w:name w:val="List Paragraph"/>
    <w:basedOn w:val="1"/>
    <w:qFormat/>
    <w:uiPriority w:val="1"/>
    <w:pPr>
      <w:ind w:firstLine="420" w:firstLineChars="200"/>
    </w:pPr>
  </w:style>
  <w:style w:type="paragraph" w:customStyle="1" w:styleId="20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TOC 标题2"/>
    <w:basedOn w:val="2"/>
    <w:next w:val="1"/>
    <w:unhideWhenUsed/>
    <w:qFormat/>
    <w:uiPriority w:val="39"/>
    <w:pPr>
      <w:widowControl/>
      <w:snapToGrid/>
      <w:spacing w:before="240" w:beforeLines="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3">
    <w:name w:val="表格"/>
    <w:basedOn w:val="1"/>
    <w:qFormat/>
    <w:uiPriority w:val="0"/>
    <w:pPr>
      <w:jc w:val="left"/>
    </w:pPr>
    <w:rPr>
      <w:szCs w:val="22"/>
    </w:rPr>
  </w:style>
  <w:style w:type="paragraph" w:customStyle="1" w:styleId="204">
    <w:name w:val="样式2"/>
    <w:basedOn w:val="3"/>
    <w:next w:val="16"/>
    <w:link w:val="205"/>
    <w:qFormat/>
    <w:uiPriority w:val="0"/>
    <w:pPr>
      <w:ind w:left="567" w:hanging="567"/>
    </w:pPr>
    <w:rPr>
      <w:rFonts w:eastAsiaTheme="majorEastAsia" w:cstheme="majorBidi"/>
      <w:b/>
      <w:sz w:val="21"/>
      <w:szCs w:val="21"/>
    </w:rPr>
  </w:style>
  <w:style w:type="character" w:customStyle="1" w:styleId="205">
    <w:name w:val="样式2 字符"/>
    <w:basedOn w:val="180"/>
    <w:link w:val="204"/>
    <w:qFormat/>
    <w:uiPriority w:val="0"/>
    <w:rPr>
      <w:rFonts w:ascii="宋体" w:hAnsi="宋体" w:eastAsiaTheme="majorEastAsia" w:cstheme="majorBidi"/>
      <w:b/>
      <w:kern w:val="2"/>
      <w:sz w:val="21"/>
      <w:szCs w:val="21"/>
    </w:rPr>
  </w:style>
  <w:style w:type="character" w:customStyle="1" w:styleId="206">
    <w:name w:val="font01"/>
    <w:basedOn w:val="37"/>
    <w:qFormat/>
    <w:uiPriority w:val="0"/>
    <w:rPr>
      <w:rFonts w:hint="eastAsia" w:ascii="宋体" w:hAnsi="宋体" w:eastAsia="宋体" w:cs="宋体"/>
      <w:color w:val="000000"/>
      <w:sz w:val="22"/>
      <w:szCs w:val="22"/>
      <w:u w:val="none"/>
    </w:rPr>
  </w:style>
  <w:style w:type="character" w:customStyle="1" w:styleId="207">
    <w:name w:val="font31"/>
    <w:basedOn w:val="37"/>
    <w:qFormat/>
    <w:uiPriority w:val="0"/>
    <w:rPr>
      <w:rFonts w:hint="default" w:ascii="Times New Roman" w:hAnsi="Times New Roman" w:cs="Times New Roman"/>
      <w:color w:val="000000"/>
      <w:sz w:val="21"/>
      <w:szCs w:val="21"/>
      <w:u w:val="none"/>
    </w:rPr>
  </w:style>
  <w:style w:type="paragraph" w:customStyle="1" w:styleId="208">
    <w:name w:val="Table Text"/>
    <w:basedOn w:val="1"/>
    <w:semiHidden/>
    <w:qFormat/>
    <w:uiPriority w:val="0"/>
    <w:rPr>
      <w:rFonts w:ascii="宋体" w:hAnsi="宋体" w:cs="宋体"/>
      <w:sz w:val="18"/>
      <w:szCs w:val="18"/>
      <w:lang w:eastAsia="en-US"/>
    </w:rPr>
  </w:style>
  <w:style w:type="table" w:customStyle="1" w:styleId="209">
    <w:name w:val="Table Normal"/>
    <w:semiHidden/>
    <w:unhideWhenUsed/>
    <w:qFormat/>
    <w:uiPriority w:val="2"/>
    <w:tblPr>
      <w:tblCellMar>
        <w:top w:w="0" w:type="dxa"/>
        <w:left w:w="0" w:type="dxa"/>
        <w:bottom w:w="0" w:type="dxa"/>
        <w:right w:w="0" w:type="dxa"/>
      </w:tblCellMar>
    </w:tblPr>
  </w:style>
  <w:style w:type="character" w:styleId="210">
    <w:name w:val="Placeholder Text"/>
    <w:basedOn w:val="37"/>
    <w:unhideWhenUsed/>
    <w:qFormat/>
    <w:uiPriority w:val="99"/>
    <w:rPr>
      <w:color w:val="666666"/>
    </w:rPr>
  </w:style>
  <w:style w:type="character" w:customStyle="1" w:styleId="211">
    <w:name w:val="未处理的提及2"/>
    <w:basedOn w:val="37"/>
    <w:semiHidden/>
    <w:unhideWhenUsed/>
    <w:qFormat/>
    <w:uiPriority w:val="99"/>
    <w:rPr>
      <w:color w:val="605E5C"/>
      <w:shd w:val="clear" w:color="auto" w:fill="E1DFDD"/>
    </w:rPr>
  </w:style>
  <w:style w:type="table" w:customStyle="1" w:styleId="212">
    <w:name w:val="无格式表格 21"/>
    <w:basedOn w:val="35"/>
    <w:qFormat/>
    <w:uiPriority w:val="42"/>
    <w:pPr>
      <w:jc w:val="center"/>
    </w:pPr>
    <w:tblPr>
      <w:tblBorders>
        <w:top w:val="single" w:color="7E7E7E" w:themeColor="text1" w:themeTint="80" w:sz="4" w:space="0"/>
        <w:bottom w:val="single" w:color="7E7E7E" w:themeColor="text1" w:themeTint="80" w:sz="4" w:space="0"/>
      </w:tblBorders>
    </w:tblPr>
    <w:tcPr>
      <w:vAlign w:val="center"/>
    </w:tcPr>
    <w:tblStylePr w:type="firstRow">
      <w:rPr>
        <w:b/>
        <w:bCs/>
      </w:rPr>
      <w:tcPr>
        <w:shd w:val="clear" w:color="auto" w:fill="AEAAAA" w:themeFill="background2" w:themeFillShade="BF"/>
      </w:tcPr>
    </w:tblStylePr>
    <w:tblStylePr w:type="lastRow">
      <w:rPr>
        <w:b/>
        <w:bCs/>
      </w:rPr>
      <w:tcPr>
        <w:tcBorders>
          <w:top w:val="single" w:color="7E7E7E" w:themeColor="text1" w:themeTint="80" w:sz="4" w:space="0"/>
        </w:tcBorders>
      </w:tcPr>
    </w:tblStylePr>
    <w:tblStylePr w:type="firstCol">
      <w:rPr>
        <w:b/>
        <w:bCs/>
      </w:rPr>
    </w:tblStylePr>
    <w:tblStylePr w:type="lastCol">
      <w:pPr>
        <w:jc w:val="center"/>
      </w:pPr>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213">
    <w:name w:val="无格式表格 22"/>
    <w:basedOn w:val="35"/>
    <w:qFormat/>
    <w:uiPriority w:val="42"/>
    <w:pPr>
      <w:jc w:val="center"/>
    </w:pPr>
    <w:tblPr>
      <w:tblBorders>
        <w:top w:val="single" w:color="7E7E7E" w:themeColor="text1" w:themeTint="80" w:sz="4" w:space="0"/>
        <w:bottom w:val="single" w:color="7E7E7E" w:themeColor="text1" w:themeTint="80" w:sz="4" w:space="0"/>
      </w:tblBorders>
    </w:tblPr>
    <w:tcPr>
      <w:vAlign w:val="center"/>
    </w:tcPr>
    <w:tblStylePr w:type="firstRow">
      <w:rPr>
        <w:b/>
        <w:bCs/>
      </w:rPr>
      <w:tcPr>
        <w:shd w:val="clear" w:color="auto" w:fill="AEAAAA" w:themeFill="background2" w:themeFillShade="BF"/>
      </w:tcPr>
    </w:tblStylePr>
    <w:tblStylePr w:type="lastRow">
      <w:rPr>
        <w:b/>
        <w:bCs/>
      </w:rPr>
      <w:tcPr>
        <w:tcBorders>
          <w:top w:val="single" w:color="7E7E7E" w:themeColor="text1" w:themeTint="80" w:sz="4" w:space="0"/>
        </w:tcBorders>
      </w:tcPr>
    </w:tblStylePr>
    <w:tblStylePr w:type="firstCol">
      <w:rPr>
        <w:b/>
        <w:bCs/>
      </w:rPr>
    </w:tblStylePr>
    <w:tblStylePr w:type="lastCol">
      <w:pPr>
        <w:jc w:val="center"/>
      </w:pPr>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paragraph" w:customStyle="1" w:styleId="214">
    <w:name w:val="Table Paragraph"/>
    <w:basedOn w:val="1"/>
    <w:qFormat/>
    <w:uiPriority w:val="1"/>
    <w:pPr>
      <w:autoSpaceDE w:val="0"/>
      <w:autoSpaceDN w:val="0"/>
      <w:spacing w:before="20"/>
      <w:ind w:left="107"/>
      <w:jc w:val="left"/>
    </w:pPr>
    <w:rPr>
      <w:rFonts w:ascii="宋体" w:hAnsi="宋体" w:cs="宋体"/>
      <w:kern w:val="0"/>
      <w:sz w:val="22"/>
      <w:szCs w:val="22"/>
    </w:rPr>
  </w:style>
  <w:style w:type="character" w:customStyle="1" w:styleId="215">
    <w:name w:val="未处理的提及3"/>
    <w:basedOn w:val="37"/>
    <w:semiHidden/>
    <w:unhideWhenUsed/>
    <w:qFormat/>
    <w:uiPriority w:val="99"/>
    <w:rPr>
      <w:color w:val="605E5C"/>
      <w:shd w:val="clear" w:color="auto" w:fill="E1DFDD"/>
    </w:rPr>
  </w:style>
  <w:style w:type="paragraph" w:customStyle="1" w:styleId="21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17">
    <w:name w:val="ZS_D表 正文"/>
    <w:basedOn w:val="1"/>
    <w:qFormat/>
    <w:uiPriority w:val="0"/>
    <w:pPr>
      <w:snapToGrid w:val="0"/>
      <w:spacing w:before="50" w:beforeLines="50" w:line="360" w:lineRule="auto"/>
    </w:pPr>
    <w:rPr>
      <w:rFonts w:hAnsi="宋体"/>
      <w:sz w:val="18"/>
      <w:szCs w:val="21"/>
    </w:rPr>
  </w:style>
  <w:style w:type="paragraph" w:customStyle="1" w:styleId="218">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19">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20">
    <w:name w:val="修订6"/>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wmf"/><Relationship Id="rId14" Type="http://schemas.openxmlformats.org/officeDocument/2006/relationships/oleObject" Target="embeddings/oleObject3.bin"/><Relationship Id="rId13" Type="http://schemas.openxmlformats.org/officeDocument/2006/relationships/image" Target="media/image4.wmf"/><Relationship Id="rId12" Type="http://schemas.openxmlformats.org/officeDocument/2006/relationships/oleObject" Target="embeddings/oleObject2.bin"/><Relationship Id="rId11" Type="http://schemas.openxmlformats.org/officeDocument/2006/relationships/image" Target="media/image3.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C86A27-6277-4D40-BB35-647384C23819}">
  <ds:schemaRefs/>
</ds:datastoreItem>
</file>

<file path=docProps/app.xml><?xml version="1.0" encoding="utf-8"?>
<Properties xmlns="http://schemas.openxmlformats.org/officeDocument/2006/extended-properties" xmlns:vt="http://schemas.openxmlformats.org/officeDocument/2006/docPropsVTypes">
  <Template>Normal</Template>
  <Pages>31</Pages>
  <Words>10036</Words>
  <Characters>10438</Characters>
  <Lines>869</Lines>
  <Paragraphs>974</Paragraphs>
  <TotalTime>38</TotalTime>
  <ScaleCrop>false</ScaleCrop>
  <LinksUpToDate>false</LinksUpToDate>
  <CharactersWithSpaces>19500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2026-06-03T08:42:00Z</dcterms:created>
  <dc:creator>tongng</dc:creator>
  <cp:lastModifiedBy>wx-liuxiaojiang</cp:lastModifiedBy>
  <cp:lastPrinted>2015-04-18T09:00:00Z</cp:lastPrinted>
  <dcterms:modified xsi:type="dcterms:W3CDTF">2026-07-07T11:07:59Z</dcterms:modified>
  <dc:title> </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2052-11.8.2.12313</vt:lpwstr>
  </property>
  <property fmtid="{D5CDD505-2E9C-101B-9397-08002B2CF9AE}" pid="4" name="_2015_ms_pID_725343">
    <vt:lpwstr>(3)/b7EMOX1OKtTosvw+BwndAxEoAUfC8GlV4z31oDdN9xIHqwnuAW8OUuNB2Qo4nO+UD7ZiQMn_x000d_
d5DgTChcIZqpRJTdPOOn1gNAWtMSH/kjehI7YF7ep0u/cJGAglBUPDxj684VB+JclSYA3SV2_x000d_
obOZhV4lZ/Uco5JWYk/a8TKkkHHKdS2o3WYcioe2XrtTDzZhQfKjcetT4NdYujepllOay/Jv_x000d_
sI3QbmMNAjOeHlld7j</vt:lpwstr>
  </property>
  <property fmtid="{D5CDD505-2E9C-101B-9397-08002B2CF9AE}" pid="5" name="_2015_ms_pID_7253431">
    <vt:lpwstr>2C17k5OT3C5eIsngxobdkYMijG1Dh8Dfi8wdi0xrS2DlwcH9HSFefp_x000d_
uHohrKwR1oRHBZnRfA33L7mQDRlLMqWXxkEcciKXkelhsTSqVUJpCHX1/+j2F1YN08cwjDo8_x000d_
K4NSg7veZtSXthv55wKyq47DShN4v/VIOgwJxgk1FOQM+ACsgITM0w16ZomevBXpEIPB8j03_x000d_
C9+G0Kq+dETfAtY4RJxODJS71uVs95AZBDp6</vt:lpwstr>
  </property>
  <property fmtid="{D5CDD505-2E9C-101B-9397-08002B2CF9AE}" pid="6" name="_2015_ms_pID_7253432">
    <vt:lpwstr>GQ==</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1555483108</vt:lpwstr>
  </property>
  <property fmtid="{D5CDD505-2E9C-101B-9397-08002B2CF9AE}" pid="11" name="ICV">
    <vt:lpwstr>A57C517C0205478F936501E81D6D46E3_13</vt:lpwstr>
  </property>
  <property fmtid="{D5CDD505-2E9C-101B-9397-08002B2CF9AE}" pid="12" name="KSOTemplateDocerSaveRecord">
    <vt:lpwstr>eyJoZGlkIjoiYjljMWEyNDJkNDczNzMzZDNhYzdjY2RiZjZiYmJiYjAiLCJ1c2VySWQiOiIxODM4ODI5MjAxIn0=</vt:lpwstr>
  </property>
</Properties>
</file>