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hint="eastAsia" w:hAnsi="仿宋_GB2312" w:cs="仿宋_GB2312"/>
          <w:highlight w:val="none"/>
        </w:rPr>
      </w:pPr>
      <w:bookmarkStart w:id="0" w:name="_Toc198288426"/>
      <w:bookmarkStart w:id="1" w:name="_Toc422932954"/>
      <w:bookmarkStart w:id="2" w:name="_Toc147371417"/>
      <w:r>
        <w:rPr>
          <w:rFonts w:hint="eastAsia" w:hAnsi="仿宋_GB2312" w:cs="仿宋_GB2312"/>
          <w:highlight w:val="none"/>
        </w:rPr>
        <w:t xml:space="preserve"> 总则</w:t>
      </w:r>
      <w:bookmarkEnd w:id="0"/>
      <w:bookmarkEnd w:id="1"/>
    </w:p>
    <w:p>
      <w:pPr>
        <w:pStyle w:val="5"/>
        <w:rPr>
          <w:rFonts w:hint="eastAsia" w:hAnsi="仿宋_GB2312" w:cs="仿宋_GB2312"/>
          <w:highlight w:val="none"/>
        </w:rPr>
      </w:pPr>
      <w:bookmarkStart w:id="3" w:name="_Toc296516184"/>
      <w:bookmarkStart w:id="4" w:name="_Toc270544309"/>
      <w:bookmarkStart w:id="5" w:name="_Toc422932955"/>
      <w:r>
        <w:rPr>
          <w:rFonts w:hint="eastAsia" w:hAnsi="仿宋_GB2312" w:cs="仿宋_GB2312"/>
          <w:highlight w:val="none"/>
        </w:rPr>
        <w:t>概述</w:t>
      </w:r>
      <w:bookmarkEnd w:id="3"/>
      <w:bookmarkEnd w:id="4"/>
      <w:bookmarkEnd w:id="5"/>
    </w:p>
    <w:p>
      <w:pPr>
        <w:pStyle w:val="9"/>
        <w:numPr>
          <w:ilvl w:val="0"/>
          <w:numId w:val="2"/>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本文件适用于</w:t>
      </w:r>
      <w:bookmarkStart w:id="6" w:name="OLE_LINK2"/>
      <w:bookmarkStart w:id="7" w:name="OLE_LINK3"/>
      <w:r>
        <w:rPr>
          <w:rFonts w:hint="eastAsia" w:ascii="仿宋_GB2312" w:hAnsi="仿宋_GB2312" w:eastAsia="仿宋_GB2312" w:cs="仿宋_GB2312"/>
          <w:sz w:val="28"/>
          <w:szCs w:val="28"/>
          <w:highlight w:val="none"/>
        </w:rPr>
        <w:t>南方电网科学研究院</w:t>
      </w:r>
      <w:bookmarkEnd w:id="6"/>
      <w:bookmarkEnd w:id="7"/>
      <w:r>
        <w:rPr>
          <w:rFonts w:hint="eastAsia" w:ascii="仿宋_GB2312" w:hAnsi="仿宋_GB2312" w:eastAsia="仿宋_GB2312" w:cs="仿宋_GB2312"/>
          <w:sz w:val="28"/>
          <w:szCs w:val="28"/>
          <w:highlight w:val="none"/>
        </w:rPr>
        <w:t>有限责任公司（以下简称招标人）</w:t>
      </w:r>
      <w:r>
        <w:rPr>
          <w:rFonts w:hint="eastAsia" w:ascii="仿宋_GB2312" w:hAnsi="仿宋_GB2312" w:eastAsia="仿宋_GB2312" w:cs="仿宋_GB2312"/>
          <w:bCs/>
          <w:sz w:val="28"/>
          <w:szCs w:val="28"/>
          <w:highlight w:val="none"/>
          <w:u w:val="single"/>
          <w:lang w:eastAsia="zh-CN"/>
        </w:rPr>
        <w:t>南网科研院2026年网络安全态势感知平台建设项目</w:t>
      </w:r>
      <w:r>
        <w:rPr>
          <w:rFonts w:hint="eastAsia" w:ascii="仿宋_GB2312" w:hAnsi="仿宋_GB2312" w:eastAsia="仿宋_GB2312" w:cs="仿宋_GB2312"/>
          <w:sz w:val="28"/>
          <w:szCs w:val="28"/>
          <w:highlight w:val="none"/>
        </w:rPr>
        <w:t>，本文件的最终解释权归南方电网科学研究院有限责任公司。</w:t>
      </w:r>
    </w:p>
    <w:p>
      <w:pPr>
        <w:pStyle w:val="9"/>
        <w:numPr>
          <w:ilvl w:val="0"/>
          <w:numId w:val="2"/>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所有招标人认为是本文件范围所要求而被遗漏的项目，都被认为是包含在本次招标范围内，投标人的投标被视为包含此遗漏项目的投标。投标人可以就招标人认为的遗漏项目提请招标人注意，并详细说明理由。招标人将就此进行澄清。</w:t>
      </w:r>
    </w:p>
    <w:p>
      <w:pPr>
        <w:pStyle w:val="9"/>
        <w:numPr>
          <w:ilvl w:val="0"/>
          <w:numId w:val="2"/>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投标人应保证所提供的所有资料真实、完整、准确无误，否则招标人将有权取消投标人的投标资格，由此产生的一切后果由投标人承担。</w:t>
      </w:r>
    </w:p>
    <w:p>
      <w:pPr>
        <w:pStyle w:val="9"/>
        <w:numPr>
          <w:ilvl w:val="0"/>
          <w:numId w:val="2"/>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按照本技术规范书的要求提供详细、完整的技术方案。所提供的技术方案应完全满足或高于本技术规范书的要求，对于本技术规范书中的条款，投标人如不能满足要求，或有其它替代方案，或有其它修改建议，应在技术方案以及技术差异表中指出其必须进行修改的理由以及与原要求的差别。对于本技术规范书未规定的有关系统性能和功能，投标人应提出补充要求或建议，并陈述其理由。</w:t>
      </w:r>
    </w:p>
    <w:p>
      <w:pPr>
        <w:pStyle w:val="5"/>
        <w:rPr>
          <w:rFonts w:hint="eastAsia" w:hAnsi="仿宋_GB2312" w:cs="仿宋_GB2312"/>
          <w:highlight w:val="none"/>
        </w:rPr>
      </w:pPr>
      <w:bookmarkStart w:id="8" w:name="_Toc296516185"/>
      <w:bookmarkStart w:id="9" w:name="_Toc270544310"/>
      <w:bookmarkStart w:id="10" w:name="_Toc422932956"/>
      <w:r>
        <w:rPr>
          <w:rFonts w:hint="eastAsia" w:hAnsi="仿宋_GB2312" w:cs="仿宋_GB2312"/>
          <w:highlight w:val="none"/>
        </w:rPr>
        <w:t>定义</w:t>
      </w:r>
      <w:bookmarkEnd w:id="8"/>
      <w:bookmarkEnd w:id="9"/>
      <w:bookmarkEnd w:id="10"/>
    </w:p>
    <w:p>
      <w:pPr>
        <w:pStyle w:val="9"/>
        <w:numPr>
          <w:ilvl w:val="0"/>
          <w:numId w:val="3"/>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招标人：南方电网科学研究院有限责任公司。 </w:t>
      </w:r>
    </w:p>
    <w:p>
      <w:pPr>
        <w:pStyle w:val="9"/>
        <w:numPr>
          <w:ilvl w:val="0"/>
          <w:numId w:val="3"/>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投标人：参加本次投标竞争，向招标人提交投标文件的供货商/服务商/承包商。</w:t>
      </w:r>
    </w:p>
    <w:p>
      <w:pPr>
        <w:pStyle w:val="9"/>
        <w:numPr>
          <w:ilvl w:val="0"/>
          <w:numId w:val="3"/>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中标人：最终被授予合同的投标人。 </w:t>
      </w:r>
    </w:p>
    <w:p>
      <w:pPr>
        <w:pStyle w:val="5"/>
        <w:rPr>
          <w:rFonts w:hint="eastAsia" w:hAnsi="仿宋_GB2312" w:cs="仿宋_GB2312"/>
          <w:highlight w:val="none"/>
        </w:rPr>
      </w:pPr>
      <w:bookmarkStart w:id="11" w:name="_Toc422932957"/>
      <w:r>
        <w:rPr>
          <w:rFonts w:hint="eastAsia" w:hAnsi="仿宋_GB2312" w:cs="仿宋_GB2312"/>
          <w:highlight w:val="none"/>
        </w:rPr>
        <w:t>标准和规范</w:t>
      </w:r>
      <w:bookmarkEnd w:id="11"/>
    </w:p>
    <w:p>
      <w:pPr>
        <w:spacing w:line="560" w:lineRule="exact"/>
        <w:ind w:firstLine="560" w:firstLineChars="200"/>
        <w:rPr>
          <w:rFonts w:hint="eastAsia" w:ascii="仿宋_GB2312" w:hAnsi="仿宋_GB2312" w:eastAsia="仿宋_GB2312" w:cs="仿宋_GB2312"/>
          <w:sz w:val="28"/>
          <w:szCs w:val="28"/>
          <w:highlight w:val="none"/>
        </w:rPr>
      </w:pPr>
      <w:bookmarkStart w:id="12" w:name="_Toc21723"/>
      <w:bookmarkStart w:id="13" w:name="_Toc63257736"/>
      <w:bookmarkStart w:id="14" w:name="_Toc422932958"/>
      <w:bookmarkStart w:id="15" w:name="_Toc1135618183"/>
      <w:bookmarkStart w:id="16" w:name="_Toc507053957"/>
      <w:bookmarkStart w:id="17" w:name="_Toc28440"/>
      <w:bookmarkStart w:id="18" w:name="_Toc1730146548"/>
      <w:r>
        <w:rPr>
          <w:rFonts w:hint="eastAsia" w:ascii="仿宋_GB2312" w:hAnsi="仿宋_GB2312" w:eastAsia="仿宋_GB2312" w:cs="仿宋_GB2312"/>
          <w:sz w:val="28"/>
          <w:szCs w:val="28"/>
          <w:highlight w:val="none"/>
        </w:rPr>
        <w:t>本技术规范中涉及的所有规范、标准或材料规格均应为最新版本，即以采购人发出本方案之日作为采用最新版本的截止日期。若发现本技术规范书与所列标准之间有不一致之处，投标人应向采购人指明，并由招标人确定采用哪一个规范。</w:t>
      </w:r>
    </w:p>
    <w:p>
      <w:pPr>
        <w:spacing w:line="560" w:lineRule="exact"/>
        <w:ind w:firstLine="560" w:firstLineChars="200"/>
        <w:rPr>
          <w:rFonts w:hint="eastAsia" w:ascii="仿宋_GB2312" w:hAnsi="仿宋_GB2312" w:eastAsia="仿宋_GB2312" w:cs="仿宋_GB2312"/>
          <w:highlight w:val="none"/>
        </w:rPr>
      </w:pPr>
      <w:r>
        <w:rPr>
          <w:rFonts w:hint="eastAsia" w:ascii="仿宋_GB2312" w:hAnsi="仿宋_GB2312" w:eastAsia="仿宋_GB2312" w:cs="仿宋_GB2312"/>
          <w:sz w:val="28"/>
          <w:szCs w:val="28"/>
          <w:highlight w:val="none"/>
        </w:rPr>
        <w:t>投标人如果采用自己的标准或规范，必须向招标人提供中文复印件并经招标方同意后方可采用，但不能低于GB、JB有关规定。</w:t>
      </w:r>
    </w:p>
    <w:bookmarkEnd w:id="12"/>
    <w:bookmarkEnd w:id="13"/>
    <w:bookmarkEnd w:id="14"/>
    <w:bookmarkEnd w:id="15"/>
    <w:bookmarkEnd w:id="16"/>
    <w:bookmarkEnd w:id="17"/>
    <w:bookmarkEnd w:id="18"/>
    <w:p>
      <w:pPr>
        <w:pStyle w:val="5"/>
        <w:ind w:left="575" w:hanging="575"/>
        <w:rPr>
          <w:rFonts w:hint="eastAsia" w:hAnsi="仿宋_GB2312" w:cs="仿宋_GB2312"/>
          <w:highlight w:val="none"/>
        </w:rPr>
      </w:pPr>
      <w:r>
        <w:rPr>
          <w:rFonts w:hint="eastAsia" w:hAnsi="仿宋_GB2312" w:cs="仿宋_GB2312"/>
          <w:highlight w:val="none"/>
        </w:rPr>
        <w:t>对投标技术文件的要求</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投标技术文件必须包括但不限于以下内容：投标技术文件响应，技术差异表和技术方案。</w:t>
      </w:r>
    </w:p>
    <w:p>
      <w:pPr>
        <w:spacing w:line="560" w:lineRule="exact"/>
        <w:ind w:firstLine="560" w:firstLineChars="200"/>
        <w:rPr>
          <w:rFonts w:hint="eastAsia" w:ascii="仿宋_GB2312" w:hAnsi="仿宋_GB2312" w:eastAsia="仿宋_GB2312" w:cs="仿宋_GB2312"/>
          <w:sz w:val="28"/>
          <w:szCs w:val="28"/>
          <w:highlight w:val="none"/>
        </w:rPr>
      </w:pPr>
      <w:bookmarkStart w:id="19" w:name="_Toc19287"/>
      <w:bookmarkStart w:id="20" w:name="_Toc413948009"/>
      <w:r>
        <w:rPr>
          <w:rFonts w:hint="eastAsia" w:ascii="仿宋_GB2312" w:hAnsi="仿宋_GB2312" w:eastAsia="仿宋_GB2312" w:cs="仿宋_GB2312"/>
          <w:sz w:val="28"/>
          <w:szCs w:val="28"/>
          <w:highlight w:val="none"/>
        </w:rPr>
        <w:t>1.4.1投标文件的响应</w:t>
      </w:r>
      <w:bookmarkEnd w:id="19"/>
      <w:bookmarkEnd w:id="20"/>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pacing w:line="560" w:lineRule="exact"/>
        <w:ind w:firstLine="560" w:firstLineChars="200"/>
        <w:rPr>
          <w:rFonts w:hint="eastAsia" w:ascii="仿宋_GB2312" w:hAnsi="仿宋_GB2312" w:eastAsia="仿宋_GB2312" w:cs="仿宋_GB2312"/>
          <w:sz w:val="28"/>
          <w:szCs w:val="28"/>
          <w:highlight w:val="none"/>
        </w:rPr>
      </w:pPr>
      <w:bookmarkStart w:id="21" w:name="_Toc413948010"/>
      <w:bookmarkStart w:id="22" w:name="_Toc32716"/>
      <w:r>
        <w:rPr>
          <w:rFonts w:hint="eastAsia" w:ascii="仿宋_GB2312" w:hAnsi="仿宋_GB2312" w:eastAsia="仿宋_GB2312" w:cs="仿宋_GB2312"/>
          <w:sz w:val="28"/>
          <w:szCs w:val="28"/>
          <w:highlight w:val="none"/>
        </w:rPr>
        <w:t>1.4.2技术差异表</w:t>
      </w:r>
      <w:bookmarkEnd w:id="21"/>
      <w:bookmarkEnd w:id="22"/>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技术差异表见附件一。</w:t>
      </w:r>
    </w:p>
    <w:p>
      <w:pPr>
        <w:spacing w:line="560" w:lineRule="exact"/>
        <w:ind w:firstLine="560" w:firstLineChars="200"/>
        <w:rPr>
          <w:rFonts w:hint="eastAsia" w:ascii="仿宋_GB2312" w:hAnsi="仿宋_GB2312" w:eastAsia="仿宋_GB2312" w:cs="仿宋_GB2312"/>
          <w:sz w:val="28"/>
          <w:szCs w:val="28"/>
          <w:highlight w:val="none"/>
        </w:rPr>
      </w:pPr>
      <w:bookmarkStart w:id="23" w:name="_Toc413948011"/>
      <w:bookmarkStart w:id="24" w:name="_Toc12829"/>
      <w:r>
        <w:rPr>
          <w:rFonts w:hint="eastAsia" w:ascii="仿宋_GB2312" w:hAnsi="仿宋_GB2312" w:eastAsia="仿宋_GB2312" w:cs="仿宋_GB2312"/>
          <w:sz w:val="28"/>
          <w:szCs w:val="28"/>
          <w:highlight w:val="none"/>
        </w:rPr>
        <w:t>1.4.3技术方案</w:t>
      </w:r>
      <w:bookmarkEnd w:id="23"/>
      <w:bookmarkEnd w:id="24"/>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投标人所提供的技术方案应按照以下的内容格式及编排顺序进行编制，但不限于以下内容。</w:t>
      </w:r>
    </w:p>
    <w:p>
      <w:pPr>
        <w:spacing w:line="560" w:lineRule="exact"/>
        <w:ind w:firstLine="560" w:firstLineChars="200"/>
        <w:rPr>
          <w:rFonts w:hint="eastAsia" w:ascii="仿宋_GB2312" w:hAnsi="仿宋_GB2312" w:eastAsia="仿宋_GB2312" w:cs="仿宋_GB2312"/>
          <w:sz w:val="28"/>
          <w:szCs w:val="28"/>
          <w:highlight w:val="none"/>
        </w:rPr>
      </w:pPr>
      <w:bookmarkStart w:id="25" w:name="_Toc296516188"/>
      <w:bookmarkStart w:id="26" w:name="_Toc270544312"/>
      <w:r>
        <w:rPr>
          <w:rFonts w:hint="eastAsia" w:ascii="仿宋_GB2312" w:hAnsi="仿宋_GB2312" w:eastAsia="仿宋_GB2312" w:cs="仿宋_GB2312"/>
          <w:sz w:val="28"/>
          <w:szCs w:val="28"/>
          <w:highlight w:val="none"/>
        </w:rPr>
        <w:t>1.4.3.1概述</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1.4.3.2设备技术参数（详细描述设备技术参数响应）</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1.4.3.4项目的进度安排</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提交详细的项目进度计划，明确里程碑。</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1.4.3.5技术服务承诺</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投标人为本项目所提供的服务的内容、服务方式和服务承诺（含售后服务）。</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1.4.3.6项目管理方案</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项目组织。提供本项目组织详细资料，提供该项目人员构成及名单。</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1.4.3.7附录</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1.4.3.7.1风险与对策：若投标人认为实现本文件的相关内容存在技术类或其它类风险，请详细说明，并提供相应的对策。</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1.4.3.7.2投标人认为需要为本项目提供的其它任何的资料信息。</w:t>
      </w:r>
      <w:bookmarkEnd w:id="25"/>
      <w:bookmarkEnd w:id="26"/>
    </w:p>
    <w:p>
      <w:pPr>
        <w:pStyle w:val="4"/>
        <w:ind w:left="432" w:hanging="432"/>
        <w:rPr>
          <w:rFonts w:hint="eastAsia" w:hAnsi="仿宋_GB2312" w:cs="仿宋_GB2312"/>
          <w:highlight w:val="none"/>
        </w:rPr>
      </w:pPr>
      <w:r>
        <w:rPr>
          <w:rFonts w:hint="eastAsia" w:hAnsi="仿宋_GB2312" w:cs="仿宋_GB2312"/>
          <w:highlight w:val="none"/>
        </w:rPr>
        <w:t>总体描述</w:t>
      </w:r>
    </w:p>
    <w:p>
      <w:pPr>
        <w:pStyle w:val="5"/>
        <w:ind w:left="426" w:hanging="420"/>
        <w:rPr>
          <w:rFonts w:hint="eastAsia" w:hAnsi="仿宋_GB2312" w:cs="仿宋_GB2312"/>
          <w:highlight w:val="none"/>
        </w:rPr>
      </w:pPr>
      <w:r>
        <w:rPr>
          <w:rFonts w:hint="eastAsia" w:hAnsi="仿宋_GB2312" w:cs="仿宋_GB2312"/>
          <w:highlight w:val="none"/>
        </w:rPr>
        <w:t>项目背景</w:t>
      </w:r>
    </w:p>
    <w:p>
      <w:pPr>
        <w:adjustRightInd w:val="0"/>
        <w:snapToGrid w:val="0"/>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随着数字化转型的</w:t>
      </w:r>
      <w:r>
        <w:rPr>
          <w:rFonts w:hint="eastAsia" w:ascii="仿宋_GB2312" w:hAnsi="仿宋_GB2312" w:eastAsia="仿宋_GB2312" w:cs="仿宋_GB2312"/>
          <w:sz w:val="28"/>
          <w:szCs w:val="28"/>
          <w:highlight w:val="none"/>
          <w:lang w:eastAsia="zh-Hans"/>
        </w:rPr>
        <w:t>不断</w:t>
      </w:r>
      <w:r>
        <w:rPr>
          <w:rFonts w:hint="eastAsia" w:ascii="仿宋_GB2312" w:hAnsi="仿宋_GB2312" w:eastAsia="仿宋_GB2312" w:cs="仿宋_GB2312"/>
          <w:sz w:val="28"/>
          <w:szCs w:val="28"/>
          <w:highlight w:val="none"/>
        </w:rPr>
        <w:t>深入，</w:t>
      </w:r>
      <w:r>
        <w:rPr>
          <w:rFonts w:hint="eastAsia" w:ascii="仿宋_GB2312" w:hAnsi="仿宋_GB2312" w:eastAsia="仿宋_GB2312" w:cs="仿宋_GB2312"/>
          <w:sz w:val="28"/>
          <w:szCs w:val="28"/>
          <w:highlight w:val="none"/>
          <w:lang w:eastAsia="zh-Hans"/>
        </w:rPr>
        <w:t>安全事件层出不穷</w:t>
      </w:r>
      <w:r>
        <w:rPr>
          <w:rFonts w:hint="eastAsia" w:ascii="仿宋_GB2312" w:hAnsi="仿宋_GB2312" w:eastAsia="仿宋_GB2312" w:cs="仿宋_GB2312"/>
          <w:sz w:val="28"/>
          <w:szCs w:val="28"/>
          <w:highlight w:val="none"/>
        </w:rPr>
        <w:t>。近</w:t>
      </w:r>
      <w:r>
        <w:rPr>
          <w:rFonts w:hint="eastAsia" w:ascii="仿宋_GB2312" w:hAnsi="仿宋_GB2312" w:eastAsia="仿宋_GB2312" w:cs="仿宋_GB2312"/>
          <w:sz w:val="28"/>
          <w:szCs w:val="28"/>
          <w:highlight w:val="none"/>
          <w:lang w:eastAsia="zh-Hans"/>
        </w:rPr>
        <w:t>几年</w:t>
      </w:r>
      <w:r>
        <w:rPr>
          <w:rFonts w:hint="eastAsia" w:ascii="仿宋_GB2312" w:hAnsi="仿宋_GB2312" w:eastAsia="仿宋_GB2312" w:cs="仿宋_GB2312"/>
          <w:sz w:val="28"/>
          <w:szCs w:val="28"/>
          <w:highlight w:val="none"/>
        </w:rPr>
        <w:t>来因</w:t>
      </w:r>
      <w:r>
        <w:rPr>
          <w:rFonts w:hint="eastAsia" w:ascii="仿宋_GB2312" w:hAnsi="仿宋_GB2312" w:eastAsia="仿宋_GB2312" w:cs="仿宋_GB2312"/>
          <w:sz w:val="28"/>
          <w:szCs w:val="28"/>
          <w:highlight w:val="none"/>
          <w:lang w:eastAsia="zh-Hans"/>
        </w:rPr>
        <w:t>网络</w:t>
      </w:r>
      <w:r>
        <w:rPr>
          <w:rFonts w:hint="eastAsia" w:ascii="仿宋_GB2312" w:hAnsi="仿宋_GB2312" w:eastAsia="仿宋_GB2312" w:cs="仿宋_GB2312"/>
          <w:sz w:val="28"/>
          <w:szCs w:val="28"/>
          <w:highlight w:val="none"/>
        </w:rPr>
        <w:t>安全问题导致的</w:t>
      </w:r>
      <w:r>
        <w:rPr>
          <w:rFonts w:hint="eastAsia" w:ascii="仿宋_GB2312" w:hAnsi="仿宋_GB2312" w:eastAsia="仿宋_GB2312" w:cs="仿宋_GB2312"/>
          <w:sz w:val="28"/>
          <w:szCs w:val="28"/>
          <w:highlight w:val="none"/>
          <w:lang w:eastAsia="zh-Hans"/>
        </w:rPr>
        <w:t>网络攻击</w:t>
      </w:r>
      <w:r>
        <w:rPr>
          <w:rFonts w:ascii="仿宋_GB2312" w:hAnsi="仿宋_GB2312" w:eastAsia="仿宋_GB2312" w:cs="仿宋_GB2312"/>
          <w:sz w:val="28"/>
          <w:szCs w:val="28"/>
          <w:highlight w:val="none"/>
          <w:lang w:eastAsia="zh-Hans"/>
        </w:rPr>
        <w:t>、</w:t>
      </w:r>
      <w:r>
        <w:rPr>
          <w:rFonts w:hint="eastAsia" w:ascii="仿宋_GB2312" w:hAnsi="仿宋_GB2312" w:eastAsia="仿宋_GB2312" w:cs="仿宋_GB2312"/>
          <w:sz w:val="28"/>
          <w:szCs w:val="28"/>
          <w:highlight w:val="none"/>
        </w:rPr>
        <w:t>数据泄漏</w:t>
      </w:r>
      <w:r>
        <w:rPr>
          <w:rFonts w:hint="eastAsia" w:ascii="仿宋_GB2312" w:hAnsi="仿宋_GB2312" w:eastAsia="仿宋_GB2312" w:cs="仿宋_GB2312"/>
          <w:sz w:val="28"/>
          <w:szCs w:val="28"/>
          <w:highlight w:val="none"/>
          <w:lang w:eastAsia="zh-Hans"/>
        </w:rPr>
        <w:t>等安全</w:t>
      </w:r>
      <w:r>
        <w:rPr>
          <w:rFonts w:hint="eastAsia" w:ascii="仿宋_GB2312" w:hAnsi="仿宋_GB2312" w:eastAsia="仿宋_GB2312" w:cs="仿宋_GB2312"/>
          <w:sz w:val="28"/>
          <w:szCs w:val="28"/>
          <w:highlight w:val="none"/>
        </w:rPr>
        <w:t>事件频频发生</w:t>
      </w:r>
      <w:r>
        <w:rPr>
          <w:rFonts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rPr>
        <w:t>安全威胁出现复杂化、多样化的趋势，</w:t>
      </w:r>
      <w:r>
        <w:rPr>
          <w:rFonts w:hint="eastAsia" w:ascii="仿宋_GB2312" w:hAnsi="仿宋_GB2312" w:eastAsia="仿宋_GB2312" w:cs="仿宋_GB2312"/>
          <w:sz w:val="28"/>
          <w:szCs w:val="28"/>
          <w:highlight w:val="none"/>
          <w:lang w:eastAsia="zh-Hans"/>
        </w:rPr>
        <w:t>公司</w:t>
      </w:r>
      <w:r>
        <w:rPr>
          <w:rFonts w:hint="eastAsia" w:ascii="仿宋_GB2312" w:hAnsi="仿宋_GB2312" w:eastAsia="仿宋_GB2312" w:cs="仿宋_GB2312"/>
          <w:sz w:val="28"/>
          <w:szCs w:val="28"/>
          <w:highlight w:val="none"/>
        </w:rPr>
        <w:t>业务系统正面临来自多方面的安全挑战。</w:t>
      </w:r>
    </w:p>
    <w:p>
      <w:pPr>
        <w:adjustRightInd w:val="0"/>
        <w:snapToGrid w:val="0"/>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通过本</w:t>
      </w:r>
      <w:r>
        <w:rPr>
          <w:rFonts w:hint="eastAsia" w:ascii="仿宋_GB2312" w:hAnsi="仿宋_GB2312" w:eastAsia="仿宋_GB2312" w:cs="仿宋_GB2312"/>
          <w:sz w:val="28"/>
          <w:szCs w:val="28"/>
          <w:highlight w:val="none"/>
          <w:lang w:eastAsia="zh-Hans"/>
        </w:rPr>
        <w:t>次</w:t>
      </w:r>
      <w:r>
        <w:rPr>
          <w:rFonts w:hint="eastAsia" w:ascii="仿宋_GB2312" w:hAnsi="仿宋_GB2312" w:eastAsia="仿宋_GB2312" w:cs="仿宋_GB2312"/>
          <w:sz w:val="28"/>
          <w:szCs w:val="28"/>
          <w:highlight w:val="none"/>
        </w:rPr>
        <w:t>项目建设</w:t>
      </w:r>
      <w:r>
        <w:rPr>
          <w:rFonts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eastAsia="zh-Hans"/>
        </w:rPr>
        <w:t>有效</w:t>
      </w:r>
      <w:r>
        <w:rPr>
          <w:rFonts w:hint="eastAsia" w:ascii="仿宋_GB2312" w:hAnsi="仿宋_GB2312" w:eastAsia="仿宋_GB2312" w:cs="仿宋_GB2312"/>
          <w:sz w:val="28"/>
          <w:szCs w:val="28"/>
          <w:highlight w:val="none"/>
        </w:rPr>
        <w:t>提升南方电网科学研究院有限责任公司的安全防护能力，完善网络安全防御体系，进一步夯实网络安全基础工作，补齐短板，大幅提升</w:t>
      </w:r>
      <w:r>
        <w:rPr>
          <w:rFonts w:hint="eastAsia" w:ascii="仿宋_GB2312" w:hAnsi="仿宋_GB2312" w:eastAsia="仿宋_GB2312" w:cs="仿宋_GB2312"/>
          <w:sz w:val="28"/>
          <w:szCs w:val="28"/>
          <w:highlight w:val="none"/>
          <w:lang w:eastAsia="zh-Hans"/>
        </w:rPr>
        <w:t>公司</w:t>
      </w:r>
      <w:r>
        <w:rPr>
          <w:rFonts w:hint="eastAsia" w:ascii="仿宋_GB2312" w:hAnsi="仿宋_GB2312" w:eastAsia="仿宋_GB2312" w:cs="仿宋_GB2312"/>
          <w:sz w:val="28"/>
          <w:szCs w:val="28"/>
          <w:highlight w:val="none"/>
        </w:rPr>
        <w:t>网络安全</w:t>
      </w:r>
      <w:r>
        <w:rPr>
          <w:rFonts w:hint="eastAsia" w:ascii="仿宋_GB2312" w:hAnsi="仿宋_GB2312" w:eastAsia="仿宋_GB2312" w:cs="仿宋_GB2312"/>
          <w:sz w:val="28"/>
          <w:szCs w:val="28"/>
          <w:highlight w:val="none"/>
          <w:lang w:eastAsia="zh-Hans"/>
        </w:rPr>
        <w:t>防护</w:t>
      </w:r>
      <w:r>
        <w:rPr>
          <w:rFonts w:hint="eastAsia" w:ascii="仿宋_GB2312" w:hAnsi="仿宋_GB2312" w:eastAsia="仿宋_GB2312" w:cs="仿宋_GB2312"/>
          <w:sz w:val="28"/>
          <w:szCs w:val="28"/>
          <w:highlight w:val="none"/>
        </w:rPr>
        <w:t>能力。</w:t>
      </w:r>
    </w:p>
    <w:p>
      <w:pPr>
        <w:pStyle w:val="5"/>
        <w:ind w:left="426" w:hanging="420"/>
        <w:rPr>
          <w:rFonts w:hint="eastAsia" w:hAnsi="仿宋_GB2312" w:cs="仿宋_GB2312"/>
          <w:highlight w:val="none"/>
        </w:rPr>
      </w:pPr>
      <w:r>
        <w:rPr>
          <w:rFonts w:hint="eastAsia" w:hAnsi="仿宋_GB2312" w:cs="仿宋_GB2312"/>
          <w:highlight w:val="none"/>
        </w:rPr>
        <w:t>项目采购范围</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本次招标采购内容</w:t>
      </w:r>
      <w:r>
        <w:rPr>
          <w:rFonts w:hint="eastAsia" w:ascii="仿宋_GB2312" w:hAnsi="仿宋_GB2312" w:eastAsia="仿宋_GB2312" w:cs="仿宋_GB2312"/>
          <w:sz w:val="28"/>
          <w:szCs w:val="28"/>
          <w:highlight w:val="none"/>
          <w:lang w:eastAsia="zh-Hans"/>
        </w:rPr>
        <w:t>包含如下</w:t>
      </w:r>
      <w:r>
        <w:rPr>
          <w:rFonts w:hint="eastAsia" w:ascii="仿宋_GB2312" w:hAnsi="仿宋_GB2312" w:eastAsia="仿宋_GB2312" w:cs="仿宋_GB2312"/>
          <w:sz w:val="28"/>
          <w:szCs w:val="28"/>
          <w:highlight w:val="none"/>
        </w:rPr>
        <w:t>：</w:t>
      </w:r>
    </w:p>
    <w:tbl>
      <w:tblPr>
        <w:tblStyle w:val="2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235"/>
        <w:gridCol w:w="866"/>
        <w:gridCol w:w="4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序号</w:t>
            </w:r>
          </w:p>
        </w:tc>
        <w:tc>
          <w:tcPr>
            <w:tcW w:w="2235"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设备名称</w:t>
            </w:r>
          </w:p>
        </w:tc>
        <w:tc>
          <w:tcPr>
            <w:tcW w:w="866"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数量</w:t>
            </w:r>
          </w:p>
        </w:tc>
        <w:tc>
          <w:tcPr>
            <w:tcW w:w="4592"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35" w:type="dxa"/>
            <w:vAlign w:val="center"/>
          </w:tcPr>
          <w:p>
            <w:pPr>
              <w:widowControl/>
              <w:jc w:val="center"/>
              <w:rPr>
                <w:rFonts w:hint="eastAsia" w:ascii="仿宋_GB2312" w:hAnsi="仿宋_GB2312" w:eastAsia="仿宋_GB2312" w:cs="仿宋_GB2312"/>
                <w:kern w:val="0"/>
                <w:sz w:val="24"/>
                <w:szCs w:val="24"/>
                <w:highlight w:val="none"/>
                <w:lang w:bidi="ar"/>
              </w:rPr>
            </w:pPr>
            <w:r>
              <w:rPr>
                <w:rFonts w:hint="eastAsia" w:ascii="仿宋_GB2312" w:hAnsi="仿宋_GB2312" w:eastAsia="仿宋_GB2312" w:cs="仿宋_GB2312"/>
                <w:kern w:val="0"/>
                <w:sz w:val="24"/>
                <w:szCs w:val="24"/>
                <w:highlight w:val="none"/>
                <w:lang w:bidi="ar"/>
              </w:rPr>
              <w:t>1</w:t>
            </w:r>
          </w:p>
        </w:tc>
        <w:tc>
          <w:tcPr>
            <w:tcW w:w="2235" w:type="dxa"/>
            <w:vAlign w:val="center"/>
          </w:tcPr>
          <w:p>
            <w:pPr>
              <w:widowControl/>
              <w:jc w:val="center"/>
              <w:rPr>
                <w:rFonts w:hint="eastAsia" w:ascii="仿宋_GB2312" w:hAnsi="仿宋_GB2312" w:eastAsia="仿宋_GB2312" w:cs="仿宋_GB2312"/>
                <w:kern w:val="0"/>
                <w:sz w:val="24"/>
                <w:szCs w:val="24"/>
                <w:highlight w:val="none"/>
                <w:lang w:eastAsia="zh-Hans" w:bidi="ar"/>
              </w:rPr>
            </w:pPr>
            <w:bookmarkStart w:id="27" w:name="OLE_LINK1"/>
            <w:r>
              <w:rPr>
                <w:rFonts w:hint="eastAsia" w:ascii="仿宋_GB2312" w:hAnsi="仿宋_GB2312" w:eastAsia="仿宋_GB2312" w:cs="仿宋_GB2312"/>
                <w:kern w:val="0"/>
                <w:sz w:val="24"/>
                <w:szCs w:val="24"/>
                <w:highlight w:val="none"/>
                <w:lang w:bidi="ar"/>
              </w:rPr>
              <w:t>网络安全态势感知平台</w:t>
            </w:r>
            <w:bookmarkEnd w:id="27"/>
          </w:p>
        </w:tc>
        <w:tc>
          <w:tcPr>
            <w:tcW w:w="866" w:type="dxa"/>
            <w:vAlign w:val="center"/>
          </w:tcPr>
          <w:p>
            <w:pPr>
              <w:widowControl/>
              <w:jc w:val="center"/>
              <w:rPr>
                <w:rFonts w:hint="eastAsia" w:ascii="仿宋_GB2312" w:hAnsi="仿宋_GB2312" w:eastAsia="仿宋_GB2312" w:cs="仿宋_GB2312"/>
                <w:kern w:val="0"/>
                <w:sz w:val="24"/>
                <w:szCs w:val="24"/>
                <w:highlight w:val="none"/>
                <w:lang w:eastAsia="zh-Hans" w:bidi="ar"/>
              </w:rPr>
            </w:pPr>
            <w:r>
              <w:rPr>
                <w:rFonts w:hint="eastAsia" w:ascii="仿宋_GB2312" w:hAnsi="仿宋_GB2312" w:eastAsia="仿宋_GB2312" w:cs="仿宋_GB2312"/>
                <w:kern w:val="0"/>
                <w:sz w:val="24"/>
                <w:szCs w:val="24"/>
                <w:highlight w:val="none"/>
                <w:lang w:eastAsia="zh-Hans" w:bidi="ar"/>
              </w:rPr>
              <w:t>1</w:t>
            </w:r>
            <w:r>
              <w:rPr>
                <w:rFonts w:hint="eastAsia" w:ascii="仿宋_GB2312" w:hAnsi="仿宋_GB2312" w:eastAsia="仿宋_GB2312" w:cs="仿宋_GB2312"/>
                <w:kern w:val="0"/>
                <w:sz w:val="24"/>
                <w:szCs w:val="24"/>
                <w:highlight w:val="none"/>
                <w:lang w:bidi="ar"/>
              </w:rPr>
              <w:t xml:space="preserve"> 套</w:t>
            </w:r>
          </w:p>
        </w:tc>
        <w:tc>
          <w:tcPr>
            <w:tcW w:w="4592" w:type="dxa"/>
            <w:vAlign w:val="center"/>
          </w:tcPr>
          <w:p>
            <w:pPr>
              <w:widowControl/>
              <w:jc w:val="left"/>
              <w:rPr>
                <w:rFonts w:hint="eastAsia" w:ascii="仿宋_GB2312" w:hAnsi="仿宋_GB2312" w:eastAsia="仿宋_GB2312" w:cs="仿宋_GB2312"/>
                <w:kern w:val="0"/>
                <w:sz w:val="24"/>
                <w:szCs w:val="24"/>
                <w:highlight w:val="none"/>
                <w:lang w:bidi="ar"/>
              </w:rPr>
            </w:pPr>
            <w:r>
              <w:rPr>
                <w:rFonts w:hint="eastAsia" w:ascii="仿宋_GB2312" w:hAnsi="仿宋_GB2312" w:eastAsia="仿宋_GB2312" w:cs="仿宋_GB2312"/>
                <w:kern w:val="0"/>
                <w:sz w:val="24"/>
                <w:szCs w:val="24"/>
                <w:highlight w:val="none"/>
                <w:lang w:bidi="ar"/>
              </w:rPr>
              <w:t>提供</w:t>
            </w:r>
            <w:r>
              <w:rPr>
                <w:rFonts w:hint="eastAsia" w:ascii="仿宋_GB2312" w:hAnsi="仿宋_GB2312" w:eastAsia="仿宋_GB2312" w:cs="仿宋_GB2312"/>
                <w:kern w:val="0"/>
                <w:sz w:val="24"/>
                <w:szCs w:val="24"/>
                <w:highlight w:val="none"/>
                <w:lang w:eastAsia="zh-Hans" w:bidi="ar"/>
              </w:rPr>
              <w:t>不少于</w:t>
            </w:r>
            <w:r>
              <w:rPr>
                <w:rFonts w:hint="eastAsia" w:ascii="仿宋_GB2312" w:hAnsi="仿宋_GB2312" w:eastAsia="仿宋_GB2312" w:cs="仿宋_GB2312"/>
                <w:kern w:val="0"/>
                <w:sz w:val="24"/>
                <w:szCs w:val="24"/>
                <w:highlight w:val="none"/>
                <w:lang w:bidi="ar"/>
              </w:rPr>
              <w:t>3年原厂质保及软件升级服务(含</w:t>
            </w:r>
            <w:r>
              <w:rPr>
                <w:rFonts w:hint="eastAsia" w:ascii="仿宋_GB2312" w:hAnsi="仿宋_GB2312" w:eastAsia="仿宋_GB2312" w:cs="仿宋_GB2312"/>
                <w:kern w:val="0"/>
                <w:sz w:val="24"/>
                <w:szCs w:val="24"/>
                <w:highlight w:val="none"/>
                <w:lang w:eastAsia="zh-Hans" w:bidi="ar"/>
              </w:rPr>
              <w:t>规则</w:t>
            </w:r>
            <w:r>
              <w:rPr>
                <w:rFonts w:hint="eastAsia" w:ascii="仿宋_GB2312" w:hAnsi="仿宋_GB2312" w:eastAsia="仿宋_GB2312" w:cs="仿宋_GB2312"/>
                <w:kern w:val="0"/>
                <w:sz w:val="24"/>
                <w:szCs w:val="24"/>
                <w:highlight w:val="none"/>
                <w:lang w:bidi="ar"/>
              </w:rPr>
              <w:t>库)、技术支持服务</w:t>
            </w:r>
          </w:p>
        </w:tc>
      </w:tr>
    </w:tbl>
    <w:p>
      <w:pPr>
        <w:pStyle w:val="5"/>
        <w:ind w:left="426" w:hanging="420"/>
        <w:rPr>
          <w:rFonts w:hint="eastAsia" w:hAnsi="仿宋_GB2312" w:cs="仿宋_GB2312"/>
          <w:highlight w:val="none"/>
        </w:rPr>
      </w:pPr>
      <w:r>
        <w:rPr>
          <w:rFonts w:hint="eastAsia" w:hAnsi="仿宋_GB2312" w:cs="仿宋_GB2312"/>
          <w:highlight w:val="none"/>
        </w:rPr>
        <w:t>项目要求</w:t>
      </w:r>
    </w:p>
    <w:p>
      <w:pPr>
        <w:pStyle w:val="6"/>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交付成果</w:t>
      </w:r>
    </w:p>
    <w:tbl>
      <w:tblPr>
        <w:tblStyle w:val="2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235"/>
        <w:gridCol w:w="866"/>
        <w:gridCol w:w="4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序号</w:t>
            </w:r>
          </w:p>
        </w:tc>
        <w:tc>
          <w:tcPr>
            <w:tcW w:w="2235"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设备名称</w:t>
            </w:r>
          </w:p>
        </w:tc>
        <w:tc>
          <w:tcPr>
            <w:tcW w:w="866"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数量</w:t>
            </w:r>
          </w:p>
        </w:tc>
        <w:tc>
          <w:tcPr>
            <w:tcW w:w="4592" w:type="dxa"/>
            <w:vAlign w:val="center"/>
          </w:tcPr>
          <w:p>
            <w:pPr>
              <w:widowControl/>
              <w:jc w:val="center"/>
              <w:rPr>
                <w:rFonts w:hint="eastAsia" w:ascii="仿宋_GB2312" w:hAnsi="仿宋_GB2312" w:eastAsia="仿宋_GB2312" w:cs="仿宋_GB2312"/>
                <w:b/>
                <w:kern w:val="0"/>
                <w:sz w:val="24"/>
                <w:szCs w:val="24"/>
                <w:highlight w:val="none"/>
                <w:lang w:bidi="ar"/>
              </w:rPr>
            </w:pPr>
            <w:r>
              <w:rPr>
                <w:rFonts w:hint="eastAsia" w:ascii="仿宋_GB2312" w:hAnsi="仿宋_GB2312" w:eastAsia="仿宋_GB2312" w:cs="仿宋_GB2312"/>
                <w:b/>
                <w:kern w:val="0"/>
                <w:sz w:val="24"/>
                <w:szCs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35" w:type="dxa"/>
            <w:vAlign w:val="center"/>
          </w:tcPr>
          <w:p>
            <w:pPr>
              <w:widowControl/>
              <w:jc w:val="center"/>
              <w:rPr>
                <w:rFonts w:hint="eastAsia" w:ascii="仿宋_GB2312" w:hAnsi="仿宋_GB2312" w:eastAsia="仿宋_GB2312" w:cs="仿宋_GB2312"/>
                <w:kern w:val="0"/>
                <w:sz w:val="24"/>
                <w:szCs w:val="24"/>
                <w:highlight w:val="none"/>
                <w:lang w:bidi="ar"/>
              </w:rPr>
            </w:pPr>
            <w:r>
              <w:rPr>
                <w:rFonts w:hint="eastAsia" w:ascii="仿宋_GB2312" w:hAnsi="仿宋_GB2312" w:eastAsia="仿宋_GB2312" w:cs="仿宋_GB2312"/>
                <w:kern w:val="0"/>
                <w:sz w:val="24"/>
                <w:szCs w:val="24"/>
                <w:highlight w:val="none"/>
                <w:lang w:bidi="ar"/>
              </w:rPr>
              <w:t>1</w:t>
            </w:r>
          </w:p>
        </w:tc>
        <w:tc>
          <w:tcPr>
            <w:tcW w:w="2235" w:type="dxa"/>
            <w:vAlign w:val="center"/>
          </w:tcPr>
          <w:p>
            <w:pPr>
              <w:widowControl/>
              <w:jc w:val="center"/>
              <w:rPr>
                <w:rFonts w:hint="eastAsia" w:ascii="仿宋_GB2312" w:hAnsi="仿宋_GB2312" w:eastAsia="仿宋_GB2312" w:cs="仿宋_GB2312"/>
                <w:kern w:val="0"/>
                <w:sz w:val="24"/>
                <w:szCs w:val="24"/>
                <w:highlight w:val="none"/>
                <w:lang w:eastAsia="zh-Hans" w:bidi="ar"/>
              </w:rPr>
            </w:pPr>
            <w:r>
              <w:rPr>
                <w:rFonts w:hint="eastAsia" w:ascii="仿宋_GB2312" w:hAnsi="仿宋_GB2312" w:eastAsia="仿宋_GB2312" w:cs="仿宋_GB2312"/>
                <w:kern w:val="0"/>
                <w:sz w:val="24"/>
                <w:szCs w:val="24"/>
                <w:highlight w:val="none"/>
                <w:lang w:bidi="ar"/>
              </w:rPr>
              <w:t>网络安全态势感知平台</w:t>
            </w:r>
          </w:p>
        </w:tc>
        <w:tc>
          <w:tcPr>
            <w:tcW w:w="866" w:type="dxa"/>
            <w:vAlign w:val="center"/>
          </w:tcPr>
          <w:p>
            <w:pPr>
              <w:widowControl/>
              <w:jc w:val="center"/>
              <w:rPr>
                <w:rFonts w:hint="eastAsia" w:ascii="仿宋_GB2312" w:hAnsi="仿宋_GB2312" w:eastAsia="仿宋_GB2312" w:cs="仿宋_GB2312"/>
                <w:kern w:val="0"/>
                <w:sz w:val="24"/>
                <w:szCs w:val="24"/>
                <w:highlight w:val="none"/>
                <w:lang w:eastAsia="zh-Hans" w:bidi="ar"/>
              </w:rPr>
            </w:pPr>
            <w:r>
              <w:rPr>
                <w:rFonts w:hint="eastAsia" w:ascii="仿宋_GB2312" w:hAnsi="仿宋_GB2312" w:eastAsia="仿宋_GB2312" w:cs="仿宋_GB2312"/>
                <w:kern w:val="0"/>
                <w:sz w:val="24"/>
                <w:szCs w:val="24"/>
                <w:highlight w:val="none"/>
                <w:lang w:eastAsia="zh-Hans" w:bidi="ar"/>
              </w:rPr>
              <w:t>1</w:t>
            </w:r>
            <w:r>
              <w:rPr>
                <w:rFonts w:hint="eastAsia" w:ascii="仿宋_GB2312" w:hAnsi="仿宋_GB2312" w:eastAsia="仿宋_GB2312" w:cs="仿宋_GB2312"/>
                <w:kern w:val="0"/>
                <w:sz w:val="24"/>
                <w:szCs w:val="24"/>
                <w:highlight w:val="none"/>
                <w:lang w:bidi="ar"/>
              </w:rPr>
              <w:t xml:space="preserve"> 套</w:t>
            </w:r>
          </w:p>
        </w:tc>
        <w:tc>
          <w:tcPr>
            <w:tcW w:w="4592" w:type="dxa"/>
            <w:vAlign w:val="center"/>
          </w:tcPr>
          <w:p>
            <w:pPr>
              <w:widowControl/>
              <w:jc w:val="left"/>
              <w:rPr>
                <w:rFonts w:hint="eastAsia" w:ascii="仿宋_GB2312" w:hAnsi="仿宋_GB2312" w:eastAsia="仿宋_GB2312" w:cs="仿宋_GB2312"/>
                <w:kern w:val="0"/>
                <w:sz w:val="24"/>
                <w:szCs w:val="24"/>
                <w:highlight w:val="none"/>
                <w:lang w:bidi="ar"/>
              </w:rPr>
            </w:pPr>
            <w:r>
              <w:rPr>
                <w:rFonts w:hint="eastAsia" w:ascii="仿宋_GB2312" w:hAnsi="仿宋_GB2312" w:eastAsia="仿宋_GB2312" w:cs="仿宋_GB2312"/>
                <w:kern w:val="0"/>
                <w:sz w:val="24"/>
                <w:szCs w:val="24"/>
                <w:highlight w:val="none"/>
                <w:lang w:bidi="ar"/>
              </w:rPr>
              <w:t>提供</w:t>
            </w:r>
            <w:r>
              <w:rPr>
                <w:rFonts w:hint="eastAsia" w:ascii="仿宋_GB2312" w:hAnsi="仿宋_GB2312" w:eastAsia="仿宋_GB2312" w:cs="仿宋_GB2312"/>
                <w:kern w:val="0"/>
                <w:sz w:val="24"/>
                <w:szCs w:val="24"/>
                <w:highlight w:val="none"/>
                <w:lang w:eastAsia="zh-Hans" w:bidi="ar"/>
              </w:rPr>
              <w:t>不少于</w:t>
            </w:r>
            <w:r>
              <w:rPr>
                <w:rFonts w:hint="eastAsia" w:ascii="仿宋_GB2312" w:hAnsi="仿宋_GB2312" w:eastAsia="仿宋_GB2312" w:cs="仿宋_GB2312"/>
                <w:kern w:val="0"/>
                <w:sz w:val="24"/>
                <w:szCs w:val="24"/>
                <w:highlight w:val="none"/>
                <w:lang w:bidi="ar"/>
              </w:rPr>
              <w:t>3年原厂质保及软件升级服务(含</w:t>
            </w:r>
            <w:r>
              <w:rPr>
                <w:rFonts w:hint="eastAsia" w:ascii="仿宋_GB2312" w:hAnsi="仿宋_GB2312" w:eastAsia="仿宋_GB2312" w:cs="仿宋_GB2312"/>
                <w:kern w:val="0"/>
                <w:sz w:val="24"/>
                <w:szCs w:val="24"/>
                <w:highlight w:val="none"/>
                <w:lang w:eastAsia="zh-Hans" w:bidi="ar"/>
              </w:rPr>
              <w:t>规则</w:t>
            </w:r>
            <w:r>
              <w:rPr>
                <w:rFonts w:hint="eastAsia" w:ascii="仿宋_GB2312" w:hAnsi="仿宋_GB2312" w:eastAsia="仿宋_GB2312" w:cs="仿宋_GB2312"/>
                <w:kern w:val="0"/>
                <w:sz w:val="24"/>
                <w:szCs w:val="24"/>
                <w:highlight w:val="none"/>
                <w:lang w:bidi="ar"/>
              </w:rPr>
              <w:t>库)、技术支持服务</w:t>
            </w:r>
          </w:p>
        </w:tc>
      </w:tr>
    </w:tbl>
    <w:p>
      <w:pPr>
        <w:pStyle w:val="6"/>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整体要求</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投标方必须有技术支持及售后服务部门，能在24小时内响应上门应急处理服务。</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技术规范书中在引用某标准的地方，投标方应当使用合同生效的、最新的引用标准文字，不能用另外标准代替，除非从招标方那里获得许可的标准代替。如果引用某不适合的标准或者未引用某合适的标准，或者不能得到所需要的标准，投标方可选择某合适的标准，并且需要得到招标方的许可。</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招标方与投标方在解释某标准有不同意见时，招标方的解释是最终的解释。</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投标方必须推荐先进、稳定、可靠的设备，并保证三年内不停产。</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要求所有软件必须是合法的正版软件，并且采用实施时的最新版本，有中文版必须采用中文版。</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投标方负责所供货物的安装调试、业务割接和验收测试，并自备设备安装、测试、运行维护所需的工具和设备。</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投标方负责提供所需的一切施工材料（包括电源线、光纤跳线、网络跳线等）。</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投标方应为招标方免费培训专业维护工作人员。</w:t>
      </w:r>
    </w:p>
    <w:p>
      <w:pPr>
        <w:pStyle w:val="9"/>
        <w:numPr>
          <w:ilvl w:val="0"/>
          <w:numId w:val="4"/>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投标方应负责所供系统软硬件设备验收后提供</w:t>
      </w:r>
      <w:r>
        <w:rPr>
          <w:rFonts w:hint="eastAsia" w:ascii="仿宋_GB2312" w:hAnsi="仿宋_GB2312" w:eastAsia="仿宋_GB2312" w:cs="仿宋_GB2312"/>
          <w:sz w:val="28"/>
          <w:szCs w:val="28"/>
          <w:highlight w:val="none"/>
          <w:lang w:eastAsia="zh-Hans"/>
        </w:rPr>
        <w:t>不少于</w:t>
      </w:r>
      <w:r>
        <w:rPr>
          <w:rFonts w:hint="eastAsia" w:ascii="仿宋_GB2312" w:hAnsi="仿宋_GB2312" w:eastAsia="仿宋_GB2312" w:cs="仿宋_GB2312"/>
          <w:sz w:val="28"/>
          <w:szCs w:val="28"/>
          <w:highlight w:val="none"/>
        </w:rPr>
        <w:t>3年免费质保及软件升级服务(含</w:t>
      </w:r>
      <w:r>
        <w:rPr>
          <w:rFonts w:hint="eastAsia" w:ascii="仿宋_GB2312" w:hAnsi="仿宋_GB2312" w:eastAsia="仿宋_GB2312" w:cs="仿宋_GB2312"/>
          <w:sz w:val="28"/>
          <w:szCs w:val="28"/>
          <w:highlight w:val="none"/>
          <w:lang w:eastAsia="zh-Hans"/>
        </w:rPr>
        <w:t>相关规则</w:t>
      </w:r>
      <w:r>
        <w:rPr>
          <w:rFonts w:hint="eastAsia" w:ascii="仿宋_GB2312" w:hAnsi="仿宋_GB2312" w:eastAsia="仿宋_GB2312" w:cs="仿宋_GB2312"/>
          <w:sz w:val="28"/>
          <w:szCs w:val="28"/>
          <w:highlight w:val="none"/>
        </w:rPr>
        <w:t>库升级)、技术支持服务。</w:t>
      </w:r>
    </w:p>
    <w:p>
      <w:pPr>
        <w:pStyle w:val="9"/>
        <w:numPr>
          <w:ilvl w:val="0"/>
          <w:numId w:val="4"/>
        </w:numPr>
        <w:spacing w:line="360" w:lineRule="auto"/>
        <w:ind w:hanging="48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w:t>
      </w:r>
      <w:r>
        <w:rPr>
          <w:rFonts w:hint="eastAsia" w:ascii="仿宋_GB2312" w:hAnsi="仿宋_GB2312" w:eastAsia="仿宋_GB2312" w:cs="仿宋_GB2312"/>
          <w:sz w:val="28"/>
          <w:szCs w:val="28"/>
          <w:highlight w:val="none"/>
          <w:lang w:eastAsia="zh-Hans"/>
        </w:rPr>
        <w:t>若为代理商</w:t>
      </w:r>
      <w:r>
        <w:rPr>
          <w:rFonts w:ascii="仿宋_GB2312" w:hAnsi="仿宋_GB2312" w:eastAsia="仿宋_GB2312" w:cs="仿宋_GB2312"/>
          <w:sz w:val="28"/>
          <w:szCs w:val="28"/>
          <w:highlight w:val="none"/>
          <w:lang w:eastAsia="zh-Hans"/>
        </w:rPr>
        <w:t>，</w:t>
      </w:r>
      <w:r>
        <w:rPr>
          <w:rFonts w:hint="eastAsia" w:ascii="仿宋_GB2312" w:hAnsi="仿宋_GB2312" w:eastAsia="仿宋_GB2312" w:cs="仿宋_GB2312"/>
          <w:sz w:val="28"/>
          <w:szCs w:val="28"/>
          <w:highlight w:val="none"/>
          <w:lang w:eastAsia="zh-Hans"/>
        </w:rPr>
        <w:t>必须</w:t>
      </w:r>
      <w:r>
        <w:rPr>
          <w:rFonts w:hint="eastAsia" w:ascii="仿宋_GB2312" w:hAnsi="仿宋_GB2312" w:eastAsia="仿宋_GB2312" w:cs="仿宋_GB2312"/>
          <w:sz w:val="28"/>
          <w:szCs w:val="28"/>
          <w:highlight w:val="none"/>
        </w:rPr>
        <w:t>提供所供设备的</w:t>
      </w:r>
      <w:r>
        <w:rPr>
          <w:rFonts w:hint="eastAsia" w:ascii="仿宋_GB2312" w:hAnsi="仿宋_GB2312" w:eastAsia="仿宋_GB2312" w:cs="仿宋_GB2312"/>
          <w:sz w:val="28"/>
          <w:szCs w:val="28"/>
          <w:highlight w:val="none"/>
          <w:lang w:eastAsia="zh-Hans"/>
        </w:rPr>
        <w:t>原厂制造商授权书</w:t>
      </w:r>
      <w:r>
        <w:rPr>
          <w:rFonts w:hint="eastAsia" w:ascii="仿宋_GB2312" w:hAnsi="仿宋_GB2312" w:eastAsia="仿宋_GB2312" w:cs="仿宋_GB2312"/>
          <w:sz w:val="28"/>
          <w:szCs w:val="28"/>
          <w:highlight w:val="none"/>
        </w:rPr>
        <w:t>并加盖</w:t>
      </w:r>
      <w:r>
        <w:rPr>
          <w:rFonts w:hint="eastAsia" w:ascii="仿宋_GB2312" w:hAnsi="仿宋_GB2312" w:eastAsia="仿宋_GB2312" w:cs="仿宋_GB2312"/>
          <w:sz w:val="28"/>
          <w:szCs w:val="28"/>
          <w:highlight w:val="none"/>
          <w:lang w:eastAsia="zh-Hans"/>
        </w:rPr>
        <w:t>原厂制造商</w:t>
      </w:r>
      <w:r>
        <w:rPr>
          <w:rFonts w:hint="eastAsia" w:ascii="仿宋_GB2312" w:hAnsi="仿宋_GB2312" w:eastAsia="仿宋_GB2312" w:cs="仿宋_GB2312"/>
          <w:sz w:val="28"/>
          <w:szCs w:val="28"/>
          <w:highlight w:val="none"/>
        </w:rPr>
        <w:t>公章</w:t>
      </w:r>
      <w:r>
        <w:rPr>
          <w:rFonts w:hint="eastAsia" w:ascii="仿宋_GB2312" w:hAnsi="仿宋_GB2312" w:eastAsia="仿宋_GB2312" w:cs="仿宋_GB2312"/>
          <w:sz w:val="28"/>
          <w:szCs w:val="28"/>
          <w:highlight w:val="none"/>
          <w:lang w:eastAsia="zh-Hans"/>
        </w:rPr>
        <w:t>。</w:t>
      </w:r>
    </w:p>
    <w:p>
      <w:pPr>
        <w:pStyle w:val="9"/>
        <w:numPr>
          <w:ilvl w:val="0"/>
          <w:numId w:val="4"/>
        </w:numPr>
        <w:spacing w:line="360" w:lineRule="auto"/>
        <w:ind w:hanging="48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投标方需提供所供设备的技术参数页</w:t>
      </w:r>
      <w:r>
        <w:rPr>
          <w:rFonts w:hint="eastAsia" w:ascii="仿宋_GB2312" w:hAnsi="仿宋_GB2312" w:eastAsia="仿宋_GB2312" w:cs="仿宋_GB2312"/>
          <w:sz w:val="28"/>
          <w:szCs w:val="28"/>
          <w:highlight w:val="none"/>
          <w:lang w:eastAsia="zh-Hans"/>
        </w:rPr>
        <w:t>应答响应，</w:t>
      </w:r>
      <w:r>
        <w:rPr>
          <w:rFonts w:hint="eastAsia" w:ascii="仿宋_GB2312" w:hAnsi="仿宋_GB2312" w:eastAsia="仿宋_GB2312" w:cs="仿宋_GB2312"/>
          <w:sz w:val="28"/>
          <w:szCs w:val="28"/>
          <w:highlight w:val="none"/>
        </w:rPr>
        <w:t>并加盖</w:t>
      </w:r>
      <w:r>
        <w:rPr>
          <w:rFonts w:hint="eastAsia" w:ascii="仿宋_GB2312" w:hAnsi="仿宋_GB2312" w:eastAsia="仿宋_GB2312" w:cs="仿宋_GB2312"/>
          <w:sz w:val="28"/>
          <w:szCs w:val="28"/>
          <w:highlight w:val="none"/>
          <w:lang w:eastAsia="zh-Hans"/>
        </w:rPr>
        <w:t>原厂制造商</w:t>
      </w:r>
      <w:r>
        <w:rPr>
          <w:rFonts w:hint="eastAsia" w:ascii="仿宋_GB2312" w:hAnsi="仿宋_GB2312" w:eastAsia="仿宋_GB2312" w:cs="仿宋_GB2312"/>
          <w:sz w:val="28"/>
          <w:szCs w:val="28"/>
          <w:highlight w:val="none"/>
        </w:rPr>
        <w:t>公章</w:t>
      </w:r>
      <w:r>
        <w:rPr>
          <w:rFonts w:hint="eastAsia" w:ascii="仿宋_GB2312" w:hAnsi="仿宋_GB2312" w:eastAsia="仿宋_GB2312" w:cs="仿宋_GB2312"/>
          <w:sz w:val="28"/>
          <w:szCs w:val="28"/>
          <w:highlight w:val="none"/>
          <w:lang w:eastAsia="zh-Hans"/>
        </w:rPr>
        <w:t>。</w:t>
      </w:r>
    </w:p>
    <w:p>
      <w:pPr>
        <w:pStyle w:val="9"/>
        <w:numPr>
          <w:ilvl w:val="0"/>
          <w:numId w:val="4"/>
        </w:numPr>
        <w:spacing w:line="360" w:lineRule="auto"/>
        <w:ind w:hanging="48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eastAsia="zh-Hans"/>
        </w:rPr>
        <w:t>项为基础指标</w:t>
      </w:r>
      <w:r>
        <w:rPr>
          <w:rFonts w:ascii="仿宋_GB2312" w:hAnsi="仿宋_GB2312" w:eastAsia="仿宋_GB2312" w:cs="仿宋_GB2312"/>
          <w:sz w:val="28"/>
          <w:szCs w:val="28"/>
          <w:highlight w:val="none"/>
          <w:lang w:eastAsia="zh-Hans"/>
        </w:rPr>
        <w:t>，</w:t>
      </w:r>
      <w:r>
        <w:rPr>
          <w:rFonts w:hint="eastAsia" w:ascii="仿宋_GB2312" w:hAnsi="仿宋_GB2312" w:eastAsia="仿宋_GB2312" w:cs="仿宋_GB2312"/>
          <w:sz w:val="28"/>
          <w:szCs w:val="28"/>
          <w:highlight w:val="none"/>
          <w:lang w:eastAsia="zh-Hans"/>
        </w:rPr>
        <w:t>必须完全满足</w:t>
      </w:r>
      <w:r>
        <w:rPr>
          <w:rFonts w:ascii="仿宋_GB2312" w:hAnsi="仿宋_GB2312" w:eastAsia="仿宋_GB2312" w:cs="仿宋_GB2312"/>
          <w:sz w:val="28"/>
          <w:szCs w:val="28"/>
          <w:highlight w:val="none"/>
          <w:lang w:eastAsia="zh-Hans"/>
        </w:rPr>
        <w:t>，</w:t>
      </w:r>
      <w:r>
        <w:rPr>
          <w:rFonts w:hint="eastAsia" w:ascii="仿宋_GB2312" w:hAnsi="仿宋_GB2312" w:eastAsia="仿宋_GB2312" w:cs="仿宋_GB2312"/>
          <w:sz w:val="28"/>
          <w:szCs w:val="28"/>
          <w:highlight w:val="none"/>
          <w:lang w:eastAsia="zh-Hans"/>
        </w:rPr>
        <w:t>不满足按废标处理</w:t>
      </w:r>
      <w:r>
        <w:rPr>
          <w:rFonts w:ascii="仿宋_GB2312" w:hAnsi="仿宋_GB2312" w:eastAsia="仿宋_GB2312" w:cs="仿宋_GB2312"/>
          <w:sz w:val="28"/>
          <w:szCs w:val="28"/>
          <w:highlight w:val="none"/>
          <w:lang w:eastAsia="zh-Hans"/>
        </w:rPr>
        <w:t>。</w:t>
      </w:r>
    </w:p>
    <w:p>
      <w:pPr>
        <w:pStyle w:val="9"/>
        <w:numPr>
          <w:ilvl w:val="0"/>
          <w:numId w:val="4"/>
        </w:numPr>
        <w:spacing w:line="360" w:lineRule="auto"/>
        <w:ind w:hanging="48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Hans"/>
        </w:rPr>
        <w:t>▲项为重要指标项</w:t>
      </w:r>
      <w:r>
        <w:rPr>
          <w:rFonts w:ascii="仿宋_GB2312" w:hAnsi="仿宋_GB2312" w:eastAsia="仿宋_GB2312" w:cs="仿宋_GB2312"/>
          <w:sz w:val="28"/>
          <w:szCs w:val="28"/>
          <w:highlight w:val="none"/>
          <w:lang w:eastAsia="zh-Hans"/>
        </w:rPr>
        <w:t>，</w:t>
      </w:r>
      <w:r>
        <w:rPr>
          <w:rFonts w:hint="eastAsia" w:ascii="仿宋_GB2312" w:hAnsi="仿宋_GB2312" w:eastAsia="仿宋_GB2312" w:cs="仿宋_GB2312"/>
          <w:sz w:val="28"/>
          <w:szCs w:val="28"/>
          <w:highlight w:val="none"/>
          <w:lang w:eastAsia="zh-Hans"/>
        </w:rPr>
        <w:t>作为评分的重要参考</w:t>
      </w:r>
      <w:r>
        <w:rPr>
          <w:rFonts w:ascii="仿宋_GB2312" w:hAnsi="仿宋_GB2312" w:eastAsia="仿宋_GB2312" w:cs="仿宋_GB2312"/>
          <w:sz w:val="28"/>
          <w:szCs w:val="28"/>
          <w:highlight w:val="none"/>
          <w:lang w:eastAsia="zh-Hans"/>
        </w:rPr>
        <w:t>。</w:t>
      </w:r>
    </w:p>
    <w:p>
      <w:pPr>
        <w:rPr>
          <w:highlight w:val="none"/>
        </w:rPr>
      </w:pPr>
    </w:p>
    <w:p>
      <w:pPr>
        <w:pStyle w:val="6"/>
        <w:rPr>
          <w:rFonts w:hint="eastAsia" w:ascii="仿宋_GB2312" w:hAnsi="仿宋_GB2312" w:eastAsia="仿宋_GB2312" w:cs="仿宋_GB2312"/>
          <w:sz w:val="28"/>
          <w:szCs w:val="28"/>
          <w:highlight w:val="none"/>
        </w:rPr>
      </w:pPr>
      <w:bookmarkStart w:id="28" w:name="_Toc15835"/>
      <w:bookmarkStart w:id="29" w:name="_Toc22868"/>
      <w:bookmarkStart w:id="30" w:name="_Toc440574748"/>
      <w:r>
        <w:rPr>
          <w:rFonts w:hint="eastAsia" w:ascii="仿宋_GB2312" w:hAnsi="仿宋_GB2312" w:eastAsia="仿宋_GB2312" w:cs="仿宋_GB2312"/>
          <w:sz w:val="28"/>
          <w:szCs w:val="28"/>
          <w:highlight w:val="none"/>
        </w:rPr>
        <w:t>技术要求</w:t>
      </w:r>
      <w:bookmarkEnd w:id="28"/>
      <w:bookmarkEnd w:id="29"/>
      <w:bookmarkEnd w:id="30"/>
    </w:p>
    <w:p>
      <w:pPr>
        <w:pStyle w:val="7"/>
        <w:numPr>
          <w:ilvl w:val="3"/>
          <w:numId w:val="1"/>
        </w:numPr>
        <w:tabs>
          <w:tab w:val="left" w:pos="420"/>
          <w:tab w:val="left" w:pos="709"/>
          <w:tab w:val="clear" w:pos="851"/>
        </w:tabs>
        <w:rPr>
          <w:rFonts w:hint="eastAsia" w:ascii="仿宋_GB2312" w:hAnsi="仿宋_GB2312" w:eastAsia="仿宋_GB2312" w:cs="仿宋_GB2312"/>
          <w:szCs w:val="28"/>
          <w:highlight w:val="none"/>
        </w:rPr>
      </w:pPr>
      <w:r>
        <w:rPr>
          <w:rFonts w:hint="eastAsia" w:ascii="仿宋_GB2312" w:hAnsi="仿宋_GB2312" w:eastAsia="仿宋_GB2312" w:cs="仿宋_GB2312"/>
          <w:szCs w:val="28"/>
          <w:highlight w:val="none"/>
        </w:rPr>
        <w:t>网络安全态势感知平台</w:t>
      </w:r>
    </w:p>
    <w:p>
      <w:pPr>
        <w:pStyle w:val="8"/>
        <w:numPr>
          <w:ilvl w:val="4"/>
          <w:numId w:val="1"/>
        </w:numPr>
        <w:tabs>
          <w:tab w:val="left" w:pos="420"/>
          <w:tab w:val="left" w:pos="709"/>
          <w:tab w:val="clear" w:pos="992"/>
        </w:tabs>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基础能力</w:t>
      </w:r>
    </w:p>
    <w:tbl>
      <w:tblPr>
        <w:tblStyle w:val="22"/>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445"/>
        <w:gridCol w:w="1904"/>
        <w:gridCol w:w="4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tcPr>
          <w:p>
            <w:pPr>
              <w:jc w:val="center"/>
              <w:rPr>
                <w:rFonts w:hint="eastAsia" w:ascii="仿宋_GB2312" w:hAnsi="仿宋_GB2312" w:eastAsia="仿宋_GB2312" w:cs="仿宋_GB2312"/>
                <w:b/>
                <w:bCs/>
                <w:sz w:val="24"/>
                <w:szCs w:val="24"/>
                <w:highlight w:val="none"/>
                <w:lang w:eastAsia="zh-Hans"/>
              </w:rPr>
            </w:pPr>
            <w:r>
              <w:rPr>
                <w:rFonts w:hint="eastAsia" w:ascii="仿宋_GB2312" w:hAnsi="仿宋_GB2312" w:eastAsia="仿宋_GB2312" w:cs="仿宋_GB2312"/>
                <w:b/>
                <w:bCs/>
                <w:sz w:val="24"/>
                <w:szCs w:val="24"/>
                <w:highlight w:val="none"/>
                <w:lang w:eastAsia="zh-Hans"/>
              </w:rPr>
              <w:t>序号</w:t>
            </w:r>
          </w:p>
        </w:tc>
        <w:tc>
          <w:tcPr>
            <w:tcW w:w="1445" w:type="dxa"/>
          </w:tcPr>
          <w:p>
            <w:pPr>
              <w:jc w:val="center"/>
              <w:rPr>
                <w:rFonts w:hint="eastAsia" w:ascii="仿宋_GB2312" w:hAnsi="仿宋_GB2312" w:eastAsia="仿宋_GB2312" w:cs="仿宋_GB2312"/>
                <w:b/>
                <w:bCs/>
                <w:sz w:val="24"/>
                <w:szCs w:val="24"/>
                <w:highlight w:val="none"/>
                <w:lang w:eastAsia="zh-Hans"/>
              </w:rPr>
            </w:pPr>
            <w:r>
              <w:rPr>
                <w:rFonts w:hint="eastAsia" w:ascii="仿宋_GB2312" w:hAnsi="仿宋_GB2312" w:eastAsia="仿宋_GB2312" w:cs="仿宋_GB2312"/>
                <w:b/>
                <w:bCs/>
                <w:sz w:val="24"/>
                <w:szCs w:val="24"/>
                <w:highlight w:val="none"/>
                <w:lang w:eastAsia="zh-Hans"/>
              </w:rPr>
              <w:t>参数名称</w:t>
            </w:r>
          </w:p>
        </w:tc>
        <w:tc>
          <w:tcPr>
            <w:tcW w:w="1904" w:type="dxa"/>
          </w:tcPr>
          <w:p>
            <w:pPr>
              <w:jc w:val="center"/>
              <w:rPr>
                <w:rFonts w:hint="eastAsia" w:ascii="仿宋_GB2312" w:hAnsi="仿宋_GB2312" w:eastAsia="仿宋_GB2312" w:cs="仿宋_GB2312"/>
                <w:b/>
                <w:bCs/>
                <w:sz w:val="24"/>
                <w:szCs w:val="24"/>
                <w:highlight w:val="none"/>
                <w:lang w:eastAsia="zh-Hans"/>
              </w:rPr>
            </w:pPr>
            <w:r>
              <w:rPr>
                <w:rFonts w:hint="eastAsia" w:ascii="仿宋_GB2312" w:hAnsi="仿宋_GB2312" w:eastAsia="仿宋_GB2312" w:cs="仿宋_GB2312"/>
                <w:b/>
                <w:bCs/>
                <w:sz w:val="24"/>
                <w:szCs w:val="24"/>
                <w:highlight w:val="none"/>
                <w:lang w:eastAsia="zh-Hans"/>
              </w:rPr>
              <w:t>名称</w:t>
            </w:r>
          </w:p>
        </w:tc>
        <w:tc>
          <w:tcPr>
            <w:tcW w:w="4324" w:type="dxa"/>
          </w:tcPr>
          <w:p>
            <w:pPr>
              <w:jc w:val="center"/>
              <w:rPr>
                <w:rFonts w:hint="eastAsia" w:ascii="仿宋_GB2312" w:hAnsi="仿宋_GB2312" w:eastAsia="仿宋_GB2312" w:cs="仿宋_GB2312"/>
                <w:b/>
                <w:bCs/>
                <w:sz w:val="24"/>
                <w:szCs w:val="24"/>
                <w:highlight w:val="none"/>
                <w:lang w:eastAsia="zh-Hans"/>
              </w:rPr>
            </w:pPr>
            <w:r>
              <w:rPr>
                <w:rFonts w:hint="eastAsia" w:ascii="仿宋_GB2312" w:hAnsi="仿宋_GB2312" w:eastAsia="仿宋_GB2312" w:cs="仿宋_GB2312"/>
                <w:b/>
                <w:bCs/>
                <w:sz w:val="24"/>
                <w:szCs w:val="24"/>
                <w:highlight w:val="none"/>
                <w:lang w:eastAsia="zh-Hans"/>
              </w:rPr>
              <w:t>参数详细要求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restart"/>
            <w:vAlign w:val="center"/>
          </w:tcPr>
          <w:p>
            <w:pPr>
              <w:jc w:val="center"/>
              <w:rPr>
                <w:rFonts w:hint="eastAsia" w:ascii="仿宋_GB2312" w:hAnsi="仿宋_GB2312" w:eastAsia="仿宋_GB2312" w:cs="仿宋_GB2312"/>
                <w:sz w:val="24"/>
                <w:szCs w:val="24"/>
                <w:highlight w:val="none"/>
                <w:lang w:eastAsia="zh-Hans"/>
              </w:rPr>
            </w:pPr>
          </w:p>
          <w:p>
            <w:pPr>
              <w:jc w:val="center"/>
              <w:rPr>
                <w:rFonts w:hint="eastAsia" w:ascii="仿宋_GB2312" w:hAnsi="仿宋_GB2312" w:eastAsia="仿宋_GB2312" w:cs="仿宋_GB2312"/>
                <w:sz w:val="24"/>
                <w:szCs w:val="24"/>
                <w:highlight w:val="none"/>
                <w:lang w:eastAsia="zh-Hans"/>
              </w:rPr>
            </w:pPr>
          </w:p>
          <w:p>
            <w:pPr>
              <w:jc w:val="center"/>
              <w:rPr>
                <w:rFonts w:hint="eastAsia" w:ascii="仿宋_GB2312" w:hAnsi="仿宋_GB2312" w:eastAsia="仿宋_GB2312" w:cs="仿宋_GB2312"/>
                <w:sz w:val="24"/>
                <w:szCs w:val="24"/>
                <w:highlight w:val="none"/>
                <w:lang w:eastAsia="zh-Hans"/>
              </w:rPr>
            </w:pPr>
          </w:p>
          <w:p>
            <w:pPr>
              <w:jc w:val="center"/>
              <w:rPr>
                <w:rFonts w:hint="eastAsia" w:ascii="仿宋_GB2312" w:hAnsi="仿宋_GB2312" w:eastAsia="仿宋_GB2312" w:cs="仿宋_GB2312"/>
                <w:sz w:val="24"/>
                <w:szCs w:val="24"/>
                <w:highlight w:val="none"/>
                <w:lang w:eastAsia="zh-Hans"/>
              </w:rPr>
            </w:pPr>
          </w:p>
          <w:p>
            <w:pPr>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eastAsia="zh-Hans"/>
              </w:rPr>
              <w:t>产品</w:t>
            </w:r>
            <w:r>
              <w:rPr>
                <w:rFonts w:hint="eastAsia" w:ascii="仿宋_GB2312" w:hAnsi="仿宋_GB2312" w:eastAsia="仿宋_GB2312" w:cs="仿宋_GB2312"/>
                <w:sz w:val="24"/>
                <w:szCs w:val="24"/>
                <w:highlight w:val="none"/>
              </w:rPr>
              <w:t>性能</w:t>
            </w:r>
          </w:p>
          <w:p>
            <w:pPr>
              <w:jc w:val="center"/>
              <w:rPr>
                <w:rFonts w:hint="eastAsia" w:ascii="仿宋_GB2312" w:hAnsi="仿宋_GB2312" w:eastAsia="仿宋_GB2312" w:cs="仿宋_GB2312"/>
                <w:sz w:val="24"/>
                <w:szCs w:val="24"/>
                <w:highlight w:val="none"/>
              </w:rPr>
            </w:pPr>
          </w:p>
          <w:p>
            <w:pPr>
              <w:jc w:val="center"/>
              <w:rPr>
                <w:rFonts w:hint="eastAsia" w:ascii="仿宋_GB2312" w:hAnsi="仿宋_GB2312" w:eastAsia="仿宋_GB2312" w:cs="仿宋_GB2312"/>
                <w:sz w:val="24"/>
                <w:szCs w:val="24"/>
                <w:highlight w:val="none"/>
              </w:rPr>
            </w:pPr>
          </w:p>
          <w:p>
            <w:pPr>
              <w:jc w:val="center"/>
              <w:rPr>
                <w:rFonts w:hint="eastAsia" w:ascii="仿宋_GB2312" w:hAnsi="仿宋_GB2312" w:eastAsia="仿宋_GB2312" w:cs="仿宋_GB2312"/>
                <w:sz w:val="24"/>
                <w:szCs w:val="24"/>
                <w:highlight w:val="none"/>
                <w:lang w:eastAsia="zh-Hans"/>
              </w:rPr>
            </w:pPr>
            <w:r>
              <w:rPr>
                <w:rFonts w:hint="eastAsia" w:ascii="仿宋_GB2312" w:hAnsi="仿宋_GB2312" w:eastAsia="仿宋_GB2312" w:cs="仿宋_GB2312"/>
                <w:sz w:val="24"/>
                <w:szCs w:val="24"/>
                <w:highlight w:val="none"/>
                <w:lang w:eastAsia="zh-Hans"/>
              </w:rPr>
              <w:t>参数</w:t>
            </w:r>
          </w:p>
        </w:tc>
        <w:tc>
          <w:tcPr>
            <w:tcW w:w="1904" w:type="dxa"/>
            <w:vAlign w:val="center"/>
          </w:tcPr>
          <w:p>
            <w:pPr>
              <w:jc w:val="center"/>
              <w:rPr>
                <w:rFonts w:hint="eastAsia" w:ascii="仿宋_GB2312" w:hAnsi="仿宋_GB2312" w:eastAsia="仿宋_GB2312" w:cs="仿宋_GB2312"/>
                <w:sz w:val="24"/>
                <w:szCs w:val="24"/>
                <w:highlight w:val="none"/>
                <w:lang w:eastAsia="zh-Hans"/>
              </w:rPr>
            </w:pP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Hans"/>
              </w:rPr>
              <w:t>自主可控要求</w:t>
            </w:r>
          </w:p>
        </w:tc>
        <w:tc>
          <w:tcPr>
            <w:tcW w:w="4324" w:type="dxa"/>
            <w:vAlign w:val="center"/>
          </w:tcPr>
          <w:p>
            <w:pPr>
              <w:rPr>
                <w:rFonts w:hint="eastAsia" w:ascii="仿宋_GB2312" w:hAnsi="仿宋_GB2312" w:eastAsia="仿宋_GB2312" w:cs="仿宋_GB2312"/>
                <w:sz w:val="24"/>
                <w:szCs w:val="24"/>
                <w:highlight w:val="none"/>
                <w:lang w:eastAsia="zh-Hans"/>
              </w:rPr>
            </w:pPr>
            <w:r>
              <w:rPr>
                <w:rFonts w:hint="eastAsia" w:ascii="仿宋_GB2312" w:hAnsi="仿宋_GB2312" w:eastAsia="仿宋_GB2312" w:cs="仿宋_GB2312"/>
                <w:kern w:val="0"/>
                <w:sz w:val="24"/>
                <w:szCs w:val="24"/>
                <w:highlight w:val="none"/>
                <w:lang w:eastAsia="zh-Hans" w:bidi="ar"/>
              </w:rPr>
              <w:t>产品主要零部件（CPU</w:t>
            </w:r>
            <w:r>
              <w:rPr>
                <w:rFonts w:hint="eastAsia" w:ascii="仿宋_GB2312" w:hAnsi="仿宋_GB2312" w:eastAsia="仿宋_GB2312" w:cs="仿宋_GB2312"/>
                <w:kern w:val="0"/>
                <w:sz w:val="24"/>
                <w:szCs w:val="24"/>
                <w:highlight w:val="none"/>
                <w:lang w:eastAsia="zh-CN" w:bidi="ar"/>
              </w:rPr>
              <w:t>、</w:t>
            </w:r>
            <w:r>
              <w:rPr>
                <w:rFonts w:hint="eastAsia" w:ascii="仿宋_GB2312" w:hAnsi="仿宋_GB2312" w:eastAsia="仿宋_GB2312" w:cs="仿宋_GB2312"/>
                <w:sz w:val="24"/>
                <w:szCs w:val="24"/>
                <w:highlight w:val="none"/>
              </w:rPr>
              <w:t>内存</w:t>
            </w:r>
            <w:r>
              <w:rPr>
                <w:rFonts w:hint="eastAsia" w:ascii="仿宋_GB2312" w:hAnsi="仿宋_GB2312" w:eastAsia="仿宋_GB2312" w:cs="仿宋_GB2312"/>
                <w:kern w:val="0"/>
                <w:sz w:val="24"/>
                <w:szCs w:val="24"/>
                <w:highlight w:val="none"/>
                <w:lang w:eastAsia="zh-CN" w:bidi="ar"/>
              </w:rPr>
              <w:t>、</w:t>
            </w:r>
            <w:r>
              <w:rPr>
                <w:rFonts w:hint="eastAsia" w:ascii="仿宋_GB2312" w:hAnsi="仿宋_GB2312" w:eastAsia="仿宋_GB2312" w:cs="仿宋_GB2312"/>
                <w:kern w:val="0"/>
                <w:sz w:val="24"/>
                <w:szCs w:val="24"/>
                <w:highlight w:val="none"/>
                <w:lang w:eastAsia="zh-Hans" w:bidi="ar"/>
              </w:rPr>
              <w:t>操作系统</w:t>
            </w:r>
            <w:r>
              <w:rPr>
                <w:rFonts w:hint="eastAsia" w:ascii="仿宋_GB2312" w:hAnsi="仿宋_GB2312" w:eastAsia="仿宋_GB2312" w:cs="仿宋_GB2312"/>
                <w:kern w:val="0"/>
                <w:sz w:val="24"/>
                <w:szCs w:val="24"/>
                <w:highlight w:val="none"/>
                <w:lang w:eastAsia="zh-CN" w:bidi="ar"/>
              </w:rPr>
              <w:t>、</w:t>
            </w:r>
            <w:r>
              <w:rPr>
                <w:rFonts w:hint="eastAsia" w:ascii="仿宋_GB2312" w:hAnsi="仿宋_GB2312" w:eastAsia="仿宋_GB2312" w:cs="仿宋_GB2312"/>
                <w:kern w:val="0"/>
                <w:sz w:val="24"/>
                <w:szCs w:val="24"/>
                <w:highlight w:val="none"/>
                <w:lang w:val="en-US" w:eastAsia="zh-CN" w:bidi="ar"/>
              </w:rPr>
              <w:t>数据库等</w:t>
            </w:r>
            <w:r>
              <w:rPr>
                <w:rFonts w:hint="eastAsia" w:ascii="仿宋_GB2312" w:hAnsi="仿宋_GB2312" w:eastAsia="仿宋_GB2312" w:cs="仿宋_GB2312"/>
                <w:kern w:val="0"/>
                <w:sz w:val="24"/>
                <w:szCs w:val="24"/>
                <w:highlight w:val="none"/>
                <w:lang w:eastAsia="zh-Hans" w:bidi="ar"/>
              </w:rPr>
              <w:t>）必须符合国家自主可控相关要求（必须提供自主可控证明材料，并加盖原厂公章）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lang w:eastAsia="zh-Hans"/>
              </w:rPr>
            </w:pPr>
          </w:p>
        </w:tc>
        <w:tc>
          <w:tcPr>
            <w:tcW w:w="1904" w:type="dxa"/>
            <w:vAlign w:val="center"/>
          </w:tcPr>
          <w:p>
            <w:pPr>
              <w:jc w:val="center"/>
              <w:rPr>
                <w:rFonts w:hint="eastAsia" w:ascii="仿宋_GB2312" w:hAnsi="仿宋_GB2312" w:eastAsia="仿宋_GB2312" w:cs="仿宋_GB2312"/>
                <w:sz w:val="24"/>
                <w:szCs w:val="24"/>
                <w:highlight w:val="none"/>
                <w:lang w:eastAsia="zh-Hans"/>
              </w:rPr>
            </w:pP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Hans"/>
              </w:rPr>
              <w:t>接口要求</w:t>
            </w:r>
          </w:p>
        </w:tc>
        <w:tc>
          <w:tcPr>
            <w:tcW w:w="432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（1）万兆光口≥ 4</w:t>
            </w:r>
            <w:r>
              <w:rPr>
                <w:rFonts w:hint="eastAsia" w:ascii="仿宋_GB2312" w:hAnsi="仿宋_GB2312" w:eastAsia="仿宋_GB2312" w:cs="仿宋_GB2312"/>
                <w:sz w:val="24"/>
                <w:szCs w:val="24"/>
                <w:highlight w:val="none"/>
                <w:lang w:eastAsia="zh-Hans"/>
              </w:rPr>
              <w:t>个</w:t>
            </w:r>
            <w:r>
              <w:rPr>
                <w:rFonts w:hint="eastAsia" w:ascii="仿宋_GB2312" w:hAnsi="仿宋_GB2312" w:eastAsia="仿宋_GB2312" w:cs="仿宋_GB2312"/>
                <w:sz w:val="24"/>
                <w:szCs w:val="24"/>
                <w:highlight w:val="none"/>
              </w:rPr>
              <w:t>（含多</w:t>
            </w:r>
            <w:r>
              <w:rPr>
                <w:rFonts w:hint="eastAsia" w:ascii="仿宋_GB2312" w:hAnsi="仿宋_GB2312" w:eastAsia="仿宋_GB2312" w:cs="仿宋_GB2312"/>
                <w:sz w:val="24"/>
                <w:szCs w:val="24"/>
                <w:highlight w:val="none"/>
                <w:lang w:eastAsia="zh-Hans"/>
              </w:rPr>
              <w:t>模</w:t>
            </w:r>
            <w:r>
              <w:rPr>
                <w:rFonts w:hint="eastAsia" w:ascii="仿宋_GB2312" w:hAnsi="仿宋_GB2312" w:eastAsia="仿宋_GB2312" w:cs="仿宋_GB2312"/>
                <w:sz w:val="24"/>
                <w:szCs w:val="24"/>
                <w:highlight w:val="none"/>
              </w:rPr>
              <w:t>光模块）</w:t>
            </w:r>
          </w:p>
          <w:p>
            <w:pPr>
              <w:rPr>
                <w:rFonts w:hint="eastAsia" w:ascii="仿宋_GB2312" w:hAnsi="仿宋_GB2312" w:eastAsia="仿宋_GB2312" w:cs="仿宋_GB2312"/>
                <w:kern w:val="0"/>
                <w:sz w:val="24"/>
                <w:szCs w:val="24"/>
                <w:highlight w:val="none"/>
                <w:lang w:eastAsia="zh-Hans" w:bidi="ar"/>
              </w:rPr>
            </w:pPr>
            <w:r>
              <w:rPr>
                <w:rFonts w:hint="eastAsia" w:ascii="仿宋_GB2312" w:hAnsi="仿宋_GB2312" w:eastAsia="仿宋_GB2312" w:cs="仿宋_GB2312"/>
                <w:sz w:val="24"/>
                <w:szCs w:val="24"/>
                <w:highlight w:val="none"/>
              </w:rPr>
              <w:t>（2）千兆电口≥ 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lang w:eastAsia="zh-Hans"/>
              </w:rPr>
            </w:pPr>
          </w:p>
        </w:tc>
        <w:tc>
          <w:tcPr>
            <w:tcW w:w="1904" w:type="dxa"/>
            <w:vAlign w:val="center"/>
          </w:tcPr>
          <w:p>
            <w:pPr>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★性能指标</w:t>
            </w:r>
          </w:p>
        </w:tc>
        <w:tc>
          <w:tcPr>
            <w:tcW w:w="432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标准机架设备，内存不少于128G，硬盘不少于20TB，支持raid，不少于4个千兆电，4个万兆光口(光模按需提供)，冗余电源，不少于2个扩展槽。数据采集设备性能20000条/秒。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restart"/>
            <w:vAlign w:val="center"/>
          </w:tcPr>
          <w:p>
            <w:pPr>
              <w:jc w:val="center"/>
              <w:rPr>
                <w:rFonts w:hint="eastAsia" w:ascii="仿宋_GB2312" w:hAnsi="仿宋_GB2312" w:eastAsia="仿宋_GB2312" w:cs="仿宋_GB2312"/>
                <w:sz w:val="24"/>
                <w:szCs w:val="24"/>
                <w:highlight w:val="none"/>
                <w:lang w:eastAsia="zh-Hans"/>
              </w:rPr>
            </w:pPr>
            <w:r>
              <w:rPr>
                <w:rFonts w:hint="eastAsia" w:ascii="仿宋_GB2312" w:hAnsi="仿宋_GB2312" w:eastAsia="仿宋_GB2312" w:cs="仿宋_GB2312"/>
                <w:sz w:val="24"/>
                <w:szCs w:val="24"/>
                <w:highlight w:val="none"/>
                <w:lang w:eastAsia="zh-Hans"/>
              </w:rPr>
              <w:t>产品基础功能参数</w:t>
            </w:r>
          </w:p>
        </w:tc>
        <w:tc>
          <w:tcPr>
            <w:tcW w:w="1904" w:type="dxa"/>
            <w:vAlign w:val="center"/>
          </w:tcPr>
          <w:p>
            <w:pPr>
              <w:jc w:val="center"/>
              <w:rPr>
                <w:rFonts w:hint="eastAsia" w:ascii="仿宋_GB2312" w:hAnsi="仿宋_GB2312" w:eastAsia="仿宋_GB2312" w:cs="仿宋_GB2312"/>
                <w:sz w:val="24"/>
                <w:szCs w:val="24"/>
                <w:highlight w:val="none"/>
                <w:lang w:eastAsia="zh-Hans"/>
              </w:rPr>
            </w:pP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Hans"/>
              </w:rPr>
              <w:t>IPv6 功能</w:t>
            </w:r>
          </w:p>
        </w:tc>
        <w:tc>
          <w:tcPr>
            <w:tcW w:w="432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eastAsia="zh-Hans"/>
              </w:rPr>
              <w:t>支持在IPv6</w:t>
            </w:r>
            <w:r>
              <w:rPr>
                <w:rFonts w:hint="eastAsia" w:ascii="仿宋_GB2312" w:hAnsi="仿宋_GB2312" w:eastAsia="仿宋_GB2312" w:cs="仿宋_GB2312"/>
                <w:sz w:val="24"/>
                <w:szCs w:val="24"/>
                <w:highlight w:val="none"/>
              </w:rPr>
              <w:t>环境</w:t>
            </w:r>
            <w:r>
              <w:rPr>
                <w:rFonts w:hint="eastAsia" w:ascii="仿宋_GB2312" w:hAnsi="仿宋_GB2312" w:eastAsia="仿宋_GB2312" w:cs="仿宋_GB2312"/>
                <w:sz w:val="24"/>
                <w:szCs w:val="24"/>
                <w:highlight w:val="none"/>
                <w:lang w:eastAsia="zh-Hans"/>
              </w:rPr>
              <w:t>下部署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lang w:eastAsia="zh-Hans"/>
              </w:rPr>
            </w:pPr>
          </w:p>
        </w:tc>
        <w:tc>
          <w:tcPr>
            <w:tcW w:w="1904" w:type="dxa"/>
            <w:vAlign w:val="center"/>
          </w:tcPr>
          <w:p>
            <w:pPr>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★网络协议识别</w:t>
            </w:r>
          </w:p>
        </w:tc>
        <w:tc>
          <w:tcPr>
            <w:tcW w:w="4324" w:type="dxa"/>
            <w:vAlign w:val="center"/>
          </w:tcPr>
          <w:p>
            <w:pPr>
              <w:rPr>
                <w:rFonts w:hint="eastAsia" w:ascii="仿宋_GB2312" w:hAnsi="仿宋_GB2312" w:eastAsia="仿宋_GB2312" w:cs="仿宋_GB2312"/>
                <w:sz w:val="24"/>
                <w:szCs w:val="24"/>
                <w:highlight w:val="none"/>
                <w:lang w:eastAsia="zh-Hans"/>
              </w:rPr>
            </w:pPr>
            <w:r>
              <w:rPr>
                <w:rFonts w:hint="eastAsia" w:ascii="仿宋_GB2312" w:hAnsi="仿宋_GB2312" w:eastAsia="仿宋_GB2312" w:cs="仿宋_GB2312"/>
                <w:sz w:val="24"/>
                <w:szCs w:val="24"/>
                <w:highlight w:val="none"/>
              </w:rPr>
              <w:t>支持常见协议识别并还原网络流量，用于取证分析、威胁发现，支持：tcp、udp、icmp、http、dns、dhcp、smtp、pop3、imap、webmail、db2、oracle、mysql、mssql-db、sctp、sybase、smb、sip、ftp、snmp、telnet、nfs、ssl、ssh、ldap、radius、kerberos、netbios、ntp、vnc、ipv6、gtp、tidb、kingbase、mqt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rPr>
            </w:pPr>
          </w:p>
        </w:tc>
        <w:tc>
          <w:tcPr>
            <w:tcW w:w="190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★流量负载记录</w:t>
            </w:r>
          </w:p>
        </w:tc>
        <w:tc>
          <w:tcPr>
            <w:tcW w:w="432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支持记录TCP，UDP，HTTP协议流量日志中的负载信息：TCP,UDP的上下行负载支持可配，不低于10KB。HTTP协议的请求头，请求体，响应头，响应体支持长度可配，不低于8KB。（必须提供功能截图，并加盖原厂公章）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rPr>
            </w:pPr>
          </w:p>
        </w:tc>
        <w:tc>
          <w:tcPr>
            <w:tcW w:w="190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★流量过滤</w:t>
            </w:r>
          </w:p>
        </w:tc>
        <w:tc>
          <w:tcPr>
            <w:tcW w:w="432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支持通过ip、ip段、端口、协议、VLAN等进行流量过滤，过滤条件支持and、or、not等逻辑运算创建的BPF过滤语法过滤数据。（必须提供功能截图，并加盖原厂公章）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rPr>
            </w:pPr>
          </w:p>
        </w:tc>
        <w:tc>
          <w:tcPr>
            <w:tcW w:w="190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★日志外发</w:t>
            </w:r>
          </w:p>
        </w:tc>
        <w:tc>
          <w:tcPr>
            <w:tcW w:w="4324" w:type="dxa"/>
            <w:vAlign w:val="top"/>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支持标准模式、精简模式、自定义模式三种网络日志外发模式配置；</w:t>
            </w:r>
          </w:p>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支持外发的网络日志的类型包括：TCP流量、UDP流量、异常流量、SSL加密协商、登录行为、Kerberos行为、ICMP流量、syn流量、DHCP解析、资产日志等至少10种网络日志。</w:t>
            </w:r>
          </w:p>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每种外发网络日志支持自定义配置外发字段。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rPr>
            </w:pPr>
          </w:p>
        </w:tc>
        <w:tc>
          <w:tcPr>
            <w:tcW w:w="190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★规则更新标记</w:t>
            </w:r>
          </w:p>
        </w:tc>
        <w:tc>
          <w:tcPr>
            <w:tcW w:w="4324" w:type="dxa"/>
            <w:vAlign w:val="top"/>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新增加及更新规则，使用标签进行醒目标记展示，新增规则产生的告警在告警详情进行标签标记展示。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rPr>
            </w:pPr>
          </w:p>
        </w:tc>
        <w:tc>
          <w:tcPr>
            <w:tcW w:w="190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★日志解析</w:t>
            </w:r>
          </w:p>
        </w:tc>
        <w:tc>
          <w:tcPr>
            <w:tcW w:w="432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支持一键对未能解析日志自动生成解析策略，自动生成的内容包括：解析方式、结构化提取日志字段、各字段的映射方法、解析后字段名称等，帮助客户快速完成全新日志的接入。支持的解析方式至少包括JSON、正则表达式镪值对、CSV解析、CEF解析、Grok解析、插件解析等。（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rPr>
            </w:pPr>
          </w:p>
        </w:tc>
        <w:tc>
          <w:tcPr>
            <w:tcW w:w="190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★数据存储</w:t>
            </w:r>
          </w:p>
        </w:tc>
        <w:tc>
          <w:tcPr>
            <w:tcW w:w="4324"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需提供可视化的新增日志类型配置界面，支持用户自定义日志类型，可配置日志名称、别名、分组、数据库、存储引擎、同步策略、分区方式、分片数、数据保留天数、重要度、刷新间隔及存储范围等基础参数，支持自定义分词器与索引配置，并可灵活添加公共字段、系统字段及自定义日志字段，实现日志数据采集、存储与管理的全流程自定义适配，满足不同业务场景的日志接入与治理需求（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pPr>
              <w:numPr>
                <w:ilvl w:val="0"/>
                <w:numId w:val="5"/>
              </w:numPr>
              <w:jc w:val="center"/>
              <w:rPr>
                <w:rFonts w:hint="eastAsia" w:ascii="仿宋_GB2312" w:hAnsi="仿宋_GB2312" w:eastAsia="仿宋_GB2312" w:cs="仿宋_GB2312"/>
                <w:b/>
                <w:bCs/>
                <w:sz w:val="24"/>
                <w:szCs w:val="24"/>
                <w:highlight w:val="none"/>
              </w:rPr>
            </w:pPr>
          </w:p>
        </w:tc>
        <w:tc>
          <w:tcPr>
            <w:tcW w:w="1445" w:type="dxa"/>
            <w:vMerge w:val="continue"/>
            <w:vAlign w:val="center"/>
          </w:tcPr>
          <w:p>
            <w:pPr>
              <w:jc w:val="center"/>
              <w:rPr>
                <w:rFonts w:hint="eastAsia" w:ascii="仿宋_GB2312" w:hAnsi="仿宋_GB2312" w:eastAsia="仿宋_GB2312" w:cs="仿宋_GB2312"/>
                <w:sz w:val="24"/>
                <w:szCs w:val="24"/>
                <w:highlight w:val="none"/>
              </w:rPr>
            </w:pPr>
          </w:p>
        </w:tc>
        <w:tc>
          <w:tcPr>
            <w:tcW w:w="1904" w:type="dxa"/>
            <w:vAlign w:val="center"/>
          </w:tcPr>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color w:val="auto"/>
                <w:sz w:val="24"/>
                <w:szCs w:val="24"/>
                <w:highlight w:val="none"/>
              </w:rPr>
              <w:t>国密算法支持</w:t>
            </w:r>
          </w:p>
        </w:tc>
        <w:tc>
          <w:tcPr>
            <w:tcW w:w="4324"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平台系统</w:t>
            </w:r>
            <w:r>
              <w:rPr>
                <w:rFonts w:hint="eastAsia" w:ascii="仿宋_GB2312" w:hAnsi="仿宋_GB2312" w:eastAsia="仿宋_GB2312" w:cs="仿宋_GB2312"/>
                <w:color w:val="auto"/>
                <w:sz w:val="24"/>
                <w:szCs w:val="24"/>
                <w:highlight w:val="none"/>
                <w:lang w:val="en-US" w:eastAsia="zh-CN"/>
              </w:rPr>
              <w:t>数据</w:t>
            </w:r>
            <w:r>
              <w:rPr>
                <w:rFonts w:hint="eastAsia" w:ascii="仿宋_GB2312" w:hAnsi="仿宋_GB2312" w:eastAsia="仿宋_GB2312" w:cs="仿宋_GB2312"/>
                <w:color w:val="auto"/>
                <w:sz w:val="24"/>
                <w:szCs w:val="24"/>
                <w:highlight w:val="none"/>
              </w:rPr>
              <w:t>存储</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数据传输</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系统</w:t>
            </w:r>
            <w:r>
              <w:rPr>
                <w:rFonts w:hint="eastAsia" w:ascii="仿宋_GB2312" w:hAnsi="仿宋_GB2312" w:eastAsia="仿宋_GB2312" w:cs="仿宋_GB2312"/>
                <w:color w:val="auto"/>
                <w:sz w:val="24"/>
                <w:szCs w:val="24"/>
                <w:highlight w:val="none"/>
                <w:lang w:val="en-US" w:eastAsia="zh-CN"/>
              </w:rPr>
              <w:t>访问均支持</w:t>
            </w:r>
            <w:r>
              <w:rPr>
                <w:rFonts w:hint="eastAsia" w:ascii="仿宋_GB2312" w:hAnsi="仿宋_GB2312" w:eastAsia="仿宋_GB2312" w:cs="仿宋_GB2312"/>
                <w:color w:val="auto"/>
                <w:sz w:val="24"/>
                <w:szCs w:val="24"/>
                <w:highlight w:val="none"/>
              </w:rPr>
              <w:t>国密</w:t>
            </w:r>
            <w:r>
              <w:rPr>
                <w:rFonts w:hint="eastAsia" w:ascii="仿宋_GB2312" w:hAnsi="仿宋_GB2312" w:eastAsia="仿宋_GB2312" w:cs="仿宋_GB2312"/>
                <w:color w:val="auto"/>
                <w:sz w:val="24"/>
                <w:szCs w:val="24"/>
                <w:highlight w:val="none"/>
                <w:lang w:val="en-US" w:eastAsia="zh-CN"/>
              </w:rPr>
              <w:t>算法</w:t>
            </w:r>
            <w:r>
              <w:rPr>
                <w:rFonts w:hint="eastAsia" w:ascii="仿宋_GB2312" w:hAnsi="仿宋_GB2312" w:eastAsia="仿宋_GB2312" w:cs="仿宋_GB2312"/>
                <w:color w:val="auto"/>
                <w:sz w:val="24"/>
                <w:szCs w:val="24"/>
                <w:highlight w:val="none"/>
              </w:rPr>
              <w:t>。（必须提供</w:t>
            </w:r>
            <w:r>
              <w:rPr>
                <w:rFonts w:hint="eastAsia" w:ascii="仿宋_GB2312" w:hAnsi="仿宋_GB2312" w:eastAsia="仿宋_GB2312" w:cs="仿宋_GB2312"/>
                <w:color w:val="auto"/>
                <w:sz w:val="24"/>
                <w:szCs w:val="24"/>
                <w:highlight w:val="none"/>
                <w:lang w:val="en-US" w:eastAsia="zh-CN"/>
              </w:rPr>
              <w:t>相关佐证材料</w:t>
            </w:r>
            <w:r>
              <w:rPr>
                <w:rFonts w:hint="eastAsia" w:ascii="仿宋_GB2312" w:hAnsi="仿宋_GB2312" w:eastAsia="仿宋_GB2312" w:cs="仿宋_GB2312"/>
                <w:color w:val="auto"/>
                <w:sz w:val="24"/>
                <w:szCs w:val="24"/>
                <w:highlight w:val="none"/>
              </w:rPr>
              <w:t>，并加盖原厂公章）</w:t>
            </w:r>
          </w:p>
        </w:tc>
      </w:tr>
    </w:tbl>
    <w:p>
      <w:pPr>
        <w:pStyle w:val="8"/>
        <w:numPr>
          <w:ilvl w:val="4"/>
          <w:numId w:val="1"/>
        </w:numPr>
        <w:tabs>
          <w:tab w:val="left" w:pos="420"/>
          <w:tab w:val="left" w:pos="709"/>
          <w:tab w:val="clear" w:pos="992"/>
        </w:tabs>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高级功能</w:t>
      </w:r>
    </w:p>
    <w:tbl>
      <w:tblPr>
        <w:tblStyle w:val="22"/>
        <w:tblW w:w="84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949"/>
        <w:gridCol w:w="5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tcPr>
          <w:p>
            <w:pPr>
              <w:jc w:val="center"/>
              <w:rPr>
                <w:rFonts w:hint="eastAsia" w:ascii="仿宋_GB2312" w:hAnsi="仿宋_GB2312" w:eastAsia="仿宋_GB2312" w:cs="仿宋_GB2312"/>
                <w:b/>
                <w:bCs/>
                <w:color w:val="auto"/>
                <w:sz w:val="24"/>
                <w:szCs w:val="24"/>
                <w:highlight w:val="none"/>
                <w:lang w:eastAsia="zh-Hans"/>
              </w:rPr>
            </w:pPr>
            <w:r>
              <w:rPr>
                <w:rFonts w:hint="eastAsia" w:ascii="仿宋_GB2312" w:hAnsi="仿宋_GB2312" w:eastAsia="仿宋_GB2312" w:cs="仿宋_GB2312"/>
                <w:b/>
                <w:bCs/>
                <w:color w:val="auto"/>
                <w:sz w:val="24"/>
                <w:szCs w:val="24"/>
                <w:highlight w:val="none"/>
                <w:lang w:eastAsia="zh-Hans"/>
              </w:rPr>
              <w:t>序号</w:t>
            </w:r>
          </w:p>
        </w:tc>
        <w:tc>
          <w:tcPr>
            <w:tcW w:w="1949" w:type="dxa"/>
          </w:tcPr>
          <w:p>
            <w:pPr>
              <w:jc w:val="center"/>
              <w:rPr>
                <w:rFonts w:hint="eastAsia" w:ascii="仿宋_GB2312" w:hAnsi="仿宋_GB2312" w:eastAsia="仿宋_GB2312" w:cs="仿宋_GB2312"/>
                <w:b/>
                <w:bCs/>
                <w:color w:val="auto"/>
                <w:sz w:val="24"/>
                <w:szCs w:val="24"/>
                <w:highlight w:val="none"/>
                <w:lang w:eastAsia="zh-Hans"/>
              </w:rPr>
            </w:pPr>
            <w:r>
              <w:rPr>
                <w:rFonts w:hint="eastAsia" w:ascii="仿宋_GB2312" w:hAnsi="仿宋_GB2312" w:eastAsia="仿宋_GB2312" w:cs="仿宋_GB2312"/>
                <w:b/>
                <w:bCs/>
                <w:color w:val="auto"/>
                <w:sz w:val="24"/>
                <w:szCs w:val="24"/>
                <w:highlight w:val="none"/>
                <w:lang w:eastAsia="zh-Hans"/>
              </w:rPr>
              <w:t>名称</w:t>
            </w:r>
          </w:p>
        </w:tc>
        <w:tc>
          <w:tcPr>
            <w:tcW w:w="5628" w:type="dxa"/>
          </w:tcPr>
          <w:p>
            <w:pPr>
              <w:jc w:val="center"/>
              <w:rPr>
                <w:rFonts w:hint="eastAsia" w:ascii="仿宋_GB2312" w:hAnsi="仿宋_GB2312" w:eastAsia="仿宋_GB2312" w:cs="仿宋_GB2312"/>
                <w:b/>
                <w:bCs/>
                <w:color w:val="auto"/>
                <w:sz w:val="24"/>
                <w:szCs w:val="24"/>
                <w:highlight w:val="none"/>
                <w:lang w:eastAsia="zh-Hans"/>
              </w:rPr>
            </w:pPr>
            <w:r>
              <w:rPr>
                <w:rFonts w:hint="eastAsia" w:ascii="仿宋_GB2312" w:hAnsi="仿宋_GB2312" w:eastAsia="仿宋_GB2312" w:cs="仿宋_GB2312"/>
                <w:b/>
                <w:bCs/>
                <w:color w:val="auto"/>
                <w:sz w:val="24"/>
                <w:szCs w:val="24"/>
                <w:highlight w:val="none"/>
                <w:lang w:eastAsia="zh-Hans"/>
              </w:rPr>
              <w:t>功能参数要求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告警智能研判处理</w:t>
            </w:r>
          </w:p>
        </w:tc>
        <w:tc>
          <w:tcPr>
            <w:tcW w:w="5628" w:type="dxa"/>
            <w:vAlign w:val="center"/>
          </w:tcPr>
          <w:p>
            <w:pPr>
              <w:rPr>
                <w:rFonts w:ascii="仿宋_GB2312" w:hAnsi="仿宋_GB2312" w:eastAsia="仿宋_GB2312" w:cs="仿宋_GB2312"/>
                <w:sz w:val="24"/>
                <w:szCs w:val="24"/>
              </w:rPr>
            </w:pPr>
            <w:r>
              <w:rPr>
                <w:rFonts w:hint="eastAsia" w:ascii="仿宋_GB2312" w:hAnsi="仿宋_GB2312" w:eastAsia="仿宋_GB2312" w:cs="仿宋_GB2312"/>
                <w:sz w:val="24"/>
                <w:szCs w:val="24"/>
              </w:rPr>
              <w:t>提供告警研判</w:t>
            </w:r>
            <w:r>
              <w:rPr>
                <w:rFonts w:hint="eastAsia" w:ascii="仿宋_GB2312" w:hAnsi="仿宋_GB2312" w:eastAsia="仿宋_GB2312" w:cs="仿宋_GB2312"/>
                <w:sz w:val="24"/>
                <w:szCs w:val="24"/>
                <w:lang w:val="en-US" w:eastAsia="zh-CN"/>
              </w:rPr>
              <w:t>智能分析处理</w:t>
            </w:r>
            <w:r>
              <w:rPr>
                <w:rFonts w:hint="eastAsia" w:ascii="仿宋_GB2312" w:hAnsi="仿宋_GB2312" w:eastAsia="仿宋_GB2312" w:cs="仿宋_GB2312"/>
                <w:sz w:val="24"/>
                <w:szCs w:val="24"/>
              </w:rPr>
              <w:t>能力，</w:t>
            </w:r>
            <w:r>
              <w:rPr>
                <w:rFonts w:hint="eastAsia" w:ascii="仿宋_GB2312" w:hAnsi="仿宋_GB2312" w:eastAsia="仿宋_GB2312" w:cs="仿宋_GB2312"/>
                <w:sz w:val="24"/>
                <w:szCs w:val="24"/>
                <w:lang w:val="en-US" w:eastAsia="zh-CN"/>
              </w:rPr>
              <w:t>能够</w:t>
            </w:r>
            <w:r>
              <w:rPr>
                <w:rFonts w:hint="eastAsia" w:ascii="仿宋_GB2312" w:hAnsi="仿宋_GB2312" w:eastAsia="仿宋_GB2312" w:cs="仿宋_GB2312"/>
                <w:sz w:val="24"/>
                <w:szCs w:val="24"/>
              </w:rPr>
              <w:t>对告警的优先级</w:t>
            </w:r>
            <w:r>
              <w:rPr>
                <w:rFonts w:hint="eastAsia" w:ascii="仿宋_GB2312" w:hAnsi="仿宋_GB2312" w:eastAsia="仿宋_GB2312" w:cs="仿宋_GB2312"/>
                <w:sz w:val="24"/>
                <w:szCs w:val="24"/>
                <w:lang w:val="en-US" w:eastAsia="zh-CN"/>
              </w:rPr>
              <w:t>进行</w:t>
            </w:r>
            <w:r>
              <w:rPr>
                <w:rFonts w:hint="eastAsia" w:ascii="仿宋_GB2312" w:hAnsi="仿宋_GB2312" w:eastAsia="仿宋_GB2312" w:cs="仿宋_GB2312"/>
                <w:sz w:val="24"/>
                <w:szCs w:val="24"/>
              </w:rPr>
              <w:t>分类，支持智能研判及告警加白处理。</w:t>
            </w:r>
          </w:p>
          <w:p>
            <w:pP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研判规则支持配置过滤条件和配置过滤条件组，过滤内容包括：告警名称、首次告警时间、源IP、目的IP、源端口、目的端口、通信方向、攻击者等信息 </w:t>
            </w:r>
          </w:p>
          <w:p>
            <w:pP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研判策略支持生效时间配置，包括：永久生效和自定义时间</w:t>
            </w:r>
            <w:r>
              <w:rPr>
                <w:rFonts w:hint="eastAsia" w:ascii="仿宋_GB2312" w:hAnsi="仿宋_GB2312" w:eastAsia="仿宋_GB2312" w:cs="仿宋_GB2312"/>
                <w:sz w:val="24"/>
                <w:szCs w:val="24"/>
                <w:lang w:eastAsia="zh-CN"/>
              </w:rPr>
              <w:t>；</w:t>
            </w:r>
          </w:p>
          <w:p>
            <w:pP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支持对源IP、目的IP、数据源IP、攻击者（IP类型）、受害者（IP类型）、域名、文件哈希、URI资源的类型直接进行全局加白</w:t>
            </w:r>
            <w:r>
              <w:rPr>
                <w:rFonts w:hint="eastAsia" w:ascii="仿宋_GB2312" w:hAnsi="仿宋_GB2312" w:eastAsia="仿宋_GB2312" w:cs="仿宋_GB2312"/>
                <w:sz w:val="24"/>
                <w:szCs w:val="24"/>
                <w:lang w:eastAsia="zh-CN"/>
              </w:rPr>
              <w:t>；</w:t>
            </w:r>
          </w:p>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rPr>
              <w:t>支持根据单个、多个或者全部检测规则进行加白，如果选择了特定的关联规则，则加白只针对选中规则范围内产生的告警生效，并且支持配置生效时间（必须提供功能截图，并加盖原厂公章）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▲资产管理</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系统需提供可视化资产管理界面，支持对主机资产、网站资产进行分类管理，资产分组维度应支持资产分组、组织架构、业务分组、地理位置、网段等多种方式，用户可通过界面新增自定义资产分组，实现资产的精细化、多维度归类与快速筛选，满足不同业务场景下的资产梳理与安全管理需求。（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▲资产风险</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系统需提供可视化风险计算配置界面，支持用户自定义配置风险计算周期（每小时 / 每 30 分钟 / 每 5 分钟）、计算方式（默认 / 自定义），并可针对威胁告警、脆弱性（漏洞、配置核查、弱口令）等不同维度，灵活设置是否纳入计算、时间范围、处置状态、研判结论及危害等级等参数，支持配置保存与立即计算，实现风险评估模型的精细化、场景化调整。（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▲联动扫描</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支持对接</w:t>
            </w:r>
            <w:r>
              <w:rPr>
                <w:rFonts w:hint="eastAsia" w:ascii="仿宋_GB2312" w:hAnsi="仿宋_GB2312" w:eastAsia="仿宋_GB2312" w:cs="仿宋_GB2312"/>
                <w:color w:val="auto"/>
                <w:sz w:val="24"/>
                <w:szCs w:val="24"/>
                <w:highlight w:val="none"/>
                <w:lang w:val="en-US" w:eastAsia="zh-CN"/>
              </w:rPr>
              <w:t>国内主流网络安全漏洞扫描</w:t>
            </w:r>
            <w:r>
              <w:rPr>
                <w:rFonts w:hint="eastAsia" w:ascii="仿宋_GB2312" w:hAnsi="仿宋_GB2312" w:eastAsia="仿宋_GB2312" w:cs="仿宋_GB2312"/>
                <w:color w:val="auto"/>
                <w:sz w:val="24"/>
                <w:szCs w:val="24"/>
                <w:highlight w:val="none"/>
              </w:rPr>
              <w:t>设备，进行漏洞扫描任务调度和弱口令扫描任务调度，支持自动获取扫描器的扫描策略并执行周期性扫描任务和快速扫描任务；支持导入漏洞扫描报告（必须提供功能截图，并加盖原厂公章）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▲事件调查</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支持关联多个类似告警进行事件创建</w:t>
            </w:r>
          </w:p>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事件类型包括：恶意程序事件、网络攻击事件、数据安全事件、信息内容安全事件、设备设施故障事件、违规操作事件、安全隐患事件、不可抗力事件、其他事件（必须提供功能截图，并加盖原厂公章）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▲研判配置</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需提供可视化研判配置界面，支持用户对研判能力进行精细化设置，可开启或关闭快速研判功能，并支持在性能优先（优先研判速率）与质量优先（优先研判精准度）两种研判模式间自由切换，同时支持对研判权重进行配置。（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Hans"/>
              </w:rPr>
              <w:t>AI检测能力</w:t>
            </w:r>
          </w:p>
        </w:tc>
        <w:tc>
          <w:tcPr>
            <w:tcW w:w="5628" w:type="dxa"/>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支持灵活开启机器学习模型增强检测精度，且所有模型检测功能均需提供配置界面，支持启用 / 禁用、灵敏度 / 误报阈值调整及白名单配置，以适配不同安全场景需求支持包括：ICMP隧道检测、DNSTunnel检测、Http隧道检测、CS流量检测、MSF检测、挖矿流量检测、代理流量检测、弱口令检测、SSH爆破登录成功检测、加密webshell检测(Http/s)、横向移动检测、加密恶意流量检测、僵尸网络C2通信检测在内等至少10种机器学习检测模型，提高威胁行为检出率。（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ascii="仿宋" w:hAnsi="仿宋" w:eastAsia="仿宋"/>
                <w:color w:val="auto"/>
                <w:sz w:val="24"/>
                <w:szCs w:val="24"/>
                <w:highlight w:val="none"/>
              </w:rPr>
              <w:t>shiro</w:t>
            </w:r>
            <w:r>
              <w:rPr>
                <w:rFonts w:hint="eastAsia" w:ascii="仿宋" w:hAnsi="仿宋" w:eastAsia="仿宋"/>
                <w:color w:val="auto"/>
                <w:sz w:val="24"/>
                <w:szCs w:val="24"/>
                <w:highlight w:val="none"/>
              </w:rPr>
              <w:t>反序列化密钥配置</w:t>
            </w:r>
          </w:p>
        </w:tc>
        <w:tc>
          <w:tcPr>
            <w:tcW w:w="5628" w:type="dxa"/>
            <w:vAlign w:val="center"/>
          </w:tcPr>
          <w:p>
            <w:pPr>
              <w:widowControl/>
              <w:spacing w:line="240" w:lineRule="atLeast"/>
              <w:jc w:val="left"/>
              <w:rPr>
                <w:rFonts w:hint="eastAsia" w:ascii="仿宋_GB2312" w:hAnsi="仿宋_GB2312" w:eastAsia="仿宋_GB2312" w:cs="仿宋_GB2312"/>
                <w:color w:val="auto"/>
                <w:sz w:val="24"/>
                <w:szCs w:val="24"/>
                <w:highlight w:val="none"/>
              </w:rPr>
            </w:pPr>
            <w:r>
              <w:rPr>
                <w:rFonts w:hint="eastAsia" w:ascii="仿宋" w:hAnsi="仿宋" w:eastAsia="仿宋"/>
                <w:color w:val="auto"/>
                <w:sz w:val="24"/>
                <w:szCs w:val="24"/>
                <w:highlight w:val="none"/>
              </w:rPr>
              <w:t>支持针对</w:t>
            </w:r>
            <w:r>
              <w:rPr>
                <w:rFonts w:ascii="仿宋" w:hAnsi="仿宋" w:eastAsia="仿宋"/>
                <w:color w:val="auto"/>
                <w:sz w:val="24"/>
                <w:szCs w:val="24"/>
                <w:highlight w:val="none"/>
              </w:rPr>
              <w:t>shiro</w:t>
            </w:r>
            <w:r>
              <w:rPr>
                <w:rFonts w:hint="eastAsia" w:ascii="仿宋" w:hAnsi="仿宋" w:eastAsia="仿宋"/>
                <w:color w:val="auto"/>
                <w:sz w:val="24"/>
                <w:szCs w:val="24"/>
                <w:highlight w:val="none"/>
              </w:rPr>
              <w:t>反序列化，自定义添加密钥，进而展示解密后内容。</w:t>
            </w:r>
            <w:r>
              <w:rPr>
                <w:rFonts w:hint="eastAsia" w:ascii="仿宋_GB2312" w:hAnsi="仿宋_GB2312" w:eastAsia="仿宋_GB2312" w:cs="仿宋_GB2312"/>
                <w:color w:val="auto"/>
                <w:sz w:val="24"/>
                <w:szCs w:val="24"/>
                <w:highlight w:val="none"/>
              </w:rPr>
              <w:t>（必须提供功能截图，并加盖原厂公章）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 w:hAnsi="仿宋" w:eastAsia="仿宋"/>
                <w:color w:val="auto"/>
                <w:sz w:val="24"/>
                <w:szCs w:val="24"/>
                <w:highlight w:val="none"/>
              </w:rPr>
              <w:t>内置威胁检测规则编辑</w:t>
            </w:r>
          </w:p>
        </w:tc>
        <w:tc>
          <w:tcPr>
            <w:tcW w:w="5628" w:type="dxa"/>
            <w:vAlign w:val="center"/>
          </w:tcPr>
          <w:p>
            <w:pPr>
              <w:widowControl/>
              <w:spacing w:line="240" w:lineRule="atLeast"/>
              <w:jc w:val="left"/>
              <w:rPr>
                <w:color w:val="auto"/>
                <w:sz w:val="16"/>
                <w:szCs w:val="16"/>
                <w:highlight w:val="none"/>
              </w:rPr>
            </w:pPr>
            <w:r>
              <w:rPr>
                <w:rFonts w:hint="eastAsia" w:ascii="仿宋_GB2312" w:hAnsi="仿宋_GB2312" w:eastAsia="仿宋_GB2312" w:cs="仿宋_GB2312"/>
                <w:color w:val="auto"/>
                <w:sz w:val="24"/>
                <w:szCs w:val="24"/>
                <w:highlight w:val="none"/>
              </w:rPr>
              <w:t>需提供与可视化内置规则编辑界面，支持用户直接在界面内对漏洞检测规则的核心字段进行精细化配置：可通过下拉选择框修改漏洞威胁类型、调整威胁等级、自定义攻击结果判定标签，同时界面完整展示规则基本信息（发布时间、更新时间、编程语言、建站程序、CVE 编号、规则编号等），实现检测策略的可视化、可配置化管理，以适配不同业务场景的安全防护与误报优化需求。（必须提供功能截图，并加盖原厂公章）</w:t>
            </w:r>
          </w:p>
          <w:p>
            <w:pPr>
              <w:rPr>
                <w:rFonts w:hint="eastAsia" w:ascii="仿宋_GB2312" w:hAnsi="仿宋_GB2312" w:eastAsia="仿宋_GB2312" w:cs="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▲混淆攻击检测</w:t>
            </w:r>
          </w:p>
        </w:tc>
        <w:tc>
          <w:tcPr>
            <w:tcW w:w="5628" w:type="dxa"/>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Hans"/>
              </w:rPr>
              <w:t>支持对请求体中的base64、unicode、hex、url等编码数据进行解码检测。支持识别payload中base64、unicode、hex、url等多种类型及多层嵌套的混淆编码检测</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rPr>
              <w:t>（必须提供功能截图，并加盖原厂公章）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lang w:eastAsia="zh-Hans"/>
              </w:rPr>
            </w:pPr>
            <w:r>
              <w:rPr>
                <w:rFonts w:hint="eastAsia" w:ascii="仿宋_GB2312" w:hAnsi="仿宋_GB2312" w:eastAsia="仿宋_GB2312" w:cs="仿宋_GB2312"/>
                <w:color w:val="auto"/>
                <w:sz w:val="24"/>
                <w:szCs w:val="24"/>
                <w:highlight w:val="none"/>
              </w:rPr>
              <w:t>▲智能风险评估</w:t>
            </w:r>
          </w:p>
        </w:tc>
        <w:tc>
          <w:tcPr>
            <w:tcW w:w="5628" w:type="dxa"/>
            <w:vAlign w:val="center"/>
          </w:tcPr>
          <w:p>
            <w:pPr>
              <w:rPr>
                <w:rFonts w:hint="eastAsia" w:ascii="仿宋_GB2312" w:hAnsi="仿宋_GB2312" w:eastAsia="仿宋_GB2312" w:cs="仿宋_GB2312"/>
                <w:color w:val="auto"/>
                <w:sz w:val="24"/>
                <w:szCs w:val="24"/>
                <w:highlight w:val="none"/>
                <w:lang w:eastAsia="zh-Hans"/>
              </w:rPr>
            </w:pPr>
            <w:r>
              <w:rPr>
                <w:rFonts w:hint="eastAsia" w:ascii="仿宋_GB2312" w:hAnsi="仿宋_GB2312" w:eastAsia="仿宋_GB2312" w:cs="仿宋_GB2312"/>
                <w:color w:val="auto"/>
                <w:sz w:val="24"/>
                <w:szCs w:val="24"/>
                <w:highlight w:val="none"/>
              </w:rPr>
              <w:t>支持由AI对资产各维度风险信息（即资产关联的告警、漏洞、弱口令、配置核查登）进行全景分析并自动给出该资产风险分析报告，报告内容包括：资产当前已知风险、潜在风险，针对已知风险的时间线和关联分析，给出其暴漏面分析逻辑图，可能存在的攻击路径流程图(含每步攻击对象、动作、预期结果)、及治理建议。报告界面支持以word或PDF格式导出。（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▲智能内生情报</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AI自动识别在事件调查中新发现但还未被情报库收录的新恶意实体（包括新恶意文件、攻击者IP、C2服务器等），可自动提取新增至本地情报中心，实现AI在本地持续内生情报。（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▲智能报告</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通过自然语言对话或者导入报告模板的方式，由AI分析理解用户意图或模板文档章节，通过AI自主规划整个报告的章节目录、生成标题、生成内容、识别查询内容对应的工具、最终优化报告等多个环节，最终按用户个性化要求或个性化模版编写生成完整报告。生成的报告支持一键下载，报告支持PDF、word等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▲智能辅助运营</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提供AI辅助安全运营能力和入口界面，由AI自动对SOC平台运行状态分析和总结，并生成针对性的运营工作建议，场景至少包括：</w:t>
            </w:r>
          </w:p>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1自动评估平台当前风险状态，并智能给出当前运营建议和待办工作。</w:t>
            </w:r>
          </w:p>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2自动巡检规则库/特征库更新状态；</w:t>
            </w:r>
          </w:p>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3自动识别需优化的平台规则，并给出该规则的需优化的具体原因、优化建议、优化后预期收益。</w:t>
            </w:r>
          </w:p>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4自动识别需紧急处理的告警威胁，并给出紧急提醒的原因。（必须提供功能截图，并加盖原厂公章）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Hans"/>
              </w:rPr>
              <w:t>加密流量攻击检测</w:t>
            </w:r>
          </w:p>
        </w:tc>
        <w:tc>
          <w:tcPr>
            <w:tcW w:w="5628" w:type="dxa"/>
            <w:vAlign w:val="top"/>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Hans"/>
              </w:rPr>
              <w:t>支持隐秘信道检测。检测类型包括：ICMP、DNS协议等隐蔽隧道攻击检测，恶意软件加密通信的检测，加密web应用的流量检测，非法应用加密通信的检测，SSL加密协议相关的漏洞与攻击的检测，加密通道攻击行为检测，支持JA3指纹检测</w:t>
            </w:r>
            <w:r>
              <w:rPr>
                <w:rFonts w:hint="eastAsia" w:ascii="仿宋_GB2312" w:hAnsi="仿宋_GB2312" w:eastAsia="仿宋_GB2312" w:cs="仿宋_GB2312"/>
                <w:color w:val="auto"/>
                <w:sz w:val="24"/>
                <w:szCs w:val="24"/>
                <w:highlight w:val="none"/>
              </w:rPr>
              <w:t>（必须提供功能截图，并加盖原厂公章）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▲智能研判</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使用AI大模型对平台告警进行7*24小时自动研判，其中针对NDR、EDR类设备告警的AI自动研判率(有自动研判结论的告警数/告警总数)≥90%。支持手动修正告警的AI研判结论，并一键自动生成AI研判调优策略。支持展示研判结论变动历史记录。（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Hans"/>
              </w:rPr>
              <w:t>远程工具检测能力</w:t>
            </w:r>
          </w:p>
        </w:tc>
        <w:tc>
          <w:tcPr>
            <w:tcW w:w="5628" w:type="dxa"/>
            <w:vAlign w:val="top"/>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Hans"/>
              </w:rPr>
              <w:t>支持包括：向日葵、ToDesk、Sorillus、Stowaway、CcRemote、DWservice等在内的不低于6种远控/远程工具检测。</w:t>
            </w:r>
            <w:r>
              <w:rPr>
                <w:rFonts w:hint="eastAsia" w:ascii="仿宋_GB2312" w:hAnsi="仿宋_GB2312" w:eastAsia="仿宋_GB2312" w:cs="仿宋_GB2312"/>
                <w:color w:val="auto"/>
                <w:sz w:val="24"/>
                <w:szCs w:val="24"/>
                <w:highlight w:val="none"/>
              </w:rPr>
              <w:t>（必须提供功能截图，并加盖原厂公章）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▲挖矿检测能力</w:t>
            </w:r>
          </w:p>
        </w:tc>
        <w:tc>
          <w:tcPr>
            <w:tcW w:w="5628" w:type="dxa"/>
            <w:vAlign w:val="top"/>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支持包括门罗币、莱特币、以太坊、比特币、斯特币等1</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种币种的检测。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▲智能调查</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针对有效告警，采用智能分析算法自动进行关联告警分析，精准找到与该攻击告警相关的其他关联告警，判定事件性质、事件名称与事件类型，并给出整个事件的所有攻击者、受害者、攻击时间线，并自动生成完整攻击路径图，图形化展示该事件中所有攻击者、受害者、攻击手段等信息。支持识别和剥离与本事件无关告警，确保事件还原范围精准。事件分析和还原过程无需人为编写关联告警的检索条件和人为编辑事件信息，并支持一键将AI关联分析得出的系列告警升级为事件。（必须提供功能截图，并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pPr>
              <w:numPr>
                <w:ilvl w:val="0"/>
                <w:numId w:val="6"/>
              </w:numPr>
              <w:jc w:val="center"/>
              <w:rPr>
                <w:rFonts w:hint="eastAsia" w:ascii="仿宋_GB2312" w:hAnsi="仿宋_GB2312" w:eastAsia="仿宋_GB2312" w:cs="仿宋_GB2312"/>
                <w:b/>
                <w:bCs/>
                <w:color w:val="auto"/>
                <w:sz w:val="24"/>
                <w:szCs w:val="24"/>
                <w:highlight w:val="none"/>
              </w:rPr>
            </w:pPr>
          </w:p>
        </w:tc>
        <w:tc>
          <w:tcPr>
            <w:tcW w:w="1949" w:type="dxa"/>
            <w:vAlign w:val="center"/>
          </w:tcPr>
          <w:p>
            <w:pPr>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▲智能处置</w:t>
            </w:r>
          </w:p>
        </w:tc>
        <w:tc>
          <w:tcPr>
            <w:tcW w:w="5628" w:type="dxa"/>
            <w:vAlign w:val="center"/>
          </w:tcPr>
          <w:p>
            <w:pP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持由AI大模型自动生成事件处置方案，内容包含且不限于：处置对象、处置时长、推荐处置命令、推荐理由，并可一键调用自动处置命令。且内容为AI大模型推理生成，一事一方案，非预置或人为编写。（必须提供功能截图，并加盖原厂公章）</w:t>
            </w:r>
          </w:p>
        </w:tc>
      </w:tr>
    </w:tbl>
    <w:p>
      <w:pPr>
        <w:rPr>
          <w:highlight w:val="none"/>
          <w:lang w:eastAsia="zh-Hans"/>
        </w:rPr>
      </w:pPr>
    </w:p>
    <w:p>
      <w:pPr>
        <w:rPr>
          <w:highlight w:val="none"/>
        </w:rPr>
      </w:pPr>
    </w:p>
    <w:bookmarkEnd w:id="2"/>
    <w:p>
      <w:pPr>
        <w:pStyle w:val="4"/>
        <w:rPr>
          <w:rFonts w:hint="eastAsia" w:hAnsi="仿宋_GB2312" w:cs="仿宋_GB2312"/>
          <w:highlight w:val="none"/>
        </w:rPr>
      </w:pPr>
      <w:bookmarkStart w:id="31" w:name="_Toc422932966"/>
      <w:bookmarkStart w:id="32" w:name="_Toc293308322"/>
      <w:bookmarkStart w:id="33" w:name="_Toc296516208"/>
      <w:bookmarkStart w:id="34" w:name="_Toc198702472"/>
      <w:bookmarkStart w:id="35" w:name="_Toc197719624"/>
      <w:bookmarkStart w:id="36" w:name="_Toc198288469"/>
      <w:r>
        <w:rPr>
          <w:rFonts w:hint="eastAsia" w:hAnsi="仿宋_GB2312" w:cs="仿宋_GB2312"/>
          <w:highlight w:val="none"/>
        </w:rPr>
        <w:t>项目实施要求</w:t>
      </w:r>
      <w:bookmarkEnd w:id="31"/>
      <w:bookmarkEnd w:id="32"/>
      <w:bookmarkEnd w:id="33"/>
      <w:bookmarkEnd w:id="34"/>
      <w:bookmarkStart w:id="37" w:name="_Toc296516017"/>
      <w:bookmarkEnd w:id="37"/>
      <w:bookmarkStart w:id="38" w:name="_Toc297161654"/>
      <w:bookmarkEnd w:id="38"/>
      <w:bookmarkStart w:id="39" w:name="_Toc296516211"/>
      <w:bookmarkEnd w:id="39"/>
      <w:bookmarkStart w:id="40" w:name="_Toc296524383"/>
      <w:bookmarkEnd w:id="40"/>
      <w:bookmarkStart w:id="41" w:name="_Toc296524384"/>
      <w:bookmarkEnd w:id="41"/>
      <w:bookmarkStart w:id="42" w:name="_Toc296516015"/>
      <w:bookmarkEnd w:id="42"/>
      <w:bookmarkStart w:id="43" w:name="_Toc295228683"/>
      <w:bookmarkEnd w:id="43"/>
      <w:bookmarkStart w:id="44" w:name="_Toc297161657"/>
      <w:bookmarkEnd w:id="44"/>
      <w:bookmarkStart w:id="45" w:name="_Toc297161655"/>
      <w:bookmarkEnd w:id="45"/>
      <w:bookmarkStart w:id="46" w:name="_Toc296516213"/>
      <w:bookmarkEnd w:id="46"/>
      <w:bookmarkStart w:id="47" w:name="_Toc296516016"/>
      <w:bookmarkEnd w:id="47"/>
      <w:bookmarkStart w:id="48" w:name="_Toc297161656"/>
      <w:bookmarkEnd w:id="48"/>
      <w:bookmarkStart w:id="49" w:name="_Toc296516014"/>
      <w:bookmarkEnd w:id="49"/>
      <w:bookmarkStart w:id="50" w:name="_Toc296524385"/>
      <w:bookmarkEnd w:id="50"/>
      <w:bookmarkStart w:id="51" w:name="_Toc295225248"/>
      <w:bookmarkEnd w:id="51"/>
      <w:bookmarkStart w:id="52" w:name="_Toc296516212"/>
      <w:bookmarkEnd w:id="52"/>
      <w:bookmarkStart w:id="53" w:name="_Toc297161653"/>
      <w:bookmarkEnd w:id="53"/>
      <w:bookmarkStart w:id="54" w:name="_Toc296524382"/>
      <w:bookmarkEnd w:id="54"/>
      <w:bookmarkStart w:id="55" w:name="_Toc296516209"/>
      <w:bookmarkEnd w:id="55"/>
      <w:bookmarkStart w:id="56" w:name="_Toc296524386"/>
      <w:bookmarkEnd w:id="56"/>
      <w:bookmarkStart w:id="57" w:name="_Toc296516018"/>
      <w:bookmarkEnd w:id="57"/>
      <w:bookmarkStart w:id="58" w:name="_Toc296516210"/>
      <w:bookmarkEnd w:id="58"/>
      <w:bookmarkStart w:id="59" w:name="_Toc293308323"/>
      <w:bookmarkStart w:id="60" w:name="_Toc198702473"/>
    </w:p>
    <w:bookmarkEnd w:id="59"/>
    <w:bookmarkEnd w:id="60"/>
    <w:p>
      <w:pPr>
        <w:pStyle w:val="5"/>
        <w:rPr>
          <w:rFonts w:hint="eastAsia" w:hAnsi="仿宋_GB2312" w:cs="仿宋_GB2312"/>
          <w:highlight w:val="none"/>
        </w:rPr>
      </w:pPr>
      <w:bookmarkStart w:id="61" w:name="_Toc168479656"/>
      <w:bookmarkEnd w:id="61"/>
      <w:bookmarkStart w:id="62" w:name="_Toc422932967"/>
      <w:r>
        <w:rPr>
          <w:rFonts w:hint="eastAsia" w:hAnsi="仿宋_GB2312" w:cs="仿宋_GB2312"/>
          <w:highlight w:val="none"/>
        </w:rPr>
        <w:t>中标人的一般责任</w:t>
      </w:r>
      <w:bookmarkEnd w:id="62"/>
    </w:p>
    <w:p>
      <w:pPr>
        <w:numPr>
          <w:ilvl w:val="0"/>
          <w:numId w:val="7"/>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中标方应根据招标方的要求及安排，根据需要派遣相关人员参与项目实施工作。</w:t>
      </w:r>
    </w:p>
    <w:p>
      <w:pPr>
        <w:numPr>
          <w:ilvl w:val="0"/>
          <w:numId w:val="7"/>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按照合同约定，完成招标工作范围内的全部工作。</w:t>
      </w:r>
    </w:p>
    <w:p>
      <w:pPr>
        <w:numPr>
          <w:ilvl w:val="0"/>
          <w:numId w:val="7"/>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中标人负责在整个项目过程中保证项目的质量和试验数据的可靠性。若由于中标人自身原因出现了质量事故由中标人负责。</w:t>
      </w:r>
    </w:p>
    <w:p>
      <w:pPr>
        <w:numPr>
          <w:ilvl w:val="0"/>
          <w:numId w:val="7"/>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若需向地方有关部门交纳有关的费用，由中标人自行承担。</w:t>
      </w:r>
    </w:p>
    <w:p>
      <w:pPr>
        <w:numPr>
          <w:ilvl w:val="0"/>
          <w:numId w:val="7"/>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本项目不得转让或分包。</w:t>
      </w:r>
    </w:p>
    <w:p>
      <w:pPr>
        <w:pStyle w:val="5"/>
        <w:rPr>
          <w:rFonts w:hint="eastAsia" w:hAnsi="仿宋_GB2312" w:cs="仿宋_GB2312"/>
          <w:highlight w:val="none"/>
        </w:rPr>
      </w:pPr>
      <w:bookmarkStart w:id="63" w:name="_Toc422932968"/>
      <w:r>
        <w:rPr>
          <w:rFonts w:hint="eastAsia" w:hAnsi="仿宋_GB2312" w:cs="仿宋_GB2312"/>
          <w:highlight w:val="none"/>
        </w:rPr>
        <w:t>进度计划的编制及分段考核</w:t>
      </w:r>
      <w:bookmarkEnd w:id="63"/>
    </w:p>
    <w:p>
      <w:pPr>
        <w:numPr>
          <w:ilvl w:val="0"/>
          <w:numId w:val="8"/>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中标人必须按招标人确认的进度计划组织实施，接受招标人对进度的检查和监督。项目实际进度与经确认的进度计划不符合时，中标人应按招标人的要求提出改进措施，经招标人确认后执行。因中标人的原因导致项目实际进度与进度计划不符，中标人需实施改进措施且不得追加合同价款。</w:t>
      </w:r>
    </w:p>
    <w:p>
      <w:pPr>
        <w:numPr>
          <w:ilvl w:val="0"/>
          <w:numId w:val="8"/>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交货时间要求：中标方应在合同生效后30日内，将合同项下所有货物运送至招标方指定地点并向招标方交付。</w:t>
      </w:r>
    </w:p>
    <w:p>
      <w:pPr>
        <w:numPr>
          <w:ilvl w:val="0"/>
          <w:numId w:val="8"/>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项目工期要求：中标方应在合同生效后3个月内，完成设备的安装调试工作。</w:t>
      </w:r>
      <w:bookmarkStart w:id="71" w:name="_GoBack"/>
      <w:bookmarkEnd w:id="71"/>
    </w:p>
    <w:p>
      <w:pPr>
        <w:numPr>
          <w:ilvl w:val="0"/>
          <w:numId w:val="8"/>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项目完成竣工验收后，项目计划终止。</w:t>
      </w:r>
    </w:p>
    <w:p>
      <w:pPr>
        <w:numPr>
          <w:ilvl w:val="0"/>
          <w:numId w:val="8"/>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项目终验后进入质保期，质保期拟为期不少于3</w:t>
      </w:r>
      <w:r>
        <w:rPr>
          <w:rFonts w:hint="eastAsia" w:ascii="仿宋_GB2312" w:hAnsi="仿宋_GB2312" w:eastAsia="仿宋_GB2312" w:cs="仿宋_GB2312"/>
          <w:sz w:val="28"/>
          <w:szCs w:val="28"/>
          <w:highlight w:val="none"/>
          <w:lang w:eastAsia="zh-Hans"/>
        </w:rPr>
        <w:t>年</w:t>
      </w:r>
      <w:r>
        <w:rPr>
          <w:rFonts w:hint="eastAsia" w:ascii="仿宋_GB2312" w:hAnsi="仿宋_GB2312" w:eastAsia="仿宋_GB2312" w:cs="仿宋_GB2312"/>
          <w:sz w:val="28"/>
          <w:szCs w:val="28"/>
          <w:highlight w:val="none"/>
        </w:rPr>
        <w:t>。</w:t>
      </w:r>
    </w:p>
    <w:p>
      <w:pPr>
        <w:pStyle w:val="5"/>
        <w:adjustRightInd w:val="0"/>
        <w:snapToGrid w:val="0"/>
        <w:spacing w:before="240" w:after="240" w:line="360" w:lineRule="exact"/>
        <w:rPr>
          <w:rFonts w:hint="eastAsia" w:hAnsi="仿宋_GB2312" w:cs="仿宋_GB2312"/>
          <w:highlight w:val="none"/>
        </w:rPr>
      </w:pPr>
      <w:bookmarkStart w:id="64" w:name="_Toc415304659"/>
      <w:bookmarkStart w:id="65" w:name="_Toc422932969"/>
      <w:r>
        <w:rPr>
          <w:rFonts w:hint="eastAsia" w:hAnsi="仿宋_GB2312" w:cs="仿宋_GB2312"/>
          <w:highlight w:val="none"/>
        </w:rPr>
        <w:t>项目建设结束</w:t>
      </w:r>
      <w:bookmarkEnd w:id="64"/>
      <w:bookmarkEnd w:id="65"/>
    </w:p>
    <w:p>
      <w:pPr>
        <w:numPr>
          <w:ilvl w:val="0"/>
          <w:numId w:val="9"/>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中标方必须按照协议书约定的结束日期或经招标方同意顺延的计划完成项目。</w:t>
      </w:r>
    </w:p>
    <w:p>
      <w:pPr>
        <w:numPr>
          <w:ilvl w:val="0"/>
          <w:numId w:val="9"/>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因中标方原因不能按照协议书约定的完成日期或招标方同意顺延的工期完成的，中标方承担违约责任。</w:t>
      </w:r>
    </w:p>
    <w:p>
      <w:pPr>
        <w:pStyle w:val="5"/>
        <w:adjustRightInd w:val="0"/>
        <w:snapToGrid w:val="0"/>
        <w:spacing w:before="240" w:after="240" w:line="360" w:lineRule="exact"/>
        <w:rPr>
          <w:rFonts w:hint="eastAsia" w:hAnsi="仿宋_GB2312" w:cs="仿宋_GB2312"/>
          <w:highlight w:val="none"/>
        </w:rPr>
      </w:pPr>
      <w:bookmarkStart w:id="66" w:name="_Toc415304660"/>
      <w:bookmarkStart w:id="67" w:name="_Toc422932970"/>
      <w:r>
        <w:rPr>
          <w:rFonts w:hint="eastAsia" w:hAnsi="仿宋_GB2312" w:cs="仿宋_GB2312"/>
          <w:highlight w:val="none"/>
        </w:rPr>
        <w:t>项目验收</w:t>
      </w:r>
      <w:bookmarkEnd w:id="66"/>
      <w:bookmarkEnd w:id="67"/>
    </w:p>
    <w:p>
      <w:pPr>
        <w:numPr>
          <w:ilvl w:val="0"/>
          <w:numId w:val="10"/>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验收采用专家审查方式，项目审查工作由招标方组织。当项目达到合同条款约定的验收条件时，中标方应首先进行认真的自检，准备验收材料，并向招标方提出审查申请，招标方在收到投标方审查申请后组织审查验收。</w:t>
      </w:r>
    </w:p>
    <w:p>
      <w:pPr>
        <w:numPr>
          <w:ilvl w:val="0"/>
          <w:numId w:val="10"/>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由于非中标方原因项目验收达不到验收标准及约定要求，招标方应要求有关单位修改，中标方按修改意见处理。</w:t>
      </w:r>
    </w:p>
    <w:p>
      <w:pPr>
        <w:numPr>
          <w:ilvl w:val="0"/>
          <w:numId w:val="10"/>
        </w:num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由于中标方原因项目验收达不到验收标准及约定要求，中标方应按招标方的要求进行补救或返工，并承担重新验收和返工的费用。</w:t>
      </w:r>
    </w:p>
    <w:p>
      <w:pPr>
        <w:pStyle w:val="5"/>
        <w:adjustRightInd w:val="0"/>
        <w:snapToGrid w:val="0"/>
        <w:spacing w:before="240" w:after="240" w:line="360" w:lineRule="exact"/>
        <w:rPr>
          <w:rFonts w:hint="eastAsia" w:hAnsi="仿宋_GB2312" w:cs="仿宋_GB2312"/>
          <w:highlight w:val="none"/>
        </w:rPr>
      </w:pPr>
      <w:bookmarkStart w:id="68" w:name="_Toc422932971"/>
      <w:r>
        <w:rPr>
          <w:rFonts w:hint="eastAsia" w:hAnsi="仿宋_GB2312" w:cs="仿宋_GB2312"/>
          <w:highlight w:val="none"/>
        </w:rPr>
        <w:t>项目质量安全保障</w:t>
      </w:r>
      <w:bookmarkEnd w:id="68"/>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1）中标人应严格遵守本规范书关于项目的若干技术质量规定，制定严格的质量安全措施。中标人负责在整个项目过程中保证项目的质量和试验数据的可靠性。</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2）由于中标人质量安全措施不力造成研究质量安全事故的责任，以及由此发生的费用和损失，由中标人承担。</w:t>
      </w:r>
    </w:p>
    <w:p>
      <w:pPr>
        <w:spacing w:line="560" w:lineRule="exact"/>
        <w:ind w:firstLine="560" w:firstLineChars="200"/>
        <w:rPr>
          <w:rFonts w:hint="eastAsia" w:ascii="仿宋_GB2312" w:hAnsi="仿宋_GB2312" w:eastAsia="仿宋_GB2312" w:cs="仿宋_GB2312"/>
          <w:color w:val="FF0000"/>
          <w:sz w:val="28"/>
          <w:szCs w:val="28"/>
          <w:highlight w:val="none"/>
        </w:rPr>
      </w:pPr>
      <w:r>
        <w:rPr>
          <w:rFonts w:hint="eastAsia" w:ascii="仿宋_GB2312" w:hAnsi="仿宋_GB2312" w:eastAsia="仿宋_GB2312" w:cs="仿宋_GB2312"/>
          <w:sz w:val="28"/>
          <w:szCs w:val="28"/>
          <w:highlight w:val="none"/>
        </w:rPr>
        <w:t>3）中标人应提供质量担保，质保期经甲方验收合格之日开始计算，质保期</w:t>
      </w:r>
      <w:r>
        <w:rPr>
          <w:rFonts w:hint="eastAsia" w:ascii="仿宋_GB2312" w:hAnsi="仿宋_GB2312" w:eastAsia="仿宋_GB2312" w:cs="仿宋_GB2312"/>
          <w:color w:val="auto"/>
          <w:sz w:val="28"/>
          <w:szCs w:val="28"/>
          <w:highlight w:val="none"/>
          <w:u w:val="single"/>
          <w:lang w:val="en-US" w:eastAsia="zh-CN"/>
        </w:rPr>
        <w:t>3</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b w:val="0"/>
          <w:i w:val="0"/>
          <w:color w:val="0070C0"/>
          <w:kern w:val="2"/>
          <w:sz w:val="28"/>
          <w:szCs w:val="28"/>
          <w:highlight w:val="none"/>
          <w:lang w:val="en-US" w:eastAsia="zh-CN" w:bidi="ar-SA"/>
        </w:rPr>
        <w:t xml:space="preserve"> </w:t>
      </w:r>
    </w:p>
    <w:p>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4）质保期内出现问题投标人应在接到通知日起的</w:t>
      </w:r>
      <w:r>
        <w:rPr>
          <w:rFonts w:hint="eastAsia" w:ascii="仿宋_GB2312" w:hAnsi="仿宋_GB2312" w:eastAsia="仿宋_GB2312" w:cs="仿宋_GB2312"/>
          <w:color w:val="auto"/>
          <w:sz w:val="28"/>
          <w:szCs w:val="28"/>
          <w:highlight w:val="none"/>
          <w:u w:val="single"/>
          <w:lang w:val="en-US" w:eastAsia="zh-CN"/>
        </w:rPr>
        <w:t>24</w:t>
      </w:r>
      <w:r>
        <w:rPr>
          <w:rFonts w:hint="eastAsia" w:ascii="仿宋_GB2312" w:hAnsi="仿宋_GB2312" w:eastAsia="仿宋_GB2312" w:cs="仿宋_GB2312"/>
          <w:color w:val="auto"/>
          <w:sz w:val="28"/>
          <w:szCs w:val="28"/>
          <w:highlight w:val="none"/>
          <w:u w:val="single"/>
        </w:rPr>
        <w:t>小时</w:t>
      </w:r>
      <w:r>
        <w:rPr>
          <w:rFonts w:hint="eastAsia" w:ascii="仿宋_GB2312" w:hAnsi="仿宋_GB2312" w:eastAsia="仿宋_GB2312" w:cs="仿宋_GB2312"/>
          <w:sz w:val="28"/>
          <w:szCs w:val="28"/>
          <w:highlight w:val="none"/>
        </w:rPr>
        <w:t>内到场解决。</w:t>
      </w:r>
      <w:r>
        <w:rPr>
          <w:rFonts w:hint="eastAsia" w:ascii="仿宋_GB2312" w:hAnsi="仿宋_GB2312" w:eastAsia="仿宋_GB2312" w:cs="仿宋_GB2312"/>
          <w:b w:val="0"/>
          <w:i w:val="0"/>
          <w:color w:val="0070C0"/>
          <w:kern w:val="2"/>
          <w:sz w:val="28"/>
          <w:szCs w:val="28"/>
          <w:highlight w:val="none"/>
          <w:lang w:val="en-US" w:eastAsia="zh-CN" w:bidi="ar-SA"/>
        </w:rPr>
        <w:t xml:space="preserve"> </w:t>
      </w:r>
    </w:p>
    <w:p>
      <w:pPr>
        <w:spacing w:line="560" w:lineRule="exact"/>
        <w:ind w:firstLine="560" w:firstLineChars="200"/>
        <w:rPr>
          <w:rFonts w:hint="eastAsia"/>
          <w:highlight w:val="none"/>
        </w:rPr>
      </w:pPr>
      <w:r>
        <w:rPr>
          <w:rFonts w:hint="eastAsia" w:ascii="仿宋_GB2312" w:hAnsi="仿宋_GB2312" w:eastAsia="仿宋_GB2312" w:cs="仿宋_GB2312"/>
          <w:sz w:val="28"/>
          <w:szCs w:val="28"/>
          <w:highlight w:val="none"/>
        </w:rPr>
        <w:t>5）中标人应能长期优惠提供维修服务及备品备件。</w:t>
      </w:r>
    </w:p>
    <w:p>
      <w:pPr>
        <w:pStyle w:val="4"/>
        <w:rPr>
          <w:rFonts w:hint="eastAsia" w:hAnsi="仿宋_GB2312" w:cs="仿宋_GB2312"/>
          <w:highlight w:val="none"/>
          <w:lang w:eastAsia="zh-Hans"/>
        </w:rPr>
      </w:pPr>
      <w:r>
        <w:rPr>
          <w:rFonts w:hint="eastAsia" w:hAnsi="仿宋_GB2312" w:cs="仿宋_GB2312"/>
          <w:highlight w:val="none"/>
          <w:lang w:eastAsia="zh-Hans"/>
        </w:rPr>
        <w:t>其他要求</w:t>
      </w:r>
    </w:p>
    <w:p>
      <w:pPr>
        <w:rPr>
          <w:rFonts w:hint="eastAsia"/>
          <w:highlight w:val="none"/>
          <w:lang w:eastAsia="zh-Hans"/>
        </w:rPr>
      </w:pPr>
      <w:r>
        <w:rPr>
          <w:rFonts w:hint="eastAsia" w:ascii="仿宋_GB2312" w:hAnsi="仿宋_GB2312" w:eastAsia="仿宋_GB2312" w:cs="仿宋_GB2312"/>
          <w:sz w:val="28"/>
          <w:szCs w:val="28"/>
          <w:highlight w:val="none"/>
        </w:rPr>
        <w:t>本技术规范书的最终解释权归</w:t>
      </w:r>
      <w:r>
        <w:rPr>
          <w:rFonts w:hint="eastAsia" w:ascii="仿宋_GB2312" w:hAnsi="仿宋_GB2312" w:eastAsia="仿宋_GB2312" w:cs="仿宋_GB2312"/>
          <w:color w:val="auto"/>
          <w:sz w:val="28"/>
          <w:szCs w:val="28"/>
          <w:highlight w:val="none"/>
          <w:lang w:val="en-US" w:eastAsia="zh-CN"/>
        </w:rPr>
        <w:t>招标人/采购人</w:t>
      </w:r>
      <w:r>
        <w:rPr>
          <w:rFonts w:hint="eastAsia" w:ascii="仿宋_GB2312" w:hAnsi="仿宋_GB2312" w:eastAsia="仿宋_GB2312" w:cs="仿宋_GB2312"/>
          <w:color w:val="auto"/>
          <w:sz w:val="28"/>
          <w:szCs w:val="28"/>
          <w:highlight w:val="none"/>
        </w:rPr>
        <w:t>。</w:t>
      </w:r>
    </w:p>
    <w:p>
      <w:pPr>
        <w:pStyle w:val="4"/>
        <w:rPr>
          <w:rFonts w:hint="eastAsia" w:hAnsi="仿宋_GB2312" w:cs="仿宋_GB2312"/>
          <w:highlight w:val="none"/>
        </w:rPr>
      </w:pPr>
      <w:bookmarkStart w:id="69" w:name="_Toc413948021"/>
      <w:bookmarkEnd w:id="69"/>
      <w:bookmarkStart w:id="70" w:name="_Toc422932972"/>
      <w:r>
        <w:rPr>
          <w:rFonts w:hint="eastAsia" w:hAnsi="仿宋_GB2312" w:cs="仿宋_GB2312"/>
          <w:highlight w:val="none"/>
        </w:rPr>
        <w:t>附件一：技术差异表</w:t>
      </w:r>
      <w:bookmarkEnd w:id="70"/>
    </w:p>
    <w:tbl>
      <w:tblPr>
        <w:tblStyle w:val="21"/>
        <w:tblW w:w="857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78"/>
        <w:gridCol w:w="2267"/>
        <w:gridCol w:w="1806"/>
        <w:gridCol w:w="1846"/>
        <w:gridCol w:w="97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678" w:type="dxa"/>
            <w:tcBorders>
              <w:top w:val="single" w:color="auto" w:sz="12" w:space="0"/>
              <w:bottom w:val="single" w:color="auto" w:sz="12" w:space="0"/>
            </w:tcBorders>
            <w:vAlign w:val="center"/>
          </w:tcPr>
          <w:p>
            <w:pPr>
              <w:spacing w:line="36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规范书条目</w:t>
            </w:r>
          </w:p>
        </w:tc>
        <w:tc>
          <w:tcPr>
            <w:tcW w:w="2267" w:type="dxa"/>
            <w:tcBorders>
              <w:top w:val="single" w:color="auto" w:sz="12" w:space="0"/>
              <w:bottom w:val="single" w:color="auto" w:sz="12" w:space="0"/>
            </w:tcBorders>
            <w:vAlign w:val="center"/>
          </w:tcPr>
          <w:p>
            <w:pPr>
              <w:spacing w:line="36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技术规范书要求</w:t>
            </w:r>
          </w:p>
        </w:tc>
        <w:tc>
          <w:tcPr>
            <w:tcW w:w="1806" w:type="dxa"/>
            <w:tcBorders>
              <w:top w:val="single" w:color="auto" w:sz="12" w:space="0"/>
              <w:bottom w:val="single" w:color="auto" w:sz="12" w:space="0"/>
            </w:tcBorders>
            <w:vAlign w:val="center"/>
          </w:tcPr>
          <w:p>
            <w:pPr>
              <w:spacing w:line="36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技术偏差</w:t>
            </w:r>
          </w:p>
        </w:tc>
        <w:tc>
          <w:tcPr>
            <w:tcW w:w="1846" w:type="dxa"/>
            <w:tcBorders>
              <w:top w:val="single" w:color="auto" w:sz="12" w:space="0"/>
              <w:bottom w:val="single" w:color="auto" w:sz="12" w:space="0"/>
            </w:tcBorders>
            <w:vAlign w:val="center"/>
          </w:tcPr>
          <w:p>
            <w:pPr>
              <w:spacing w:line="36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详细说明</w:t>
            </w:r>
          </w:p>
        </w:tc>
        <w:tc>
          <w:tcPr>
            <w:tcW w:w="973" w:type="dxa"/>
            <w:tcBorders>
              <w:top w:val="single" w:color="auto" w:sz="12" w:space="0"/>
              <w:bottom w:val="single" w:color="auto" w:sz="12" w:space="0"/>
            </w:tcBorders>
            <w:vAlign w:val="center"/>
          </w:tcPr>
          <w:p>
            <w:pPr>
              <w:spacing w:line="36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备 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678" w:type="dxa"/>
            <w:tcBorders>
              <w:top w:val="single" w:color="auto" w:sz="12" w:space="0"/>
            </w:tcBorders>
          </w:tcPr>
          <w:p>
            <w:pPr>
              <w:pStyle w:val="10"/>
              <w:spacing w:line="360" w:lineRule="auto"/>
              <w:ind w:left="960"/>
              <w:rPr>
                <w:rFonts w:hint="eastAsia" w:ascii="仿宋_GB2312" w:hAnsi="仿宋_GB2312" w:eastAsia="仿宋_GB2312" w:cs="仿宋_GB2312"/>
                <w:b/>
                <w:sz w:val="30"/>
                <w:highlight w:val="none"/>
              </w:rPr>
            </w:pPr>
          </w:p>
        </w:tc>
        <w:tc>
          <w:tcPr>
            <w:tcW w:w="2267" w:type="dxa"/>
            <w:tcBorders>
              <w:top w:val="single" w:color="auto" w:sz="12" w:space="0"/>
            </w:tcBorders>
          </w:tcPr>
          <w:p>
            <w:pPr>
              <w:pStyle w:val="10"/>
              <w:spacing w:line="360" w:lineRule="auto"/>
              <w:ind w:left="960"/>
              <w:rPr>
                <w:rFonts w:hint="eastAsia" w:ascii="仿宋_GB2312" w:hAnsi="仿宋_GB2312" w:eastAsia="仿宋_GB2312" w:cs="仿宋_GB2312"/>
                <w:b/>
                <w:sz w:val="30"/>
                <w:highlight w:val="none"/>
              </w:rPr>
            </w:pPr>
          </w:p>
        </w:tc>
        <w:tc>
          <w:tcPr>
            <w:tcW w:w="1806" w:type="dxa"/>
            <w:tcBorders>
              <w:top w:val="single" w:color="auto" w:sz="12" w:space="0"/>
            </w:tcBorders>
          </w:tcPr>
          <w:p>
            <w:pPr>
              <w:pStyle w:val="10"/>
              <w:spacing w:line="360" w:lineRule="auto"/>
              <w:ind w:left="960"/>
              <w:rPr>
                <w:rFonts w:hint="eastAsia" w:ascii="仿宋_GB2312" w:hAnsi="仿宋_GB2312" w:eastAsia="仿宋_GB2312" w:cs="仿宋_GB2312"/>
                <w:b/>
                <w:sz w:val="30"/>
                <w:highlight w:val="none"/>
              </w:rPr>
            </w:pPr>
          </w:p>
        </w:tc>
        <w:tc>
          <w:tcPr>
            <w:tcW w:w="1846" w:type="dxa"/>
            <w:tcBorders>
              <w:top w:val="single" w:color="auto" w:sz="12" w:space="0"/>
            </w:tcBorders>
          </w:tcPr>
          <w:p>
            <w:pPr>
              <w:pStyle w:val="10"/>
              <w:spacing w:line="360" w:lineRule="auto"/>
              <w:ind w:left="960"/>
              <w:rPr>
                <w:rFonts w:hint="eastAsia" w:ascii="仿宋_GB2312" w:hAnsi="仿宋_GB2312" w:eastAsia="仿宋_GB2312" w:cs="仿宋_GB2312"/>
                <w:b/>
                <w:sz w:val="30"/>
                <w:highlight w:val="none"/>
              </w:rPr>
            </w:pPr>
          </w:p>
        </w:tc>
        <w:tc>
          <w:tcPr>
            <w:tcW w:w="973" w:type="dxa"/>
            <w:tcBorders>
              <w:top w:val="single" w:color="auto" w:sz="12" w:space="0"/>
            </w:tcBorders>
          </w:tcPr>
          <w:p>
            <w:pPr>
              <w:pStyle w:val="10"/>
              <w:spacing w:line="360" w:lineRule="auto"/>
              <w:ind w:left="960"/>
              <w:rPr>
                <w:rFonts w:hint="eastAsia" w:ascii="仿宋_GB2312" w:hAnsi="仿宋_GB2312" w:eastAsia="仿宋_GB2312" w:cs="仿宋_GB2312"/>
                <w:b/>
                <w:sz w:val="3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678" w:type="dxa"/>
          </w:tcPr>
          <w:p>
            <w:pPr>
              <w:pStyle w:val="10"/>
              <w:spacing w:line="360" w:lineRule="auto"/>
              <w:ind w:left="960"/>
              <w:rPr>
                <w:rFonts w:hint="eastAsia" w:ascii="仿宋_GB2312" w:hAnsi="仿宋_GB2312" w:eastAsia="仿宋_GB2312" w:cs="仿宋_GB2312"/>
                <w:b/>
                <w:sz w:val="30"/>
                <w:highlight w:val="none"/>
              </w:rPr>
            </w:pPr>
          </w:p>
        </w:tc>
        <w:tc>
          <w:tcPr>
            <w:tcW w:w="2267" w:type="dxa"/>
          </w:tcPr>
          <w:p>
            <w:pPr>
              <w:pStyle w:val="10"/>
              <w:spacing w:line="360" w:lineRule="auto"/>
              <w:ind w:left="960"/>
              <w:rPr>
                <w:rFonts w:hint="eastAsia" w:ascii="仿宋_GB2312" w:hAnsi="仿宋_GB2312" w:eastAsia="仿宋_GB2312" w:cs="仿宋_GB2312"/>
                <w:b/>
                <w:sz w:val="30"/>
                <w:highlight w:val="none"/>
              </w:rPr>
            </w:pPr>
          </w:p>
        </w:tc>
        <w:tc>
          <w:tcPr>
            <w:tcW w:w="1806" w:type="dxa"/>
          </w:tcPr>
          <w:p>
            <w:pPr>
              <w:pStyle w:val="10"/>
              <w:spacing w:line="360" w:lineRule="auto"/>
              <w:ind w:left="960"/>
              <w:rPr>
                <w:rFonts w:hint="eastAsia" w:ascii="仿宋_GB2312" w:hAnsi="仿宋_GB2312" w:eastAsia="仿宋_GB2312" w:cs="仿宋_GB2312"/>
                <w:b/>
                <w:sz w:val="30"/>
                <w:highlight w:val="none"/>
              </w:rPr>
            </w:pPr>
          </w:p>
        </w:tc>
        <w:tc>
          <w:tcPr>
            <w:tcW w:w="1846" w:type="dxa"/>
          </w:tcPr>
          <w:p>
            <w:pPr>
              <w:pStyle w:val="10"/>
              <w:spacing w:line="360" w:lineRule="auto"/>
              <w:ind w:left="960"/>
              <w:rPr>
                <w:rFonts w:hint="eastAsia" w:ascii="仿宋_GB2312" w:hAnsi="仿宋_GB2312" w:eastAsia="仿宋_GB2312" w:cs="仿宋_GB2312"/>
                <w:b/>
                <w:sz w:val="30"/>
                <w:highlight w:val="none"/>
              </w:rPr>
            </w:pPr>
          </w:p>
        </w:tc>
        <w:tc>
          <w:tcPr>
            <w:tcW w:w="973" w:type="dxa"/>
          </w:tcPr>
          <w:p>
            <w:pPr>
              <w:pStyle w:val="10"/>
              <w:spacing w:line="360" w:lineRule="auto"/>
              <w:ind w:left="960"/>
              <w:rPr>
                <w:rFonts w:hint="eastAsia" w:ascii="仿宋_GB2312" w:hAnsi="仿宋_GB2312" w:eastAsia="仿宋_GB2312" w:cs="仿宋_GB2312"/>
                <w:b/>
                <w:sz w:val="3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678" w:type="dxa"/>
          </w:tcPr>
          <w:p>
            <w:pPr>
              <w:pStyle w:val="10"/>
              <w:spacing w:line="360" w:lineRule="auto"/>
              <w:ind w:left="960"/>
              <w:rPr>
                <w:rFonts w:hint="eastAsia" w:ascii="仿宋_GB2312" w:hAnsi="仿宋_GB2312" w:eastAsia="仿宋_GB2312" w:cs="仿宋_GB2312"/>
                <w:b/>
                <w:sz w:val="30"/>
                <w:highlight w:val="none"/>
              </w:rPr>
            </w:pPr>
          </w:p>
        </w:tc>
        <w:tc>
          <w:tcPr>
            <w:tcW w:w="2267" w:type="dxa"/>
          </w:tcPr>
          <w:p>
            <w:pPr>
              <w:pStyle w:val="10"/>
              <w:spacing w:line="360" w:lineRule="auto"/>
              <w:ind w:left="960"/>
              <w:rPr>
                <w:rFonts w:hint="eastAsia" w:ascii="仿宋_GB2312" w:hAnsi="仿宋_GB2312" w:eastAsia="仿宋_GB2312" w:cs="仿宋_GB2312"/>
                <w:b/>
                <w:sz w:val="30"/>
                <w:highlight w:val="none"/>
              </w:rPr>
            </w:pPr>
          </w:p>
        </w:tc>
        <w:tc>
          <w:tcPr>
            <w:tcW w:w="1806" w:type="dxa"/>
          </w:tcPr>
          <w:p>
            <w:pPr>
              <w:pStyle w:val="10"/>
              <w:spacing w:line="360" w:lineRule="auto"/>
              <w:ind w:left="960"/>
              <w:rPr>
                <w:rFonts w:hint="eastAsia" w:ascii="仿宋_GB2312" w:hAnsi="仿宋_GB2312" w:eastAsia="仿宋_GB2312" w:cs="仿宋_GB2312"/>
                <w:b/>
                <w:sz w:val="30"/>
                <w:highlight w:val="none"/>
              </w:rPr>
            </w:pPr>
          </w:p>
        </w:tc>
        <w:tc>
          <w:tcPr>
            <w:tcW w:w="1846" w:type="dxa"/>
          </w:tcPr>
          <w:p>
            <w:pPr>
              <w:pStyle w:val="10"/>
              <w:spacing w:line="360" w:lineRule="auto"/>
              <w:ind w:left="960"/>
              <w:rPr>
                <w:rFonts w:hint="eastAsia" w:ascii="仿宋_GB2312" w:hAnsi="仿宋_GB2312" w:eastAsia="仿宋_GB2312" w:cs="仿宋_GB2312"/>
                <w:b/>
                <w:sz w:val="30"/>
                <w:highlight w:val="none"/>
              </w:rPr>
            </w:pPr>
          </w:p>
        </w:tc>
        <w:tc>
          <w:tcPr>
            <w:tcW w:w="973" w:type="dxa"/>
          </w:tcPr>
          <w:p>
            <w:pPr>
              <w:pStyle w:val="10"/>
              <w:spacing w:line="360" w:lineRule="auto"/>
              <w:ind w:left="960"/>
              <w:rPr>
                <w:rFonts w:hint="eastAsia" w:ascii="仿宋_GB2312" w:hAnsi="仿宋_GB2312" w:eastAsia="仿宋_GB2312" w:cs="仿宋_GB2312"/>
                <w:b/>
                <w:sz w:val="30"/>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678" w:type="dxa"/>
          </w:tcPr>
          <w:p>
            <w:pPr>
              <w:pStyle w:val="10"/>
              <w:spacing w:line="360" w:lineRule="auto"/>
              <w:rPr>
                <w:rFonts w:hint="eastAsia" w:ascii="仿宋_GB2312" w:hAnsi="仿宋_GB2312" w:eastAsia="仿宋_GB2312" w:cs="仿宋_GB2312"/>
                <w:b/>
                <w:sz w:val="30"/>
                <w:highlight w:val="none"/>
              </w:rPr>
            </w:pPr>
          </w:p>
        </w:tc>
        <w:tc>
          <w:tcPr>
            <w:tcW w:w="2267" w:type="dxa"/>
          </w:tcPr>
          <w:p>
            <w:pPr>
              <w:pStyle w:val="10"/>
              <w:spacing w:line="360" w:lineRule="auto"/>
              <w:ind w:left="960"/>
              <w:rPr>
                <w:rFonts w:hint="eastAsia" w:ascii="仿宋_GB2312" w:hAnsi="仿宋_GB2312" w:eastAsia="仿宋_GB2312" w:cs="仿宋_GB2312"/>
                <w:b/>
                <w:sz w:val="30"/>
                <w:highlight w:val="none"/>
              </w:rPr>
            </w:pPr>
          </w:p>
        </w:tc>
        <w:tc>
          <w:tcPr>
            <w:tcW w:w="1806" w:type="dxa"/>
          </w:tcPr>
          <w:p>
            <w:pPr>
              <w:pStyle w:val="10"/>
              <w:spacing w:line="360" w:lineRule="auto"/>
              <w:ind w:left="960"/>
              <w:rPr>
                <w:rFonts w:hint="eastAsia" w:ascii="仿宋_GB2312" w:hAnsi="仿宋_GB2312" w:eastAsia="仿宋_GB2312" w:cs="仿宋_GB2312"/>
                <w:b/>
                <w:sz w:val="30"/>
                <w:highlight w:val="none"/>
              </w:rPr>
            </w:pPr>
          </w:p>
        </w:tc>
        <w:tc>
          <w:tcPr>
            <w:tcW w:w="1846" w:type="dxa"/>
          </w:tcPr>
          <w:p>
            <w:pPr>
              <w:pStyle w:val="10"/>
              <w:spacing w:line="360" w:lineRule="auto"/>
              <w:ind w:left="960"/>
              <w:rPr>
                <w:rFonts w:hint="eastAsia" w:ascii="仿宋_GB2312" w:hAnsi="仿宋_GB2312" w:eastAsia="仿宋_GB2312" w:cs="仿宋_GB2312"/>
                <w:b/>
                <w:sz w:val="30"/>
                <w:highlight w:val="none"/>
              </w:rPr>
            </w:pPr>
          </w:p>
        </w:tc>
        <w:tc>
          <w:tcPr>
            <w:tcW w:w="973" w:type="dxa"/>
          </w:tcPr>
          <w:p>
            <w:pPr>
              <w:pStyle w:val="10"/>
              <w:spacing w:line="360" w:lineRule="auto"/>
              <w:ind w:left="960"/>
              <w:rPr>
                <w:rFonts w:hint="eastAsia" w:ascii="仿宋_GB2312" w:hAnsi="仿宋_GB2312" w:eastAsia="仿宋_GB2312" w:cs="仿宋_GB2312"/>
                <w:b/>
                <w:sz w:val="30"/>
                <w:highlight w:val="none"/>
              </w:rPr>
            </w:pPr>
          </w:p>
        </w:tc>
      </w:tr>
      <w:bookmarkEnd w:id="35"/>
      <w:bookmarkEnd w:id="36"/>
    </w:tbl>
    <w:p>
      <w:pPr>
        <w:rPr>
          <w:rFonts w:hint="eastAsia" w:ascii="仿宋_GB2312" w:hAnsi="仿宋_GB2312" w:eastAsia="仿宋_GB2312" w:cs="仿宋_GB2312"/>
          <w:highlight w:val="none"/>
        </w:rPr>
      </w:pPr>
    </w:p>
    <w:sectPr>
      <w:footerReference r:id="rId3"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Dialog">
    <w:altName w:val="Times New Roman"/>
    <w:panose1 w:val="00000000000000000000"/>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EF21E5"/>
    <w:multiLevelType w:val="singleLevel"/>
    <w:tmpl w:val="ABEF21E5"/>
    <w:lvl w:ilvl="0" w:tentative="0">
      <w:start w:val="1"/>
      <w:numFmt w:val="decimal"/>
      <w:lvlText w:val="%1."/>
      <w:lvlJc w:val="left"/>
      <w:pPr>
        <w:ind w:left="425" w:hanging="425"/>
      </w:pPr>
      <w:rPr>
        <w:rFonts w:hint="default"/>
      </w:rPr>
    </w:lvl>
  </w:abstractNum>
  <w:abstractNum w:abstractNumId="1">
    <w:nsid w:val="00000002"/>
    <w:multiLevelType w:val="multilevel"/>
    <w:tmpl w:val="00000002"/>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4"/>
    <w:multiLevelType w:val="multilevel"/>
    <w:tmpl w:val="00000004"/>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9"/>
    <w:multiLevelType w:val="multilevel"/>
    <w:tmpl w:val="0000000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000000B"/>
    <w:multiLevelType w:val="multilevel"/>
    <w:tmpl w:val="0000000B"/>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0000000D"/>
    <w:multiLevelType w:val="multilevel"/>
    <w:tmpl w:val="0000000D"/>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0000000E"/>
    <w:multiLevelType w:val="multilevel"/>
    <w:tmpl w:val="0000000E"/>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0F"/>
    <w:multiLevelType w:val="multilevel"/>
    <w:tmpl w:val="0000000F"/>
    <w:lvl w:ilvl="0" w:tentative="0">
      <w:start w:val="1"/>
      <w:numFmt w:val="decimal"/>
      <w:pStyle w:val="4"/>
      <w:lvlText w:val="%1."/>
      <w:lvlJc w:val="left"/>
      <w:pPr>
        <w:tabs>
          <w:tab w:val="left" w:pos="425"/>
        </w:tabs>
        <w:ind w:left="425" w:hanging="425"/>
      </w:pPr>
      <w:rPr>
        <w:rFonts w:hint="default" w:ascii="仿宋_GB2312" w:hAnsi="仿宋_GB2312" w:eastAsia="仿宋_GB2312" w:cs="仿宋_GB2312"/>
        <w:b/>
        <w:bCs/>
        <w:i w:val="0"/>
        <w:spacing w:val="-12"/>
        <w:sz w:val="28"/>
        <w:szCs w:val="44"/>
      </w:rPr>
    </w:lvl>
    <w:lvl w:ilvl="1" w:tentative="0">
      <w:start w:val="1"/>
      <w:numFmt w:val="decimal"/>
      <w:pStyle w:val="5"/>
      <w:lvlText w:val="%1.%2."/>
      <w:lvlJc w:val="left"/>
      <w:pPr>
        <w:tabs>
          <w:tab w:val="left" w:pos="567"/>
        </w:tabs>
        <w:ind w:left="567" w:hanging="567"/>
      </w:pPr>
      <w:rPr>
        <w:rFonts w:hint="default" w:ascii="仿宋_GB2312" w:hAnsi="仿宋_GB2312" w:eastAsia="仿宋_GB2312" w:cs="仿宋_GB2312"/>
        <w:sz w:val="28"/>
        <w:szCs w:val="28"/>
        <w14:shadow w14:blurRad="0" w14:dist="0" w14:dir="0" w14:sx="0" w14:sy="0" w14:kx="0" w14:ky="0" w14:algn="none">
          <w14:srgbClr w14:val="000000"/>
        </w14:shadow>
      </w:rPr>
    </w:lvl>
    <w:lvl w:ilvl="2" w:tentative="0">
      <w:start w:val="1"/>
      <w:numFmt w:val="decimal"/>
      <w:pStyle w:val="6"/>
      <w:lvlText w:val="%1.%2.%3."/>
      <w:lvlJc w:val="left"/>
      <w:pPr>
        <w:tabs>
          <w:tab w:val="left" w:pos="709"/>
        </w:tabs>
        <w:ind w:left="709" w:hanging="709"/>
      </w:pPr>
      <w:rPr>
        <w:rFonts w:hint="default" w:ascii="仿宋_GB2312" w:hAnsi="仿宋_GB2312" w:eastAsia="仿宋_GB2312" w:cs="仿宋_GB2312"/>
        <w:b/>
        <w:bCs/>
        <w:sz w:val="24"/>
        <w:szCs w:val="24"/>
      </w:rPr>
    </w:lvl>
    <w:lvl w:ilvl="3" w:tentative="0">
      <w:start w:val="1"/>
      <w:numFmt w:val="decimal"/>
      <w:lvlText w:val="%1.%2.%3.%4."/>
      <w:lvlJc w:val="left"/>
      <w:pPr>
        <w:tabs>
          <w:tab w:val="left" w:pos="851"/>
        </w:tabs>
        <w:ind w:left="851" w:hanging="851"/>
      </w:pPr>
      <w:rPr>
        <w:rFonts w:hint="default" w:ascii="仿宋_GB2312" w:hAnsi="仿宋_GB2312" w:eastAsia="仿宋_GB2312" w:cs="仿宋_GB2312"/>
        <w:sz w:val="24"/>
        <w:szCs w:val="24"/>
        <w14:shadow w14:blurRad="0" w14:dist="0" w14:dir="0" w14:sx="0" w14:sy="0" w14:kx="0" w14:ky="0" w14:algn="none">
          <w14:srgbClr w14:val="000000"/>
        </w14:shadow>
      </w:rPr>
    </w:lvl>
    <w:lvl w:ilvl="4" w:tentative="0">
      <w:start w:val="1"/>
      <w:numFmt w:val="decimal"/>
      <w:lvlText w:val="%1.%2.%3.%4.%5."/>
      <w:lvlJc w:val="left"/>
      <w:pPr>
        <w:tabs>
          <w:tab w:val="left" w:pos="992"/>
        </w:tabs>
        <w:ind w:left="992" w:hanging="992"/>
      </w:pPr>
      <w:rPr>
        <w:rFonts w:hint="default" w:ascii="仿宋_GB2312" w:hAnsi="仿宋_GB2312" w:eastAsia="仿宋_GB2312" w:cs="仿宋_GB2312"/>
        <w:sz w:val="24"/>
        <w:szCs w:val="24"/>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000010"/>
    <w:multiLevelType w:val="multilevel"/>
    <w:tmpl w:val="00000010"/>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7CF1B216"/>
    <w:multiLevelType w:val="singleLevel"/>
    <w:tmpl w:val="7CF1B216"/>
    <w:lvl w:ilvl="0" w:tentative="0">
      <w:start w:val="1"/>
      <w:numFmt w:val="decimal"/>
      <w:lvlText w:val="%1."/>
      <w:lvlJc w:val="left"/>
      <w:pPr>
        <w:ind w:left="425" w:hanging="425"/>
      </w:pPr>
      <w:rPr>
        <w:rFonts w:hint="default"/>
      </w:rPr>
    </w:lvl>
  </w:abstractNum>
  <w:num w:numId="1">
    <w:abstractNumId w:val="7"/>
  </w:num>
  <w:num w:numId="2">
    <w:abstractNumId w:val="5"/>
  </w:num>
  <w:num w:numId="3">
    <w:abstractNumId w:val="4"/>
  </w:num>
  <w:num w:numId="4">
    <w:abstractNumId w:val="8"/>
  </w:num>
  <w:num w:numId="5">
    <w:abstractNumId w:val="9"/>
  </w:num>
  <w:num w:numId="6">
    <w:abstractNumId w:val="0"/>
  </w:num>
  <w:num w:numId="7">
    <w:abstractNumId w:val="3"/>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trackedChanges"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FhNTg4ZWE2ZDM0YmQyNGI0NmZmMDliMWI3NzJkOWEifQ=="/>
  </w:docVars>
  <w:rsids>
    <w:rsidRoot w:val="006C25C9"/>
    <w:rsid w:val="00007A1B"/>
    <w:rsid w:val="00022BB3"/>
    <w:rsid w:val="00040AEE"/>
    <w:rsid w:val="00095E4E"/>
    <w:rsid w:val="000A0F6A"/>
    <w:rsid w:val="000C3367"/>
    <w:rsid w:val="000D3F34"/>
    <w:rsid w:val="000E66B0"/>
    <w:rsid w:val="0018285B"/>
    <w:rsid w:val="00201CC6"/>
    <w:rsid w:val="00252724"/>
    <w:rsid w:val="002A13AD"/>
    <w:rsid w:val="002C0C08"/>
    <w:rsid w:val="002F31AD"/>
    <w:rsid w:val="002F48D0"/>
    <w:rsid w:val="00341445"/>
    <w:rsid w:val="00372988"/>
    <w:rsid w:val="003A4F8D"/>
    <w:rsid w:val="003B14D6"/>
    <w:rsid w:val="003D3361"/>
    <w:rsid w:val="003D54EE"/>
    <w:rsid w:val="00407327"/>
    <w:rsid w:val="004204B4"/>
    <w:rsid w:val="004430EA"/>
    <w:rsid w:val="004E666F"/>
    <w:rsid w:val="00557CB7"/>
    <w:rsid w:val="005A1D55"/>
    <w:rsid w:val="005B5BF3"/>
    <w:rsid w:val="005D52E5"/>
    <w:rsid w:val="005D68D2"/>
    <w:rsid w:val="005F6704"/>
    <w:rsid w:val="00621B39"/>
    <w:rsid w:val="00657CFF"/>
    <w:rsid w:val="00685C92"/>
    <w:rsid w:val="00697875"/>
    <w:rsid w:val="006A23D6"/>
    <w:rsid w:val="006C25C9"/>
    <w:rsid w:val="006C6823"/>
    <w:rsid w:val="006D33B7"/>
    <w:rsid w:val="006F57DC"/>
    <w:rsid w:val="006F732E"/>
    <w:rsid w:val="00750FB7"/>
    <w:rsid w:val="0075771B"/>
    <w:rsid w:val="00767A9F"/>
    <w:rsid w:val="00774B88"/>
    <w:rsid w:val="00775547"/>
    <w:rsid w:val="00787478"/>
    <w:rsid w:val="007A577C"/>
    <w:rsid w:val="007A5CAA"/>
    <w:rsid w:val="007B273F"/>
    <w:rsid w:val="007B6A61"/>
    <w:rsid w:val="007E52A6"/>
    <w:rsid w:val="0081431C"/>
    <w:rsid w:val="00826F42"/>
    <w:rsid w:val="00875B7F"/>
    <w:rsid w:val="00892892"/>
    <w:rsid w:val="008B2EBE"/>
    <w:rsid w:val="008B3BEC"/>
    <w:rsid w:val="00902299"/>
    <w:rsid w:val="009023E6"/>
    <w:rsid w:val="00904ED8"/>
    <w:rsid w:val="00910711"/>
    <w:rsid w:val="00913D51"/>
    <w:rsid w:val="00961C5D"/>
    <w:rsid w:val="00A020DC"/>
    <w:rsid w:val="00A32C24"/>
    <w:rsid w:val="00A6134F"/>
    <w:rsid w:val="00A65EF0"/>
    <w:rsid w:val="00A81265"/>
    <w:rsid w:val="00AE0A1D"/>
    <w:rsid w:val="00AE5743"/>
    <w:rsid w:val="00AE78C1"/>
    <w:rsid w:val="00B4209C"/>
    <w:rsid w:val="00B42BE8"/>
    <w:rsid w:val="00BB4458"/>
    <w:rsid w:val="00BE2A15"/>
    <w:rsid w:val="00BF708A"/>
    <w:rsid w:val="00C37C9F"/>
    <w:rsid w:val="00C566C3"/>
    <w:rsid w:val="00C76222"/>
    <w:rsid w:val="00C85366"/>
    <w:rsid w:val="00C9434B"/>
    <w:rsid w:val="00CC0742"/>
    <w:rsid w:val="00CC2490"/>
    <w:rsid w:val="00CC277E"/>
    <w:rsid w:val="00CD2FDE"/>
    <w:rsid w:val="00CD31EE"/>
    <w:rsid w:val="00CE2D8D"/>
    <w:rsid w:val="00D10895"/>
    <w:rsid w:val="00D12EA2"/>
    <w:rsid w:val="00D40895"/>
    <w:rsid w:val="00D532A3"/>
    <w:rsid w:val="00D80BE2"/>
    <w:rsid w:val="00DD5FA4"/>
    <w:rsid w:val="00DE0105"/>
    <w:rsid w:val="00E06C48"/>
    <w:rsid w:val="00E20586"/>
    <w:rsid w:val="00E75CB6"/>
    <w:rsid w:val="00E767CD"/>
    <w:rsid w:val="00ED1C2D"/>
    <w:rsid w:val="00ED220B"/>
    <w:rsid w:val="00EF6079"/>
    <w:rsid w:val="00F01B82"/>
    <w:rsid w:val="00F205A7"/>
    <w:rsid w:val="00F4525B"/>
    <w:rsid w:val="00F50919"/>
    <w:rsid w:val="017F3CB2"/>
    <w:rsid w:val="027628C3"/>
    <w:rsid w:val="02CA71BA"/>
    <w:rsid w:val="03127001"/>
    <w:rsid w:val="03362F05"/>
    <w:rsid w:val="03872657"/>
    <w:rsid w:val="03DB6AC7"/>
    <w:rsid w:val="0421696B"/>
    <w:rsid w:val="04370E27"/>
    <w:rsid w:val="045A31AF"/>
    <w:rsid w:val="045B06AD"/>
    <w:rsid w:val="04A952C5"/>
    <w:rsid w:val="04C66858"/>
    <w:rsid w:val="0500565C"/>
    <w:rsid w:val="053F5835"/>
    <w:rsid w:val="05C42F6C"/>
    <w:rsid w:val="05C9136C"/>
    <w:rsid w:val="06AF59AE"/>
    <w:rsid w:val="06C54835"/>
    <w:rsid w:val="072C0AE9"/>
    <w:rsid w:val="07744335"/>
    <w:rsid w:val="07907B8E"/>
    <w:rsid w:val="07C5083E"/>
    <w:rsid w:val="07D02862"/>
    <w:rsid w:val="0858343C"/>
    <w:rsid w:val="085A6884"/>
    <w:rsid w:val="08BE677A"/>
    <w:rsid w:val="08CC0F44"/>
    <w:rsid w:val="099D0853"/>
    <w:rsid w:val="09FF0BAE"/>
    <w:rsid w:val="0A5B288C"/>
    <w:rsid w:val="0A6D5C79"/>
    <w:rsid w:val="0B2F3E7F"/>
    <w:rsid w:val="0B6C313D"/>
    <w:rsid w:val="0BB41243"/>
    <w:rsid w:val="0BD0552F"/>
    <w:rsid w:val="0BF60D6F"/>
    <w:rsid w:val="0BF729DB"/>
    <w:rsid w:val="0C22348B"/>
    <w:rsid w:val="0C9608E0"/>
    <w:rsid w:val="0CCD1278"/>
    <w:rsid w:val="0CD673AD"/>
    <w:rsid w:val="0D017F72"/>
    <w:rsid w:val="0D1725C5"/>
    <w:rsid w:val="0D773802"/>
    <w:rsid w:val="0DA96CFF"/>
    <w:rsid w:val="0DAB1EA8"/>
    <w:rsid w:val="0E317CD8"/>
    <w:rsid w:val="0E8051E8"/>
    <w:rsid w:val="0ED101C4"/>
    <w:rsid w:val="0EF83CBA"/>
    <w:rsid w:val="0EFFF1F5"/>
    <w:rsid w:val="10075177"/>
    <w:rsid w:val="10137D6C"/>
    <w:rsid w:val="10605E10"/>
    <w:rsid w:val="10C271E0"/>
    <w:rsid w:val="11425A5C"/>
    <w:rsid w:val="1154397D"/>
    <w:rsid w:val="1253288A"/>
    <w:rsid w:val="12762A08"/>
    <w:rsid w:val="12A269F2"/>
    <w:rsid w:val="136F5222"/>
    <w:rsid w:val="13BE26E2"/>
    <w:rsid w:val="13C86E04"/>
    <w:rsid w:val="13CC2698"/>
    <w:rsid w:val="144467B7"/>
    <w:rsid w:val="148447EE"/>
    <w:rsid w:val="14C40213"/>
    <w:rsid w:val="14C75EF3"/>
    <w:rsid w:val="15274771"/>
    <w:rsid w:val="15996FB9"/>
    <w:rsid w:val="15D075FD"/>
    <w:rsid w:val="15DD035E"/>
    <w:rsid w:val="1607239C"/>
    <w:rsid w:val="167E42B4"/>
    <w:rsid w:val="1696779D"/>
    <w:rsid w:val="16AA6B0B"/>
    <w:rsid w:val="17C65735"/>
    <w:rsid w:val="18532B1D"/>
    <w:rsid w:val="18FCDCF0"/>
    <w:rsid w:val="19234F34"/>
    <w:rsid w:val="199E6AB2"/>
    <w:rsid w:val="1A042C98"/>
    <w:rsid w:val="1A1C397E"/>
    <w:rsid w:val="1A566F3B"/>
    <w:rsid w:val="1A703865"/>
    <w:rsid w:val="1AA36212"/>
    <w:rsid w:val="1ACA438A"/>
    <w:rsid w:val="1B4F5E51"/>
    <w:rsid w:val="1B51171A"/>
    <w:rsid w:val="1BA71813"/>
    <w:rsid w:val="1C8C75AF"/>
    <w:rsid w:val="1CF4717A"/>
    <w:rsid w:val="1D4C6C60"/>
    <w:rsid w:val="1D9B5EC8"/>
    <w:rsid w:val="1DBB05FE"/>
    <w:rsid w:val="1DD058DD"/>
    <w:rsid w:val="1DFD206A"/>
    <w:rsid w:val="1E424301"/>
    <w:rsid w:val="1EB3379C"/>
    <w:rsid w:val="1F135208"/>
    <w:rsid w:val="1F3F6093"/>
    <w:rsid w:val="1F4F699D"/>
    <w:rsid w:val="1F7256BB"/>
    <w:rsid w:val="1FBCF9F4"/>
    <w:rsid w:val="1FF7933F"/>
    <w:rsid w:val="20394FEA"/>
    <w:rsid w:val="20D71CFF"/>
    <w:rsid w:val="21AD64AD"/>
    <w:rsid w:val="225B32D8"/>
    <w:rsid w:val="228C6F50"/>
    <w:rsid w:val="22BA2E37"/>
    <w:rsid w:val="22EB4373"/>
    <w:rsid w:val="235677E9"/>
    <w:rsid w:val="237122F3"/>
    <w:rsid w:val="23B15B9F"/>
    <w:rsid w:val="23FF168D"/>
    <w:rsid w:val="249209E8"/>
    <w:rsid w:val="24A837EF"/>
    <w:rsid w:val="2560416A"/>
    <w:rsid w:val="25792B61"/>
    <w:rsid w:val="259F07BB"/>
    <w:rsid w:val="25B0360E"/>
    <w:rsid w:val="261F571B"/>
    <w:rsid w:val="26270253"/>
    <w:rsid w:val="26EC1C44"/>
    <w:rsid w:val="270E4E23"/>
    <w:rsid w:val="27360759"/>
    <w:rsid w:val="276B1D60"/>
    <w:rsid w:val="27E24F1B"/>
    <w:rsid w:val="27E46AFD"/>
    <w:rsid w:val="28533C17"/>
    <w:rsid w:val="290C37E4"/>
    <w:rsid w:val="29151307"/>
    <w:rsid w:val="294043B1"/>
    <w:rsid w:val="2AC02819"/>
    <w:rsid w:val="2B2D7AE3"/>
    <w:rsid w:val="2B316D6D"/>
    <w:rsid w:val="2B850D2B"/>
    <w:rsid w:val="2B8805E5"/>
    <w:rsid w:val="2CC44D38"/>
    <w:rsid w:val="2D6C132F"/>
    <w:rsid w:val="2DE7868B"/>
    <w:rsid w:val="2DEB2F43"/>
    <w:rsid w:val="2DEE708C"/>
    <w:rsid w:val="2E1A3201"/>
    <w:rsid w:val="2EB463C7"/>
    <w:rsid w:val="2EF513D6"/>
    <w:rsid w:val="2F30490D"/>
    <w:rsid w:val="2F626E9B"/>
    <w:rsid w:val="2F8305AB"/>
    <w:rsid w:val="2FDC0910"/>
    <w:rsid w:val="2FDD09C8"/>
    <w:rsid w:val="3008387A"/>
    <w:rsid w:val="3028107D"/>
    <w:rsid w:val="302E2617"/>
    <w:rsid w:val="306968F0"/>
    <w:rsid w:val="30732BCC"/>
    <w:rsid w:val="309F7B84"/>
    <w:rsid w:val="31767E99"/>
    <w:rsid w:val="31F70BC4"/>
    <w:rsid w:val="32393971"/>
    <w:rsid w:val="32452428"/>
    <w:rsid w:val="32557348"/>
    <w:rsid w:val="33321C21"/>
    <w:rsid w:val="33477053"/>
    <w:rsid w:val="336E5F6C"/>
    <w:rsid w:val="33AD1783"/>
    <w:rsid w:val="33E24718"/>
    <w:rsid w:val="34297A13"/>
    <w:rsid w:val="3462209B"/>
    <w:rsid w:val="34872F20"/>
    <w:rsid w:val="35C35BFD"/>
    <w:rsid w:val="35CC7733"/>
    <w:rsid w:val="36175ECB"/>
    <w:rsid w:val="368D390B"/>
    <w:rsid w:val="3733592B"/>
    <w:rsid w:val="374D3D49"/>
    <w:rsid w:val="37616CBE"/>
    <w:rsid w:val="37A65F68"/>
    <w:rsid w:val="37C7601D"/>
    <w:rsid w:val="37CD3812"/>
    <w:rsid w:val="398834B2"/>
    <w:rsid w:val="39985D6A"/>
    <w:rsid w:val="39B45CD3"/>
    <w:rsid w:val="39BC1544"/>
    <w:rsid w:val="39FE2901"/>
    <w:rsid w:val="3A731D42"/>
    <w:rsid w:val="3AFFEF33"/>
    <w:rsid w:val="3B053D1A"/>
    <w:rsid w:val="3B337EE8"/>
    <w:rsid w:val="3B353A9A"/>
    <w:rsid w:val="3B706082"/>
    <w:rsid w:val="3B7DBB14"/>
    <w:rsid w:val="3BA85624"/>
    <w:rsid w:val="3BD7EFC8"/>
    <w:rsid w:val="3BDFDBB0"/>
    <w:rsid w:val="3C2471C6"/>
    <w:rsid w:val="3CB7F27E"/>
    <w:rsid w:val="3D9E6259"/>
    <w:rsid w:val="3DBBBDA7"/>
    <w:rsid w:val="3E220F61"/>
    <w:rsid w:val="3EC73D38"/>
    <w:rsid w:val="3EDCA616"/>
    <w:rsid w:val="3F640B0B"/>
    <w:rsid w:val="3F6F719E"/>
    <w:rsid w:val="3F791C97"/>
    <w:rsid w:val="3F854A01"/>
    <w:rsid w:val="3FD8CF1C"/>
    <w:rsid w:val="3FF615A5"/>
    <w:rsid w:val="3FFD8784"/>
    <w:rsid w:val="40915EE0"/>
    <w:rsid w:val="409A1664"/>
    <w:rsid w:val="40AD2D19"/>
    <w:rsid w:val="40F042AD"/>
    <w:rsid w:val="40F44B4F"/>
    <w:rsid w:val="41057051"/>
    <w:rsid w:val="41160E83"/>
    <w:rsid w:val="415A31C5"/>
    <w:rsid w:val="41A40141"/>
    <w:rsid w:val="41AC19A6"/>
    <w:rsid w:val="41D61543"/>
    <w:rsid w:val="41D7204D"/>
    <w:rsid w:val="425E060A"/>
    <w:rsid w:val="43656A9D"/>
    <w:rsid w:val="43857D3C"/>
    <w:rsid w:val="43C17B00"/>
    <w:rsid w:val="44A35F4C"/>
    <w:rsid w:val="44A80F1F"/>
    <w:rsid w:val="452F38F8"/>
    <w:rsid w:val="453C21A9"/>
    <w:rsid w:val="459D7164"/>
    <w:rsid w:val="45C968E3"/>
    <w:rsid w:val="45D379D5"/>
    <w:rsid w:val="467121E3"/>
    <w:rsid w:val="46B54C5E"/>
    <w:rsid w:val="46EA7E55"/>
    <w:rsid w:val="47397EDF"/>
    <w:rsid w:val="47485F70"/>
    <w:rsid w:val="47734F06"/>
    <w:rsid w:val="479637F6"/>
    <w:rsid w:val="47BE20B5"/>
    <w:rsid w:val="482C6361"/>
    <w:rsid w:val="48D203E2"/>
    <w:rsid w:val="48E71726"/>
    <w:rsid w:val="495A3BE4"/>
    <w:rsid w:val="49D647A4"/>
    <w:rsid w:val="4A4A2AA8"/>
    <w:rsid w:val="4AA9675A"/>
    <w:rsid w:val="4B176A47"/>
    <w:rsid w:val="4B6FE53E"/>
    <w:rsid w:val="4B9804DB"/>
    <w:rsid w:val="4B9D671D"/>
    <w:rsid w:val="4BA27604"/>
    <w:rsid w:val="4C315D76"/>
    <w:rsid w:val="4C6406E4"/>
    <w:rsid w:val="4CDF582E"/>
    <w:rsid w:val="4CFE36DF"/>
    <w:rsid w:val="4D835053"/>
    <w:rsid w:val="4DAD61A5"/>
    <w:rsid w:val="4DB1619F"/>
    <w:rsid w:val="4EBFB334"/>
    <w:rsid w:val="4ED91FF7"/>
    <w:rsid w:val="4F1B27F8"/>
    <w:rsid w:val="4F1F5A72"/>
    <w:rsid w:val="4F5249A8"/>
    <w:rsid w:val="4F7733C7"/>
    <w:rsid w:val="4F7D5C10"/>
    <w:rsid w:val="4FA05867"/>
    <w:rsid w:val="4FD85062"/>
    <w:rsid w:val="50001BD9"/>
    <w:rsid w:val="50B979B4"/>
    <w:rsid w:val="50D82581"/>
    <w:rsid w:val="51321C02"/>
    <w:rsid w:val="51DB7582"/>
    <w:rsid w:val="520ED8FB"/>
    <w:rsid w:val="52121721"/>
    <w:rsid w:val="521977B3"/>
    <w:rsid w:val="524C199A"/>
    <w:rsid w:val="529141C2"/>
    <w:rsid w:val="52BF64D3"/>
    <w:rsid w:val="52CE6297"/>
    <w:rsid w:val="52E73D5A"/>
    <w:rsid w:val="535B2792"/>
    <w:rsid w:val="537C7EE5"/>
    <w:rsid w:val="53B54759"/>
    <w:rsid w:val="54901D38"/>
    <w:rsid w:val="54945483"/>
    <w:rsid w:val="54DDF2AD"/>
    <w:rsid w:val="553D5CDE"/>
    <w:rsid w:val="559136B0"/>
    <w:rsid w:val="55940C98"/>
    <w:rsid w:val="56193C4E"/>
    <w:rsid w:val="564B0C07"/>
    <w:rsid w:val="564E7D1C"/>
    <w:rsid w:val="567824E7"/>
    <w:rsid w:val="57231103"/>
    <w:rsid w:val="578C5187"/>
    <w:rsid w:val="57956187"/>
    <w:rsid w:val="588E2FED"/>
    <w:rsid w:val="58A4453A"/>
    <w:rsid w:val="58BF3C98"/>
    <w:rsid w:val="594303F9"/>
    <w:rsid w:val="5A0658C1"/>
    <w:rsid w:val="5A2F471B"/>
    <w:rsid w:val="5A502299"/>
    <w:rsid w:val="5A6B0E58"/>
    <w:rsid w:val="5A77117D"/>
    <w:rsid w:val="5AB94165"/>
    <w:rsid w:val="5AF42F2C"/>
    <w:rsid w:val="5B13481A"/>
    <w:rsid w:val="5B42618A"/>
    <w:rsid w:val="5B4D0C41"/>
    <w:rsid w:val="5B7A3ED6"/>
    <w:rsid w:val="5BD640AE"/>
    <w:rsid w:val="5BDF47C9"/>
    <w:rsid w:val="5BDFB536"/>
    <w:rsid w:val="5BEA2AF2"/>
    <w:rsid w:val="5BFFD938"/>
    <w:rsid w:val="5C284C6E"/>
    <w:rsid w:val="5C9B6EB9"/>
    <w:rsid w:val="5CEE12F4"/>
    <w:rsid w:val="5CF01EB7"/>
    <w:rsid w:val="5D4C0D4D"/>
    <w:rsid w:val="5D743BB0"/>
    <w:rsid w:val="5DC40111"/>
    <w:rsid w:val="5DD21C5A"/>
    <w:rsid w:val="5DE7561E"/>
    <w:rsid w:val="5E045818"/>
    <w:rsid w:val="5EBBB847"/>
    <w:rsid w:val="5EC419C6"/>
    <w:rsid w:val="5EFB66C2"/>
    <w:rsid w:val="5F064676"/>
    <w:rsid w:val="5F212CA2"/>
    <w:rsid w:val="5F230B9A"/>
    <w:rsid w:val="5F4972B1"/>
    <w:rsid w:val="5F560B3B"/>
    <w:rsid w:val="5FADEB90"/>
    <w:rsid w:val="5FC35994"/>
    <w:rsid w:val="5FE70BB2"/>
    <w:rsid w:val="5FED2FDE"/>
    <w:rsid w:val="5FEF8C9E"/>
    <w:rsid w:val="5FF60271"/>
    <w:rsid w:val="5FFA62C0"/>
    <w:rsid w:val="60037A11"/>
    <w:rsid w:val="601C27CF"/>
    <w:rsid w:val="6043153D"/>
    <w:rsid w:val="60454190"/>
    <w:rsid w:val="60BB2A43"/>
    <w:rsid w:val="60D64282"/>
    <w:rsid w:val="60D8426A"/>
    <w:rsid w:val="60F73DFA"/>
    <w:rsid w:val="61032C55"/>
    <w:rsid w:val="610779DC"/>
    <w:rsid w:val="61100AD3"/>
    <w:rsid w:val="611D1606"/>
    <w:rsid w:val="61256FAE"/>
    <w:rsid w:val="617037B1"/>
    <w:rsid w:val="6188648C"/>
    <w:rsid w:val="61CB515A"/>
    <w:rsid w:val="62153BB5"/>
    <w:rsid w:val="626F5169"/>
    <w:rsid w:val="62BB11A0"/>
    <w:rsid w:val="62C7274C"/>
    <w:rsid w:val="63B22C83"/>
    <w:rsid w:val="63B92581"/>
    <w:rsid w:val="63D0307B"/>
    <w:rsid w:val="64192F3B"/>
    <w:rsid w:val="64460E48"/>
    <w:rsid w:val="64EE67A2"/>
    <w:rsid w:val="64F97650"/>
    <w:rsid w:val="6523167D"/>
    <w:rsid w:val="653900DE"/>
    <w:rsid w:val="65553A6B"/>
    <w:rsid w:val="657A052C"/>
    <w:rsid w:val="65955D77"/>
    <w:rsid w:val="65F17744"/>
    <w:rsid w:val="661FE1C0"/>
    <w:rsid w:val="667F1A74"/>
    <w:rsid w:val="676F4EEF"/>
    <w:rsid w:val="67CC4D0D"/>
    <w:rsid w:val="67F04CE4"/>
    <w:rsid w:val="67F4449F"/>
    <w:rsid w:val="68370A36"/>
    <w:rsid w:val="689675E3"/>
    <w:rsid w:val="68F26942"/>
    <w:rsid w:val="691D7C84"/>
    <w:rsid w:val="69300EF5"/>
    <w:rsid w:val="694A34A4"/>
    <w:rsid w:val="69D70F7A"/>
    <w:rsid w:val="69DF82D8"/>
    <w:rsid w:val="6A170A73"/>
    <w:rsid w:val="6A3F26EC"/>
    <w:rsid w:val="6A4E14DA"/>
    <w:rsid w:val="6A632FF9"/>
    <w:rsid w:val="6AEA48BB"/>
    <w:rsid w:val="6B85BC53"/>
    <w:rsid w:val="6BB75ED8"/>
    <w:rsid w:val="6BCE57A5"/>
    <w:rsid w:val="6BEF148A"/>
    <w:rsid w:val="6C09101F"/>
    <w:rsid w:val="6C16574A"/>
    <w:rsid w:val="6C314C06"/>
    <w:rsid w:val="6C87004D"/>
    <w:rsid w:val="6CF62324"/>
    <w:rsid w:val="6CF75BDE"/>
    <w:rsid w:val="6CFB511F"/>
    <w:rsid w:val="6CFED7BB"/>
    <w:rsid w:val="6D2C247A"/>
    <w:rsid w:val="6D382477"/>
    <w:rsid w:val="6D3D5B93"/>
    <w:rsid w:val="6D615B34"/>
    <w:rsid w:val="6DB43016"/>
    <w:rsid w:val="6E324992"/>
    <w:rsid w:val="6E53278F"/>
    <w:rsid w:val="6E7D8F7C"/>
    <w:rsid w:val="6ED53A71"/>
    <w:rsid w:val="6EE502D3"/>
    <w:rsid w:val="6EFF5207"/>
    <w:rsid w:val="6F3F5890"/>
    <w:rsid w:val="6FA6580D"/>
    <w:rsid w:val="6FDCE706"/>
    <w:rsid w:val="6FDD75BB"/>
    <w:rsid w:val="6FF81C00"/>
    <w:rsid w:val="6FFF3F42"/>
    <w:rsid w:val="70004998"/>
    <w:rsid w:val="70274C26"/>
    <w:rsid w:val="715E30D8"/>
    <w:rsid w:val="716832AC"/>
    <w:rsid w:val="71B614AC"/>
    <w:rsid w:val="71D7FD72"/>
    <w:rsid w:val="71F64B04"/>
    <w:rsid w:val="71F80698"/>
    <w:rsid w:val="71FE01E6"/>
    <w:rsid w:val="721115AE"/>
    <w:rsid w:val="72453989"/>
    <w:rsid w:val="72533BA4"/>
    <w:rsid w:val="725916E8"/>
    <w:rsid w:val="7269021B"/>
    <w:rsid w:val="726FE8B2"/>
    <w:rsid w:val="72878778"/>
    <w:rsid w:val="72A6024B"/>
    <w:rsid w:val="72D94C83"/>
    <w:rsid w:val="73774085"/>
    <w:rsid w:val="73FC4B11"/>
    <w:rsid w:val="749E5F0D"/>
    <w:rsid w:val="74CA6EF4"/>
    <w:rsid w:val="75124DA1"/>
    <w:rsid w:val="755F95A0"/>
    <w:rsid w:val="75833F9D"/>
    <w:rsid w:val="75DE7D14"/>
    <w:rsid w:val="75FE0140"/>
    <w:rsid w:val="76896873"/>
    <w:rsid w:val="76B0703E"/>
    <w:rsid w:val="76EBE8C6"/>
    <w:rsid w:val="76EC4C17"/>
    <w:rsid w:val="7701494E"/>
    <w:rsid w:val="77250F80"/>
    <w:rsid w:val="772B522F"/>
    <w:rsid w:val="773344B3"/>
    <w:rsid w:val="77B49D8F"/>
    <w:rsid w:val="77BEB3CF"/>
    <w:rsid w:val="77DF0168"/>
    <w:rsid w:val="77EB0150"/>
    <w:rsid w:val="77F5A5ED"/>
    <w:rsid w:val="77F812E1"/>
    <w:rsid w:val="77F86B84"/>
    <w:rsid w:val="77FFC065"/>
    <w:rsid w:val="78111973"/>
    <w:rsid w:val="78225390"/>
    <w:rsid w:val="784A6E35"/>
    <w:rsid w:val="78C82F2E"/>
    <w:rsid w:val="79441E84"/>
    <w:rsid w:val="79A76D74"/>
    <w:rsid w:val="79D38490"/>
    <w:rsid w:val="7A679A21"/>
    <w:rsid w:val="7AC77DFB"/>
    <w:rsid w:val="7AFB6D34"/>
    <w:rsid w:val="7B175F9A"/>
    <w:rsid w:val="7B1D1F42"/>
    <w:rsid w:val="7B1F6B61"/>
    <w:rsid w:val="7B1FD6FC"/>
    <w:rsid w:val="7B3B246C"/>
    <w:rsid w:val="7B3F8854"/>
    <w:rsid w:val="7B5B228D"/>
    <w:rsid w:val="7BBB70C2"/>
    <w:rsid w:val="7BBC7991"/>
    <w:rsid w:val="7BBD3F23"/>
    <w:rsid w:val="7BEDC39B"/>
    <w:rsid w:val="7BF86292"/>
    <w:rsid w:val="7BFDDE8D"/>
    <w:rsid w:val="7CBF330B"/>
    <w:rsid w:val="7CED26CD"/>
    <w:rsid w:val="7CFEBE5B"/>
    <w:rsid w:val="7D0B53AE"/>
    <w:rsid w:val="7D3A7826"/>
    <w:rsid w:val="7DCA06D8"/>
    <w:rsid w:val="7DD344F7"/>
    <w:rsid w:val="7DEB16CE"/>
    <w:rsid w:val="7DEFA07F"/>
    <w:rsid w:val="7E2E3790"/>
    <w:rsid w:val="7E2F0937"/>
    <w:rsid w:val="7E3B1312"/>
    <w:rsid w:val="7EB98EF4"/>
    <w:rsid w:val="7EDF7CA1"/>
    <w:rsid w:val="7EF9FB0A"/>
    <w:rsid w:val="7EFF8675"/>
    <w:rsid w:val="7EFF93EC"/>
    <w:rsid w:val="7F379C72"/>
    <w:rsid w:val="7F56FC84"/>
    <w:rsid w:val="7F57082A"/>
    <w:rsid w:val="7F5EEF82"/>
    <w:rsid w:val="7F5F8A38"/>
    <w:rsid w:val="7F847189"/>
    <w:rsid w:val="7FA7CEBF"/>
    <w:rsid w:val="7FBA42DE"/>
    <w:rsid w:val="7FC7B0B5"/>
    <w:rsid w:val="7FCA41D6"/>
    <w:rsid w:val="7FCCB5FF"/>
    <w:rsid w:val="7FE1537D"/>
    <w:rsid w:val="7FFB5EC2"/>
    <w:rsid w:val="7FFF5B04"/>
    <w:rsid w:val="7FFFA6FC"/>
    <w:rsid w:val="94B89B6B"/>
    <w:rsid w:val="99FFB62A"/>
    <w:rsid w:val="9AFFC57D"/>
    <w:rsid w:val="9BDF7396"/>
    <w:rsid w:val="9EE1DCF6"/>
    <w:rsid w:val="9F5E6CCF"/>
    <w:rsid w:val="9FF3933D"/>
    <w:rsid w:val="AB6EB75A"/>
    <w:rsid w:val="AF4A4EF4"/>
    <w:rsid w:val="B2DF0D85"/>
    <w:rsid w:val="B7535960"/>
    <w:rsid w:val="B7DD5533"/>
    <w:rsid w:val="BA69E0B1"/>
    <w:rsid w:val="BAD3DFFE"/>
    <w:rsid w:val="BB3DBF2F"/>
    <w:rsid w:val="BC5C010B"/>
    <w:rsid w:val="BCAF4CFE"/>
    <w:rsid w:val="BCDBFB0F"/>
    <w:rsid w:val="BD6BAE94"/>
    <w:rsid w:val="BDE7FB5D"/>
    <w:rsid w:val="BDEF3237"/>
    <w:rsid w:val="BFA7BF4A"/>
    <w:rsid w:val="BFEAFECE"/>
    <w:rsid w:val="C3FF72FF"/>
    <w:rsid w:val="C637B7D8"/>
    <w:rsid w:val="C69704D7"/>
    <w:rsid w:val="C7FD40D5"/>
    <w:rsid w:val="C7FF232D"/>
    <w:rsid w:val="D18F4CAC"/>
    <w:rsid w:val="D7FB4430"/>
    <w:rsid w:val="DAB4673B"/>
    <w:rsid w:val="DAB7C9E8"/>
    <w:rsid w:val="DAFF154A"/>
    <w:rsid w:val="DCF5A777"/>
    <w:rsid w:val="DEF703CE"/>
    <w:rsid w:val="DF7DD928"/>
    <w:rsid w:val="DFDF0FEE"/>
    <w:rsid w:val="DFEE2DA4"/>
    <w:rsid w:val="DFF543E6"/>
    <w:rsid w:val="DFF7E779"/>
    <w:rsid w:val="DFFB3989"/>
    <w:rsid w:val="E3F14090"/>
    <w:rsid w:val="E6D534E8"/>
    <w:rsid w:val="E7BF51E8"/>
    <w:rsid w:val="E7FA89A5"/>
    <w:rsid w:val="E9D6601A"/>
    <w:rsid w:val="EAEACD0B"/>
    <w:rsid w:val="ED7E8934"/>
    <w:rsid w:val="EDE58985"/>
    <w:rsid w:val="EEBF2627"/>
    <w:rsid w:val="EFED806A"/>
    <w:rsid w:val="F2BAB433"/>
    <w:rsid w:val="F2BF2114"/>
    <w:rsid w:val="F2CF29AE"/>
    <w:rsid w:val="F37444EE"/>
    <w:rsid w:val="F7A7F37D"/>
    <w:rsid w:val="F7CF5CD6"/>
    <w:rsid w:val="F7D5E011"/>
    <w:rsid w:val="F7D8F835"/>
    <w:rsid w:val="F7EFD80A"/>
    <w:rsid w:val="F7FFBB73"/>
    <w:rsid w:val="F7FFDD09"/>
    <w:rsid w:val="F83B3413"/>
    <w:rsid w:val="F97D0C12"/>
    <w:rsid w:val="FAD33EF2"/>
    <w:rsid w:val="FB1642C1"/>
    <w:rsid w:val="FB6EDE08"/>
    <w:rsid w:val="FBE06883"/>
    <w:rsid w:val="FBE10A01"/>
    <w:rsid w:val="FBEF275F"/>
    <w:rsid w:val="FBEFC165"/>
    <w:rsid w:val="FBF779D2"/>
    <w:rsid w:val="FC5C254C"/>
    <w:rsid w:val="FD9D9134"/>
    <w:rsid w:val="FDDB8A16"/>
    <w:rsid w:val="FDDF213A"/>
    <w:rsid w:val="FDE396BB"/>
    <w:rsid w:val="FDEB37D2"/>
    <w:rsid w:val="FDFF3D23"/>
    <w:rsid w:val="FDFFC86E"/>
    <w:rsid w:val="FE2B1015"/>
    <w:rsid w:val="FE8F6924"/>
    <w:rsid w:val="FECF5F27"/>
    <w:rsid w:val="FEEE6B03"/>
    <w:rsid w:val="FEFFCDA3"/>
    <w:rsid w:val="FF377CD4"/>
    <w:rsid w:val="FF3EFB9C"/>
    <w:rsid w:val="FF3F356E"/>
    <w:rsid w:val="FF7F2900"/>
    <w:rsid w:val="FFBF3912"/>
    <w:rsid w:val="FFCFE756"/>
    <w:rsid w:val="FFE79DEE"/>
    <w:rsid w:val="FFFE18BC"/>
    <w:rsid w:val="FFFF7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28"/>
    <w:qFormat/>
    <w:uiPriority w:val="0"/>
    <w:pPr>
      <w:keepNext/>
      <w:keepLines/>
      <w:widowControl/>
      <w:numPr>
        <w:ilvl w:val="0"/>
        <w:numId w:val="1"/>
      </w:numPr>
      <w:spacing w:before="240" w:after="240" w:line="360" w:lineRule="auto"/>
      <w:outlineLvl w:val="0"/>
    </w:pPr>
    <w:rPr>
      <w:rFonts w:ascii="仿宋_GB2312" w:eastAsia="仿宋_GB2312"/>
      <w:b/>
      <w:bCs/>
      <w:kern w:val="44"/>
      <w:sz w:val="28"/>
      <w:szCs w:val="28"/>
    </w:rPr>
  </w:style>
  <w:style w:type="paragraph" w:styleId="5">
    <w:name w:val="heading 2"/>
    <w:basedOn w:val="1"/>
    <w:next w:val="1"/>
    <w:link w:val="29"/>
    <w:qFormat/>
    <w:uiPriority w:val="0"/>
    <w:pPr>
      <w:keepNext/>
      <w:keepLines/>
      <w:numPr>
        <w:ilvl w:val="1"/>
        <w:numId w:val="1"/>
      </w:numPr>
      <w:spacing w:line="360" w:lineRule="auto"/>
      <w:jc w:val="left"/>
      <w:outlineLvl w:val="1"/>
    </w:pPr>
    <w:rPr>
      <w:rFonts w:ascii="仿宋_GB2312" w:hAnsi="Arial" w:eastAsia="仿宋_GB2312"/>
      <w:b/>
      <w:bCs/>
      <w:sz w:val="28"/>
      <w:szCs w:val="28"/>
    </w:rPr>
  </w:style>
  <w:style w:type="paragraph" w:styleId="6">
    <w:name w:val="heading 3"/>
    <w:basedOn w:val="1"/>
    <w:next w:val="1"/>
    <w:link w:val="30"/>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semiHidden/>
    <w:unhideWhenUsed/>
    <w:qFormat/>
    <w:uiPriority w:val="9"/>
    <w:pPr>
      <w:keepNext/>
      <w:keepLines/>
      <w:spacing w:before="280" w:after="290" w:line="372" w:lineRule="auto"/>
      <w:outlineLvl w:val="3"/>
    </w:pPr>
    <w:rPr>
      <w:rFonts w:ascii="Arial" w:hAnsi="Arial" w:eastAsia="黑体"/>
      <w:b/>
      <w:sz w:val="28"/>
    </w:rPr>
  </w:style>
  <w:style w:type="paragraph" w:styleId="8">
    <w:name w:val="heading 5"/>
    <w:basedOn w:val="1"/>
    <w:next w:val="1"/>
    <w:semiHidden/>
    <w:unhideWhenUsed/>
    <w:qFormat/>
    <w:uiPriority w:val="9"/>
    <w:pPr>
      <w:keepNext/>
      <w:keepLines/>
      <w:spacing w:before="280" w:after="290" w:line="372" w:lineRule="auto"/>
      <w:outlineLvl w:val="4"/>
    </w:pPr>
    <w:rPr>
      <w:b/>
      <w:sz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ind w:firstLine="200" w:firstLineChars="200"/>
    </w:pPr>
    <w:rPr>
      <w:sz w:val="24"/>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9">
    <w:name w:val="Normal Indent"/>
    <w:basedOn w:val="1"/>
    <w:link w:val="31"/>
    <w:qFormat/>
    <w:uiPriority w:val="0"/>
    <w:pPr>
      <w:spacing w:line="300" w:lineRule="auto"/>
      <w:ind w:firstLine="420"/>
    </w:pPr>
    <w:rPr>
      <w:sz w:val="24"/>
      <w:szCs w:val="20"/>
    </w:rPr>
  </w:style>
  <w:style w:type="paragraph" w:styleId="10">
    <w:name w:val="caption"/>
    <w:basedOn w:val="1"/>
    <w:next w:val="1"/>
    <w:qFormat/>
    <w:uiPriority w:val="0"/>
    <w:pPr>
      <w:adjustRightInd w:val="0"/>
      <w:spacing w:before="152" w:after="160" w:line="360" w:lineRule="atLeast"/>
      <w:jc w:val="left"/>
      <w:textAlignment w:val="baseline"/>
    </w:pPr>
    <w:rPr>
      <w:rFonts w:ascii="Arial" w:hAnsi="Arial" w:eastAsia="黑体" w:cs="Arial"/>
      <w:kern w:val="0"/>
      <w:sz w:val="20"/>
      <w:szCs w:val="20"/>
    </w:rPr>
  </w:style>
  <w:style w:type="paragraph" w:styleId="11">
    <w:name w:val="annotation text"/>
    <w:basedOn w:val="1"/>
    <w:link w:val="32"/>
    <w:unhideWhenUsed/>
    <w:qFormat/>
    <w:uiPriority w:val="99"/>
    <w:pPr>
      <w:jc w:val="left"/>
    </w:pPr>
    <w:rPr>
      <w:kern w:val="0"/>
      <w:szCs w:val="20"/>
    </w:rPr>
  </w:style>
  <w:style w:type="paragraph" w:styleId="12">
    <w:name w:val="toc 3"/>
    <w:basedOn w:val="1"/>
    <w:next w:val="1"/>
    <w:qFormat/>
    <w:uiPriority w:val="0"/>
    <w:pPr>
      <w:ind w:left="420"/>
      <w:jc w:val="left"/>
    </w:pPr>
    <w:rPr>
      <w:i/>
      <w:iCs/>
      <w:sz w:val="20"/>
      <w:szCs w:val="20"/>
    </w:rPr>
  </w:style>
  <w:style w:type="paragraph" w:styleId="13">
    <w:name w:val="Plain Text"/>
    <w:basedOn w:val="1"/>
    <w:qFormat/>
    <w:uiPriority w:val="0"/>
    <w:rPr>
      <w:rFonts w:hAnsi="Courier New"/>
      <w:szCs w:val="20"/>
    </w:rPr>
  </w:style>
  <w:style w:type="paragraph" w:styleId="14">
    <w:name w:val="Balloon Text"/>
    <w:basedOn w:val="1"/>
    <w:link w:val="33"/>
    <w:unhideWhenUsed/>
    <w:qFormat/>
    <w:uiPriority w:val="99"/>
    <w:rPr>
      <w:sz w:val="18"/>
      <w:szCs w:val="18"/>
    </w:rPr>
  </w:style>
  <w:style w:type="paragraph" w:styleId="15">
    <w:name w:val="footer"/>
    <w:basedOn w:val="1"/>
    <w:link w:val="34"/>
    <w:qFormat/>
    <w:uiPriority w:val="0"/>
    <w:pPr>
      <w:tabs>
        <w:tab w:val="center" w:pos="4153"/>
        <w:tab w:val="right" w:pos="8306"/>
      </w:tabs>
      <w:snapToGrid w:val="0"/>
      <w:jc w:val="left"/>
    </w:pPr>
    <w:rPr>
      <w:sz w:val="18"/>
      <w:szCs w:val="18"/>
    </w:rPr>
  </w:style>
  <w:style w:type="paragraph" w:styleId="16">
    <w:name w:val="header"/>
    <w:basedOn w:val="1"/>
    <w:link w:val="35"/>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spacing w:before="120" w:after="120" w:line="60" w:lineRule="auto"/>
      <w:jc w:val="left"/>
    </w:pPr>
    <w:rPr>
      <w:b/>
      <w:bCs/>
      <w:caps/>
      <w:sz w:val="20"/>
      <w:szCs w:val="20"/>
    </w:rPr>
  </w:style>
  <w:style w:type="paragraph" w:styleId="18">
    <w:name w:val="toc 2"/>
    <w:basedOn w:val="1"/>
    <w:next w:val="1"/>
    <w:qFormat/>
    <w:uiPriority w:val="0"/>
    <w:pPr>
      <w:ind w:left="210"/>
      <w:jc w:val="left"/>
    </w:pPr>
    <w:rPr>
      <w:smallCaps/>
      <w:sz w:val="20"/>
      <w:szCs w:val="20"/>
    </w:rPr>
  </w:style>
  <w:style w:type="paragraph" w:styleId="19">
    <w:name w:val="Normal (Web)"/>
    <w:basedOn w:val="1"/>
    <w:unhideWhenUsed/>
    <w:qFormat/>
    <w:uiPriority w:val="99"/>
    <w:rPr>
      <w:sz w:val="24"/>
    </w:rPr>
  </w:style>
  <w:style w:type="paragraph" w:styleId="20">
    <w:name w:val="annotation subject"/>
    <w:basedOn w:val="11"/>
    <w:next w:val="11"/>
    <w:link w:val="54"/>
    <w:semiHidden/>
    <w:unhideWhenUsed/>
    <w:qFormat/>
    <w:uiPriority w:val="99"/>
    <w:rPr>
      <w:b/>
      <w:bCs/>
      <w:kern w:val="2"/>
      <w:szCs w:val="22"/>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rPr>
  </w:style>
  <w:style w:type="character" w:styleId="25">
    <w:name w:val="page number"/>
    <w:qFormat/>
    <w:uiPriority w:val="0"/>
  </w:style>
  <w:style w:type="character" w:styleId="26">
    <w:name w:val="Hyperlink"/>
    <w:qFormat/>
    <w:uiPriority w:val="0"/>
    <w:rPr>
      <w:color w:val="0000FF"/>
      <w:u w:val="single"/>
    </w:rPr>
  </w:style>
  <w:style w:type="character" w:styleId="27">
    <w:name w:val="annotation reference"/>
    <w:basedOn w:val="23"/>
    <w:semiHidden/>
    <w:unhideWhenUsed/>
    <w:qFormat/>
    <w:uiPriority w:val="99"/>
    <w:rPr>
      <w:sz w:val="21"/>
      <w:szCs w:val="21"/>
    </w:rPr>
  </w:style>
  <w:style w:type="character" w:customStyle="1" w:styleId="28">
    <w:name w:val="标题 1 字符"/>
    <w:link w:val="4"/>
    <w:qFormat/>
    <w:uiPriority w:val="0"/>
    <w:rPr>
      <w:rFonts w:ascii="仿宋_GB2312" w:hAnsi="Times New Roman" w:eastAsia="仿宋_GB2312"/>
      <w:b/>
      <w:bCs/>
      <w:kern w:val="44"/>
      <w:sz w:val="28"/>
      <w:szCs w:val="28"/>
    </w:rPr>
  </w:style>
  <w:style w:type="character" w:customStyle="1" w:styleId="29">
    <w:name w:val="标题 2 字符"/>
    <w:link w:val="5"/>
    <w:qFormat/>
    <w:uiPriority w:val="0"/>
    <w:rPr>
      <w:rFonts w:ascii="仿宋_GB2312" w:hAnsi="Arial" w:eastAsia="仿宋_GB2312"/>
      <w:b/>
      <w:bCs/>
      <w:kern w:val="2"/>
      <w:sz w:val="28"/>
      <w:szCs w:val="28"/>
    </w:rPr>
  </w:style>
  <w:style w:type="character" w:customStyle="1" w:styleId="30">
    <w:name w:val="标题 3 字符"/>
    <w:link w:val="6"/>
    <w:qFormat/>
    <w:uiPriority w:val="0"/>
    <w:rPr>
      <w:rFonts w:ascii="Times New Roman" w:hAnsi="Times New Roman"/>
      <w:b/>
      <w:bCs/>
      <w:kern w:val="2"/>
      <w:sz w:val="32"/>
      <w:szCs w:val="32"/>
    </w:rPr>
  </w:style>
  <w:style w:type="character" w:customStyle="1" w:styleId="31">
    <w:name w:val="正文缩进 字符"/>
    <w:link w:val="9"/>
    <w:qFormat/>
    <w:uiPriority w:val="0"/>
    <w:rPr>
      <w:rFonts w:ascii="Times New Roman" w:hAnsi="Times New Roman"/>
      <w:kern w:val="2"/>
      <w:sz w:val="24"/>
    </w:rPr>
  </w:style>
  <w:style w:type="character" w:customStyle="1" w:styleId="32">
    <w:name w:val="批注文字 字符"/>
    <w:link w:val="11"/>
    <w:qFormat/>
    <w:uiPriority w:val="0"/>
    <w:rPr>
      <w:sz w:val="21"/>
    </w:rPr>
  </w:style>
  <w:style w:type="character" w:customStyle="1" w:styleId="33">
    <w:name w:val="批注框文本 字符"/>
    <w:link w:val="14"/>
    <w:semiHidden/>
    <w:qFormat/>
    <w:uiPriority w:val="99"/>
    <w:rPr>
      <w:kern w:val="2"/>
      <w:sz w:val="18"/>
      <w:szCs w:val="18"/>
    </w:rPr>
  </w:style>
  <w:style w:type="character" w:customStyle="1" w:styleId="34">
    <w:name w:val="页脚 字符"/>
    <w:link w:val="15"/>
    <w:qFormat/>
    <w:uiPriority w:val="0"/>
    <w:rPr>
      <w:rFonts w:ascii="Times New Roman" w:hAnsi="Times New Roman"/>
      <w:kern w:val="2"/>
      <w:sz w:val="18"/>
      <w:szCs w:val="18"/>
    </w:rPr>
  </w:style>
  <w:style w:type="character" w:customStyle="1" w:styleId="35">
    <w:name w:val="页眉 字符"/>
    <w:link w:val="16"/>
    <w:qFormat/>
    <w:uiPriority w:val="0"/>
    <w:rPr>
      <w:rFonts w:ascii="Times New Roman" w:hAnsi="Times New Roman"/>
      <w:kern w:val="2"/>
      <w:sz w:val="18"/>
      <w:szCs w:val="18"/>
    </w:rPr>
  </w:style>
  <w:style w:type="character" w:customStyle="1" w:styleId="36">
    <w:name w:val="font21"/>
    <w:qFormat/>
    <w:uiPriority w:val="0"/>
    <w:rPr>
      <w:rFonts w:hint="default" w:ascii="Dialog" w:hAnsi="Dialog" w:eastAsia="Dialog" w:cs="Dialog"/>
      <w:color w:val="000000"/>
      <w:sz w:val="18"/>
      <w:szCs w:val="18"/>
      <w:u w:val="none"/>
    </w:rPr>
  </w:style>
  <w:style w:type="character" w:customStyle="1" w:styleId="37">
    <w:name w:val="正文文字样式 Char Char"/>
    <w:link w:val="38"/>
    <w:qFormat/>
    <w:uiPriority w:val="0"/>
    <w:rPr>
      <w:rFonts w:ascii="Times New Roman" w:hAnsi="Times New Roman"/>
      <w:kern w:val="2"/>
      <w:sz w:val="24"/>
      <w:szCs w:val="24"/>
    </w:rPr>
  </w:style>
  <w:style w:type="paragraph" w:customStyle="1" w:styleId="38">
    <w:name w:val="正文文字样式"/>
    <w:basedOn w:val="1"/>
    <w:link w:val="37"/>
    <w:qFormat/>
    <w:uiPriority w:val="0"/>
    <w:pPr>
      <w:spacing w:line="480" w:lineRule="exact"/>
      <w:ind w:firstLine="480" w:firstLineChars="200"/>
    </w:pPr>
    <w:rPr>
      <w:sz w:val="24"/>
      <w:szCs w:val="24"/>
    </w:rPr>
  </w:style>
  <w:style w:type="character" w:customStyle="1" w:styleId="39">
    <w:name w:val="页眉 Char1"/>
    <w:semiHidden/>
    <w:qFormat/>
    <w:uiPriority w:val="99"/>
    <w:rPr>
      <w:kern w:val="2"/>
      <w:sz w:val="18"/>
      <w:szCs w:val="18"/>
    </w:rPr>
  </w:style>
  <w:style w:type="character" w:customStyle="1" w:styleId="40">
    <w:name w:val="页脚 Char1"/>
    <w:semiHidden/>
    <w:qFormat/>
    <w:uiPriority w:val="99"/>
    <w:rPr>
      <w:kern w:val="2"/>
      <w:sz w:val="18"/>
      <w:szCs w:val="18"/>
    </w:rPr>
  </w:style>
  <w:style w:type="character" w:customStyle="1" w:styleId="41">
    <w:name w:val="font41"/>
    <w:qFormat/>
    <w:uiPriority w:val="0"/>
    <w:rPr>
      <w:rFonts w:hint="eastAsia" w:ascii="宋体" w:hAnsi="宋体" w:eastAsia="宋体" w:cs="宋体"/>
      <w:color w:val="000000"/>
      <w:sz w:val="18"/>
      <w:szCs w:val="18"/>
      <w:u w:val="none"/>
    </w:rPr>
  </w:style>
  <w:style w:type="paragraph" w:customStyle="1" w:styleId="42">
    <w:name w:val="正文360首行缩进"/>
    <w:basedOn w:val="1"/>
    <w:qFormat/>
    <w:uiPriority w:val="0"/>
    <w:pPr>
      <w:ind w:firstLine="200" w:firstLineChars="200"/>
    </w:pPr>
  </w:style>
  <w:style w:type="paragraph" w:customStyle="1" w:styleId="43">
    <w:name w:val="List Paragraph1"/>
    <w:basedOn w:val="1"/>
    <w:qFormat/>
    <w:uiPriority w:val="0"/>
    <w:pPr>
      <w:ind w:left="720"/>
      <w:contextualSpacing/>
    </w:pPr>
  </w:style>
  <w:style w:type="paragraph" w:customStyle="1" w:styleId="44">
    <w:name w:val="Table Paragraph"/>
    <w:basedOn w:val="1"/>
    <w:qFormat/>
    <w:uiPriority w:val="1"/>
  </w:style>
  <w:style w:type="paragraph" w:customStyle="1" w:styleId="45">
    <w:name w:val="msolistparagraph"/>
    <w:basedOn w:val="1"/>
    <w:qFormat/>
    <w:uiPriority w:val="0"/>
    <w:pPr>
      <w:ind w:firstLine="420" w:firstLineChars="200"/>
    </w:pPr>
    <w:rPr>
      <w:rFonts w:ascii="Calibri" w:hAnsi="Calibri"/>
    </w:rPr>
  </w:style>
  <w:style w:type="paragraph" w:customStyle="1" w:styleId="46">
    <w:name w:val="正文文本缩进1"/>
    <w:basedOn w:val="1"/>
    <w:qFormat/>
    <w:uiPriority w:val="0"/>
    <w:pPr>
      <w:spacing w:line="300" w:lineRule="auto"/>
      <w:ind w:firstLine="480"/>
    </w:pPr>
    <w:rPr>
      <w:rFonts w:ascii="宋体" w:hAnsi="宋体"/>
      <w:kern w:val="0"/>
      <w:sz w:val="24"/>
      <w:szCs w:val="24"/>
    </w:rPr>
  </w:style>
  <w:style w:type="table" w:customStyle="1" w:styleId="47">
    <w:name w:val="网格型1"/>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8">
    <w:name w:val="_Style 42"/>
    <w:unhideWhenUsed/>
    <w:qFormat/>
    <w:uiPriority w:val="99"/>
    <w:rPr>
      <w:rFonts w:ascii="Times New Roman" w:hAnsi="Times New Roman" w:eastAsia="宋体" w:cs="Times New Roman"/>
      <w:kern w:val="2"/>
      <w:sz w:val="21"/>
      <w:szCs w:val="22"/>
      <w:lang w:val="en-US" w:eastAsia="zh-CN" w:bidi="ar-SA"/>
    </w:rPr>
  </w:style>
  <w:style w:type="paragraph" w:customStyle="1" w:styleId="49">
    <w:name w:val="表正文"/>
    <w:basedOn w:val="1"/>
    <w:qFormat/>
    <w:uiPriority w:val="0"/>
    <w:pPr>
      <w:spacing w:line="360" w:lineRule="auto"/>
      <w:ind w:firstLine="200" w:firstLineChars="200"/>
    </w:pPr>
    <w:rPr>
      <w:rFonts w:ascii="Arial" w:hAnsi="Arial" w:eastAsia="等线" w:cs="宋体"/>
      <w:sz w:val="24"/>
      <w:szCs w:val="21"/>
    </w:rPr>
  </w:style>
  <w:style w:type="paragraph" w:customStyle="1" w:styleId="50">
    <w:name w:val="正文2"/>
    <w:qFormat/>
    <w:uiPriority w:val="0"/>
    <w:pPr>
      <w:spacing w:line="300" w:lineRule="auto"/>
    </w:pPr>
    <w:rPr>
      <w:rFonts w:ascii="Arial" w:hAnsi="Arial" w:eastAsia="宋体" w:cs="Times New Roman"/>
      <w:sz w:val="21"/>
      <w:szCs w:val="21"/>
      <w:lang w:val="en-US" w:eastAsia="zh-CN" w:bidi="ar-SA"/>
    </w:rPr>
  </w:style>
  <w:style w:type="character" w:customStyle="1" w:styleId="51">
    <w:name w:val="font01"/>
    <w:basedOn w:val="23"/>
    <w:qFormat/>
    <w:uiPriority w:val="0"/>
    <w:rPr>
      <w:rFonts w:hint="eastAsia" w:ascii="宋体" w:hAnsi="宋体" w:eastAsia="宋体" w:cs="宋体"/>
      <w:color w:val="000000"/>
      <w:sz w:val="22"/>
      <w:szCs w:val="22"/>
      <w:u w:val="none"/>
    </w:rPr>
  </w:style>
  <w:style w:type="character" w:customStyle="1" w:styleId="52">
    <w:name w:val="font31"/>
    <w:basedOn w:val="23"/>
    <w:qFormat/>
    <w:uiPriority w:val="0"/>
    <w:rPr>
      <w:rFonts w:hint="eastAsia" w:ascii="宋体" w:hAnsi="宋体" w:eastAsia="宋体" w:cs="宋体"/>
      <w:color w:val="FF0000"/>
      <w:sz w:val="24"/>
      <w:szCs w:val="24"/>
      <w:u w:val="none"/>
    </w:rPr>
  </w:style>
  <w:style w:type="paragraph" w:customStyle="1" w:styleId="53">
    <w:name w:val="修订1"/>
    <w:hidden/>
    <w:unhideWhenUsed/>
    <w:qFormat/>
    <w:uiPriority w:val="99"/>
    <w:rPr>
      <w:rFonts w:ascii="Times New Roman" w:hAnsi="Times New Roman" w:eastAsia="宋体" w:cs="Times New Roman"/>
      <w:kern w:val="2"/>
      <w:sz w:val="21"/>
      <w:szCs w:val="22"/>
      <w:lang w:val="en-US" w:eastAsia="zh-CN" w:bidi="ar-SA"/>
    </w:rPr>
  </w:style>
  <w:style w:type="character" w:customStyle="1" w:styleId="54">
    <w:name w:val="批注主题 字符"/>
    <w:basedOn w:val="32"/>
    <w:link w:val="20"/>
    <w:semiHidden/>
    <w:qFormat/>
    <w:uiPriority w:val="99"/>
    <w:rPr>
      <w:b/>
      <w:bCs/>
      <w:kern w:val="2"/>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7A016C-FF5D-2347-9DAE-F6684686C7EC}">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3888</Words>
  <Characters>4201</Characters>
  <Lines>280</Lines>
  <Paragraphs>237</Paragraphs>
  <TotalTime>70</TotalTime>
  <ScaleCrop>false</ScaleCrop>
  <LinksUpToDate>false</LinksUpToDate>
  <CharactersWithSpaces>7852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2026-05-22T05:52:00Z</dcterms:created>
  <dc:creator>沈威杰</dc:creator>
  <cp:lastModifiedBy>GD_00073627_zb</cp:lastModifiedBy>
  <dcterms:modified xsi:type="dcterms:W3CDTF">2026-07-08T04:57:28Z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873EA10AF2BC4E26A5EDD69B3CB4F3B1</vt:lpwstr>
  </property>
  <property fmtid="{D5CDD505-2E9C-101B-9397-08002B2CF9AE}" pid="4" name="KSOTemplateDocerSaveRecord">
    <vt:lpwstr>eyJoZGlkIjoiYjUyMTNmMWRmZmUzNzE0ZmNjOWFhMGNkYjc3ZDg4NjgifQ==</vt:lpwstr>
  </property>
</Properties>
</file>