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eastAsia="zh-CN"/>
        </w:rPr>
      </w:pPr>
      <w:r>
        <w:rPr>
          <w:rFonts w:hint="eastAsia" w:ascii="黑体" w:hAnsi="黑体" w:eastAsia="黑体" w:cs="黑体"/>
          <w:b w:val="0"/>
          <w:bCs w:val="0"/>
          <w:kern w:val="0"/>
          <w:sz w:val="32"/>
          <w:szCs w:val="32"/>
          <w:lang w:val="en-US" w:eastAsia="zh-CN"/>
        </w:rPr>
        <w:t>附件2：《项目服务标准及要求》</w:t>
      </w:r>
    </w:p>
    <w:p>
      <w:pPr>
        <w:keepNext w:val="0"/>
        <w:keepLines w:val="0"/>
        <w:pageBreakBefore w:val="0"/>
        <w:widowControl/>
        <w:kinsoku/>
        <w:wordWrap/>
        <w:overflowPunct/>
        <w:topLinePunct w:val="0"/>
        <w:autoSpaceDE/>
        <w:autoSpaceDN/>
        <w:bidi w:val="0"/>
        <w:adjustRightInd/>
        <w:snapToGrid/>
        <w:spacing w:before="312" w:beforeLines="100" w:after="312" w:afterLines="100" w:line="580" w:lineRule="exact"/>
        <w:ind w:firstLine="0" w:firstLineChars="0"/>
        <w:jc w:val="center"/>
        <w:textAlignment w:val="auto"/>
        <w:outlineLvl w:val="0"/>
        <w:rPr>
          <w:rFonts w:hint="eastAsia" w:ascii="方正小标宋_GBK" w:hAnsi="方正小标宋_GBK" w:eastAsia="方正小标宋_GBK" w:cs="方正小标宋_GBK"/>
          <w:sz w:val="44"/>
          <w:szCs w:val="44"/>
          <w:lang w:val="en-GB"/>
        </w:rPr>
      </w:pPr>
      <w:r>
        <w:rPr>
          <w:rFonts w:hint="eastAsia" w:ascii="方正小标宋_GBK" w:hAnsi="方正小标宋_GBK" w:eastAsia="方正小标宋_GBK" w:cs="方正小标宋_GBK"/>
          <w:sz w:val="44"/>
          <w:szCs w:val="44"/>
          <w:lang w:eastAsia="zh-CN"/>
        </w:rPr>
        <w:t>项目服务标准及要求</w:t>
      </w:r>
      <w:bookmarkStart w:id="0" w:name="_Toc12337"/>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黑体" w:hAnsi="黑体" w:eastAsia="黑体" w:cs="黑体"/>
          <w:b w:val="0"/>
          <w:bCs/>
          <w:kern w:val="0"/>
          <w:sz w:val="32"/>
          <w:szCs w:val="32"/>
          <w:lang w:val="en-GB"/>
        </w:rPr>
      </w:pPr>
      <w:r>
        <w:rPr>
          <w:rFonts w:hint="eastAsia" w:ascii="黑体" w:hAnsi="黑体" w:eastAsia="黑体" w:cs="黑体"/>
          <w:b w:val="0"/>
          <w:bCs/>
          <w:kern w:val="0"/>
          <w:sz w:val="32"/>
          <w:szCs w:val="32"/>
          <w:lang w:val="en-GB"/>
        </w:rPr>
        <w:t>一、项目简介</w:t>
      </w:r>
      <w:bookmarkEnd w:id="0"/>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楷体_GB2312" w:hAnsi="楷体_GB2312" w:eastAsia="楷体_GB2312" w:cs="楷体_GB2312"/>
          <w:b w:val="0"/>
          <w:bCs w:val="0"/>
          <w:kern w:val="0"/>
          <w:sz w:val="32"/>
          <w:szCs w:val="32"/>
          <w:lang w:val="en-US" w:eastAsia="zh-CN"/>
        </w:rPr>
      </w:pPr>
      <w:bookmarkStart w:id="1" w:name="_Toc20877"/>
      <w:r>
        <w:rPr>
          <w:rFonts w:hint="eastAsia" w:ascii="楷体_GB2312" w:hAnsi="楷体_GB2312" w:eastAsia="楷体_GB2312" w:cs="楷体_GB2312"/>
          <w:b w:val="0"/>
          <w:bCs w:val="0"/>
          <w:kern w:val="0"/>
          <w:sz w:val="32"/>
          <w:szCs w:val="32"/>
          <w:lang w:val="en-US" w:eastAsia="zh-CN"/>
        </w:rPr>
        <w:t>（一）项目服务内容</w:t>
      </w:r>
      <w:bookmarkEnd w:id="1"/>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为提高</w:t>
      </w:r>
      <w:r>
        <w:rPr>
          <w:rFonts w:hint="eastAsia" w:ascii="仿宋_GB2312" w:hAnsi="仿宋_GB2312" w:eastAsia="仿宋_GB2312" w:cs="仿宋_GB2312"/>
          <w:sz w:val="32"/>
          <w:szCs w:val="32"/>
          <w:lang w:val="en-US" w:eastAsia="zh-CN"/>
        </w:rPr>
        <w:t>会计档案资料管理成效</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提升会计基础工作管理和</w:t>
      </w:r>
      <w:r>
        <w:rPr>
          <w:rFonts w:hint="eastAsia" w:ascii="仿宋_GB2312" w:hAnsi="仿宋_GB2312" w:eastAsia="仿宋_GB2312" w:cs="仿宋_GB2312"/>
          <w:sz w:val="32"/>
          <w:szCs w:val="32"/>
        </w:rPr>
        <w:t>档案管理要求，现需</w:t>
      </w:r>
      <w:r>
        <w:rPr>
          <w:rFonts w:hint="eastAsia" w:ascii="仿宋_GB2312" w:hAnsi="仿宋_GB2312" w:eastAsia="仿宋_GB2312" w:cs="仿宋_GB2312"/>
          <w:sz w:val="32"/>
          <w:szCs w:val="32"/>
          <w:lang w:val="en-US" w:eastAsia="zh-CN"/>
        </w:rPr>
        <w:t>招标中标单位对建设分公司</w:t>
      </w:r>
      <w:r>
        <w:rPr>
          <w:rFonts w:hint="eastAsia" w:ascii="仿宋_GB2312" w:hAnsi="仿宋_GB2312" w:eastAsia="仿宋_GB2312" w:cs="仿宋_GB2312"/>
          <w:sz w:val="32"/>
          <w:szCs w:val="32"/>
          <w:lang w:eastAsia="zh-CN"/>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-202</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lang w:eastAsia="zh-CN"/>
        </w:rPr>
        <w:t>年</w:t>
      </w:r>
      <w:r>
        <w:rPr>
          <w:rFonts w:hint="eastAsia" w:ascii="仿宋_GB2312" w:hAnsi="仿宋_GB2312" w:eastAsia="仿宋_GB2312" w:cs="仿宋_GB2312"/>
          <w:sz w:val="32"/>
          <w:szCs w:val="32"/>
          <w:lang w:val="en-US" w:eastAsia="zh-CN"/>
        </w:rPr>
        <w:t>产生的</w:t>
      </w:r>
      <w:r>
        <w:rPr>
          <w:rFonts w:hint="eastAsia" w:ascii="仿宋_GB2312" w:hAnsi="仿宋_GB2312" w:eastAsia="仿宋_GB2312" w:cs="仿宋_GB2312"/>
          <w:sz w:val="32"/>
          <w:szCs w:val="32"/>
          <w:lang w:eastAsia="zh-CN"/>
        </w:rPr>
        <w:t>会计档案资料</w:t>
      </w:r>
      <w:r>
        <w:rPr>
          <w:rFonts w:hint="eastAsia" w:ascii="仿宋_GB2312" w:hAnsi="仿宋_GB2312" w:eastAsia="仿宋_GB2312" w:cs="仿宋_GB2312"/>
          <w:sz w:val="32"/>
          <w:szCs w:val="32"/>
          <w:lang w:val="en-US" w:eastAsia="zh-CN"/>
        </w:rPr>
        <w:t>进行整理、核对、分类、打印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匹配、查缺</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排序、</w:t>
      </w:r>
      <w:r>
        <w:rPr>
          <w:rFonts w:hint="eastAsia" w:ascii="仿宋_GB2312" w:hAnsi="仿宋_GB2312" w:eastAsia="仿宋_GB2312" w:cs="仿宋_GB2312"/>
          <w:sz w:val="32"/>
          <w:szCs w:val="32"/>
        </w:rPr>
        <w:t>装订、编页、编目、组件（卷）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装盒、制作档案封面、目录、备考表、档案盒脊背，并在档案管理系统著录档案信息上架等服务</w:t>
      </w:r>
      <w:r>
        <w:rPr>
          <w:rFonts w:hint="eastAsia" w:ascii="仿宋_GB2312" w:hAnsi="仿宋_GB2312" w:eastAsia="仿宋_GB2312" w:cs="仿宋_GB2312"/>
          <w:sz w:val="32"/>
          <w:szCs w:val="32"/>
          <w:lang w:eastAsia="zh-CN"/>
        </w:rPr>
        <w:t>，协助开展会计基础、财务档案管理等会计基础工作</w:t>
      </w:r>
      <w:r>
        <w:rPr>
          <w:rFonts w:hint="eastAsia" w:ascii="仿宋_GB2312" w:hAnsi="仿宋_GB2312" w:eastAsia="仿宋_GB2312" w:cs="仿宋_GB2312"/>
          <w:sz w:val="32"/>
          <w:szCs w:val="32"/>
        </w:rPr>
        <w:t>。</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会计档案资料主要有：会计核算中形成的会计凭证（包括但不限于原始凭证、记账凭证、汇总凭证及其他会计凭证）、会计账簿（包括但不限于总账、明细账、日记账、固定资产卡片、辅助账簿及其他会计账簿）、财务报告(包括但不限于月度、季度、年度财务报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会计报表、附表、附注及编报说明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各类</w:t>
      </w:r>
      <w:r>
        <w:rPr>
          <w:rFonts w:hint="eastAsia" w:ascii="仿宋_GB2312" w:hAnsi="仿宋_GB2312" w:eastAsia="仿宋_GB2312" w:cs="仿宋_GB2312"/>
          <w:sz w:val="32"/>
          <w:szCs w:val="32"/>
        </w:rPr>
        <w:t>预、决算报表、审计报告以及资产评估报告等其他财务报告会计报表、附注和有关说明等)及其他与会计核算相关的资料（包括但不限于银行存款余额调节表、银行对账单、会计档案移交清册,以及与财务有关的合同和文件等其他会计资料）。</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rPr>
      </w:pPr>
      <w:bookmarkStart w:id="2" w:name="_Toc30326"/>
      <w:r>
        <w:rPr>
          <w:rFonts w:hint="eastAsia" w:ascii="仿宋_GB2312" w:hAnsi="仿宋_GB2312" w:eastAsia="仿宋_GB2312" w:cs="仿宋_GB2312"/>
          <w:sz w:val="32"/>
          <w:szCs w:val="32"/>
        </w:rPr>
        <w:t>（二）项目服务范围</w:t>
      </w:r>
      <w:bookmarkEnd w:id="2"/>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项目的服务范围如下表所示：</w:t>
      </w:r>
    </w:p>
    <w:p>
      <w:pPr>
        <w:keepNext w:val="0"/>
        <w:keepLines w:val="0"/>
        <w:pageBreakBefore w:val="0"/>
        <w:widowControl w:val="0"/>
        <w:kinsoku/>
        <w:wordWrap/>
        <w:overflowPunct/>
        <w:topLinePunct w:val="0"/>
        <w:autoSpaceDE/>
        <w:autoSpaceDN/>
        <w:bidi w:val="0"/>
        <w:adjustRightInd/>
        <w:snapToGrid/>
        <w:spacing w:line="560" w:lineRule="exact"/>
        <w:jc w:val="center"/>
        <w:outlineLvl w:val="9"/>
        <w:rPr>
          <w:rFonts w:ascii="宋体" w:hAnsi="宋体" w:eastAsia="宋体" w:cs="宋体"/>
          <w:b/>
          <w:bCs/>
          <w:sz w:val="28"/>
          <w:szCs w:val="28"/>
        </w:rPr>
      </w:pPr>
      <w:bookmarkStart w:id="3" w:name="_Toc6753"/>
      <w:r>
        <w:rPr>
          <w:rFonts w:hint="eastAsia" w:ascii="宋体" w:hAnsi="宋体" w:eastAsia="宋体" w:cs="宋体"/>
          <w:b/>
          <w:bCs/>
          <w:sz w:val="28"/>
          <w:szCs w:val="28"/>
        </w:rPr>
        <w:t>表：项目服务范围</w:t>
      </w:r>
      <w:bookmarkEnd w:id="3"/>
    </w:p>
    <w:tbl>
      <w:tblPr>
        <w:tblStyle w:val="10"/>
        <w:tblW w:w="8265"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3037"/>
        <w:gridCol w:w="4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68" w:type="dxa"/>
            <w:vAlign w:val="center"/>
          </w:tcPr>
          <w:p>
            <w:pPr>
              <w:keepNext w:val="0"/>
              <w:keepLines w:val="0"/>
              <w:pageBreakBefore w:val="0"/>
              <w:widowControl w:val="0"/>
              <w:kinsoku/>
              <w:wordWrap/>
              <w:overflowPunct/>
              <w:topLinePunct w:val="0"/>
              <w:autoSpaceDE/>
              <w:autoSpaceDN/>
              <w:bidi w:val="0"/>
              <w:adjustRightInd/>
              <w:snapToGrid/>
              <w:jc w:val="center"/>
              <w:rPr>
                <w:rFonts w:ascii="宋体" w:hAnsi="宋体" w:eastAsia="宋体" w:cs="宋体"/>
                <w:b/>
                <w:bCs/>
                <w:sz w:val="24"/>
              </w:rPr>
            </w:pPr>
            <w:r>
              <w:rPr>
                <w:rFonts w:hint="eastAsia" w:ascii="宋体" w:hAnsi="宋体" w:eastAsia="宋体" w:cs="宋体"/>
                <w:b/>
                <w:bCs/>
                <w:sz w:val="24"/>
              </w:rPr>
              <w:t>序号</w:t>
            </w:r>
          </w:p>
        </w:tc>
        <w:tc>
          <w:tcPr>
            <w:tcW w:w="3037" w:type="dxa"/>
            <w:vAlign w:val="center"/>
          </w:tcPr>
          <w:p>
            <w:pPr>
              <w:keepNext w:val="0"/>
              <w:keepLines w:val="0"/>
              <w:pageBreakBefore w:val="0"/>
              <w:widowControl w:val="0"/>
              <w:kinsoku/>
              <w:wordWrap/>
              <w:overflowPunct/>
              <w:topLinePunct w:val="0"/>
              <w:autoSpaceDE/>
              <w:autoSpaceDN/>
              <w:bidi w:val="0"/>
              <w:adjustRightInd/>
              <w:snapToGrid/>
              <w:jc w:val="center"/>
              <w:rPr>
                <w:rFonts w:ascii="宋体" w:hAnsi="宋体" w:eastAsia="宋体" w:cs="宋体"/>
                <w:b/>
                <w:bCs/>
                <w:sz w:val="24"/>
              </w:rPr>
            </w:pPr>
            <w:r>
              <w:rPr>
                <w:rFonts w:hint="eastAsia" w:ascii="宋体" w:hAnsi="宋体" w:eastAsia="宋体" w:cs="宋体"/>
                <w:b/>
                <w:bCs/>
                <w:sz w:val="24"/>
              </w:rPr>
              <w:t>服务点</w:t>
            </w:r>
          </w:p>
        </w:tc>
        <w:tc>
          <w:tcPr>
            <w:tcW w:w="4460" w:type="dxa"/>
            <w:vAlign w:val="center"/>
          </w:tcPr>
          <w:p>
            <w:pPr>
              <w:keepNext w:val="0"/>
              <w:keepLines w:val="0"/>
              <w:pageBreakBefore w:val="0"/>
              <w:widowControl w:val="0"/>
              <w:kinsoku/>
              <w:wordWrap/>
              <w:overflowPunct/>
              <w:topLinePunct w:val="0"/>
              <w:autoSpaceDE/>
              <w:autoSpaceDN/>
              <w:bidi w:val="0"/>
              <w:adjustRightInd/>
              <w:snapToGrid/>
              <w:jc w:val="center"/>
              <w:rPr>
                <w:rFonts w:ascii="宋体" w:hAnsi="宋体" w:eastAsia="宋体" w:cs="宋体"/>
                <w:b/>
                <w:bCs/>
                <w:sz w:val="24"/>
              </w:rPr>
            </w:pPr>
            <w:r>
              <w:rPr>
                <w:rFonts w:hint="eastAsia" w:ascii="宋体" w:hAnsi="宋体" w:eastAsia="宋体" w:cs="宋体"/>
                <w:b/>
                <w:bCs/>
                <w:sz w:val="24"/>
              </w:rPr>
              <w:t>详细地址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768" w:type="dxa"/>
            <w:vAlign w:val="center"/>
          </w:tcPr>
          <w:p>
            <w:pPr>
              <w:keepNext w:val="0"/>
              <w:keepLines w:val="0"/>
              <w:pageBreakBefore w:val="0"/>
              <w:widowControl w:val="0"/>
              <w:kinsoku/>
              <w:wordWrap/>
              <w:overflowPunct/>
              <w:topLinePunct w:val="0"/>
              <w:autoSpaceDE/>
              <w:autoSpaceDN/>
              <w:bidi w:val="0"/>
              <w:adjustRightInd/>
              <w:snapToGrid/>
              <w:jc w:val="center"/>
              <w:rPr>
                <w:rFonts w:ascii="宋体" w:hAnsi="宋体" w:eastAsia="宋体" w:cs="宋体"/>
                <w:sz w:val="28"/>
                <w:szCs w:val="28"/>
              </w:rPr>
            </w:pPr>
            <w:r>
              <w:rPr>
                <w:rFonts w:hint="eastAsia" w:ascii="宋体" w:hAnsi="宋体" w:eastAsia="宋体" w:cs="宋体"/>
                <w:sz w:val="28"/>
                <w:szCs w:val="28"/>
              </w:rPr>
              <w:t>1</w:t>
            </w:r>
          </w:p>
        </w:tc>
        <w:tc>
          <w:tcPr>
            <w:tcW w:w="3037" w:type="dxa"/>
            <w:vAlign w:val="center"/>
          </w:tcPr>
          <w:p>
            <w:pPr>
              <w:keepNext w:val="0"/>
              <w:keepLines w:val="0"/>
              <w:pageBreakBefore w:val="0"/>
              <w:widowControl w:val="0"/>
              <w:kinsoku/>
              <w:wordWrap/>
              <w:overflowPunct/>
              <w:topLinePunct w:val="0"/>
              <w:autoSpaceDE/>
              <w:autoSpaceDN/>
              <w:bidi w:val="0"/>
              <w:adjustRightInd/>
              <w:snapToGrid/>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建设分公司</w:t>
            </w:r>
          </w:p>
        </w:tc>
        <w:tc>
          <w:tcPr>
            <w:tcW w:w="4460" w:type="dxa"/>
            <w:vAlign w:val="center"/>
          </w:tcPr>
          <w:p>
            <w:pPr>
              <w:keepNext w:val="0"/>
              <w:keepLines w:val="0"/>
              <w:pageBreakBefore w:val="0"/>
              <w:widowControl w:val="0"/>
              <w:kinsoku/>
              <w:wordWrap/>
              <w:overflowPunct/>
              <w:topLinePunct w:val="0"/>
              <w:autoSpaceDE/>
              <w:autoSpaceDN/>
              <w:bidi w:val="0"/>
              <w:adjustRightInd/>
              <w:snapToGrid/>
              <w:jc w:val="center"/>
              <w:rPr>
                <w:rFonts w:hint="default" w:ascii="宋体" w:hAnsi="宋体" w:eastAsia="宋体" w:cs="宋体"/>
                <w:sz w:val="28"/>
                <w:szCs w:val="28"/>
                <w:lang w:val="en-US" w:eastAsia="zh-CN"/>
              </w:rPr>
            </w:pPr>
            <w:r>
              <w:rPr>
                <w:rFonts w:hint="eastAsia" w:ascii="宋体" w:hAnsi="宋体" w:eastAsia="宋体" w:cs="宋体"/>
                <w:sz w:val="28"/>
                <w:szCs w:val="28"/>
                <w:lang w:eastAsia="zh-CN"/>
              </w:rPr>
              <w:t>广西南宁市民主路</w:t>
            </w:r>
            <w:r>
              <w:rPr>
                <w:rFonts w:hint="eastAsia" w:ascii="宋体" w:hAnsi="宋体" w:eastAsia="宋体" w:cs="宋体"/>
                <w:sz w:val="28"/>
                <w:szCs w:val="28"/>
                <w:lang w:val="en-US" w:eastAsia="zh-CN"/>
              </w:rPr>
              <w:t>7号C座</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rPr>
          <w:rFonts w:hint="eastAsia"/>
          <w:sz w:val="28"/>
          <w:szCs w:val="28"/>
        </w:rPr>
      </w:pPr>
      <w:r>
        <w:rPr>
          <w:rFonts w:hint="eastAsia"/>
          <w:sz w:val="28"/>
          <w:szCs w:val="28"/>
        </w:rPr>
        <w:t>注：提供的服务范围根据采购方的实际需求确定。</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（三）服务期限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本合同服务期限为合同</w:t>
      </w:r>
      <w:r>
        <w:rPr>
          <w:rFonts w:hint="eastAsia" w:ascii="宋体" w:hAnsi="宋体" w:eastAsia="宋体" w:cs="宋体"/>
          <w:sz w:val="28"/>
          <w:szCs w:val="28"/>
          <w:lang w:val="en-US" w:eastAsia="zh-CN"/>
        </w:rPr>
        <w:t>约定</w:t>
      </w:r>
      <w:r>
        <w:rPr>
          <w:rFonts w:hint="eastAsia" w:ascii="宋体" w:hAnsi="宋体" w:eastAsia="宋体" w:cs="宋体"/>
          <w:sz w:val="28"/>
          <w:szCs w:val="28"/>
        </w:rPr>
        <w:t>日起</w:t>
      </w:r>
      <w:r>
        <w:rPr>
          <w:rFonts w:hint="eastAsia" w:ascii="宋体" w:hAnsi="宋体" w:eastAsia="宋体" w:cs="宋体"/>
          <w:sz w:val="28"/>
          <w:szCs w:val="28"/>
          <w:lang w:val="en-US" w:eastAsia="zh-CN"/>
        </w:rPr>
        <w:t>12</w:t>
      </w:r>
      <w:r>
        <w:rPr>
          <w:rFonts w:hint="eastAsia" w:ascii="宋体" w:hAnsi="宋体" w:eastAsia="宋体" w:cs="宋体"/>
          <w:sz w:val="28"/>
          <w:szCs w:val="28"/>
        </w:rPr>
        <w:t>个</w:t>
      </w:r>
      <w:r>
        <w:rPr>
          <w:rFonts w:hint="eastAsia" w:ascii="宋体" w:hAnsi="宋体" w:eastAsia="宋体" w:cs="宋体"/>
          <w:sz w:val="28"/>
          <w:szCs w:val="28"/>
          <w:lang w:val="en-US" w:eastAsia="zh-CN"/>
        </w:rPr>
        <w:t>自然</w:t>
      </w:r>
      <w:r>
        <w:rPr>
          <w:rFonts w:hint="eastAsia" w:ascii="宋体" w:hAnsi="宋体" w:eastAsia="宋体" w:cs="宋体"/>
          <w:sz w:val="28"/>
          <w:szCs w:val="28"/>
        </w:rPr>
        <w:t>月</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bidi w:val="0"/>
        <w:snapToGrid/>
        <w:spacing w:line="580" w:lineRule="exact"/>
        <w:ind w:firstLine="640" w:firstLineChars="200"/>
        <w:textAlignment w:val="auto"/>
        <w:rPr>
          <w:rFonts w:hint="eastAsia" w:ascii="黑体" w:hAnsi="黑体" w:eastAsia="黑体" w:cs="黑体"/>
          <w:b w:val="0"/>
          <w:bCs/>
          <w:kern w:val="0"/>
          <w:sz w:val="32"/>
          <w:szCs w:val="32"/>
          <w:lang w:eastAsia="zh-CN"/>
        </w:rPr>
      </w:pPr>
      <w:bookmarkStart w:id="4" w:name="_Toc19762"/>
      <w:r>
        <w:rPr>
          <w:rFonts w:hint="eastAsia" w:ascii="黑体" w:hAnsi="黑体" w:eastAsia="黑体" w:cs="黑体"/>
          <w:b w:val="0"/>
          <w:bCs/>
          <w:kern w:val="0"/>
          <w:sz w:val="32"/>
          <w:szCs w:val="32"/>
          <w:lang w:eastAsia="zh-CN"/>
        </w:rPr>
        <w:t>二、项目服务标准及要求</w:t>
      </w:r>
      <w:bookmarkEnd w:id="4"/>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一）中标单位须持有工商管理部门核发的有效营业执照，业务范围包括档案整理、档案加工服务、档案数据处理服务等档案行业相关或档案外包服务项目，承诺所提供的单位、人员资质证明文件材料齐全完整、真实有效。中标单位须持有合法有效的会计师事务所执业证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二）中标单位需指派1-2名专业人员到采购方指定地点开展工作，专业人员应遵纪守法，品行端正，有良好的职业素养，有履行岗位职责所需的专业知识和业务能力，具有较强的沟通协调及服务能力，同时应具备大专或以上会计相关专业学历，具备会计类初级职称或以上专业技术资格或1年以上财务工作经验，能准确理解采购方的要求，按照采购方的要求提供相应服务，并在采购方规定时间内完成工作。参加本项目的人员变动必须取得采购方书面同意。若采购方认为团队成员不能满足采购方工作需求，应按采购方要求及时更换。采购方保留拒绝中标单位指派人员变更要求的权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outlineLvl w:val="9"/>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（三）中标单位须与采购方签订《保密协议》，承担永久性保密义务，保密义务在双方合作期间以及合作结束后均为有效。中标单位项目服务团队人员应遵守采购方场地管理、设备使用等方面的制</w:t>
      </w:r>
      <w:bookmarkStart w:id="11" w:name="_GoBack"/>
      <w:bookmarkEnd w:id="11"/>
      <w:r>
        <w:rPr>
          <w:rFonts w:hint="eastAsia" w:ascii="仿宋_GB2312" w:hAnsi="仿宋_GB2312" w:eastAsia="仿宋_GB2312" w:cs="仿宋_GB2312"/>
          <w:bCs/>
          <w:sz w:val="32"/>
          <w:szCs w:val="32"/>
          <w:lang w:val="en-US" w:eastAsia="zh-CN"/>
        </w:rPr>
        <w:t>度和规定。中标单位承诺保障采购方信息的安全性。因中标单位原因造成采购方敏感信息泄露或发生有责任的网络安全事件时，采购方有权随时终止本合同并要求成交人赔偿因此给采购方造成的全部损失。中标单位人员不得在项目实施期间利用采购方网络资源或相关业务平台从事危害国家安全等违法犯罪活动，不得利用采购方网络资源或相关业务平台制作、查阅、复制和传播违反宪法和法律、妨碍社会治安、破坏国家统一、破坏民族团结、色情、暴力等信息。若由于中标单位的离职人员导致采购方敏感信息泄露或发生网络安全事件的，由中标单位全责承担，赔偿采购方因此遭受的损失。</w:t>
      </w:r>
    </w:p>
    <w:p>
      <w:pPr>
        <w:keepNext w:val="0"/>
        <w:keepLines w:val="0"/>
        <w:pageBreakBefore w:val="0"/>
        <w:kinsoku/>
        <w:wordWrap/>
        <w:overflowPunct/>
        <w:topLinePunct w:val="0"/>
        <w:bidi w:val="0"/>
        <w:spacing w:line="580" w:lineRule="exact"/>
        <w:ind w:left="0" w:leftChars="0" w:right="0" w:rightChars="0" w:firstLine="640" w:firstLineChars="200"/>
        <w:jc w:val="left"/>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四）项目自合同签订之日起中标单位应做好工作过程记录，做好分类台账登记，提供各类档案整理清单，与财务系统及实物档案相匹配，编制整理会计档案完成情况清单，经甲乙双方对照会计档案清单事项逐项进行验收，双方确认验收通过后结算。</w:t>
      </w:r>
    </w:p>
    <w:p>
      <w:pPr>
        <w:keepNext w:val="0"/>
        <w:keepLines w:val="0"/>
        <w:pageBreakBefore w:val="0"/>
        <w:kinsoku/>
        <w:wordWrap/>
        <w:overflowPunct/>
        <w:topLinePunct w:val="0"/>
        <w:bidi w:val="0"/>
        <w:spacing w:line="580" w:lineRule="exact"/>
        <w:ind w:left="0" w:leftChars="0" w:right="0" w:rightChars="0" w:firstLine="640" w:firstLineChars="200"/>
        <w:jc w:val="left"/>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五）会计档案整理工作内容,包含各种前述会计档案资料的核对、分类、匹配、查缺、排序、打印、装订、组卷、适时归档等相关工作，对于有缺漏的会计档案资料应及时做好登记并通知采购方补充完善，最终整理形成完整会计档案资料。</w:t>
      </w:r>
    </w:p>
    <w:p>
      <w:pPr>
        <w:keepNext w:val="0"/>
        <w:keepLines w:val="0"/>
        <w:pageBreakBefore w:val="0"/>
        <w:kinsoku/>
        <w:wordWrap/>
        <w:overflowPunct/>
        <w:topLinePunct w:val="0"/>
        <w:bidi w:val="0"/>
        <w:spacing w:line="580" w:lineRule="exact"/>
        <w:ind w:left="0" w:leftChars="0" w:right="0" w:rightChars="0" w:firstLine="640" w:firstLineChars="200"/>
        <w:jc w:val="left"/>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（六）会计档案资料整理服务质量要求</w:t>
      </w:r>
      <w:r>
        <w:rPr>
          <w:rFonts w:hint="eastAsia" w:ascii="仿宋_GB2312" w:hAnsi="仿宋_GB2312" w:eastAsia="仿宋_GB2312" w:cs="仿宋_GB2312"/>
          <w:b w:val="0"/>
          <w:bCs w:val="0"/>
          <w:sz w:val="32"/>
          <w:szCs w:val="32"/>
          <w:highlight w:val="none"/>
        </w:rPr>
        <w:t>准确率要达到100%</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即档案</w:t>
      </w:r>
      <w:r>
        <w:rPr>
          <w:rFonts w:hint="eastAsia" w:ascii="仿宋_GB2312" w:hAnsi="仿宋_GB2312" w:eastAsia="仿宋_GB2312" w:cs="仿宋_GB2312"/>
          <w:b w:val="0"/>
          <w:bCs w:val="0"/>
          <w:sz w:val="32"/>
          <w:szCs w:val="32"/>
          <w:highlight w:val="none"/>
        </w:rPr>
        <w:t>顺序准确</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资料</w:t>
      </w:r>
      <w:r>
        <w:rPr>
          <w:rFonts w:hint="eastAsia" w:ascii="仿宋_GB2312" w:hAnsi="仿宋_GB2312" w:eastAsia="仿宋_GB2312" w:cs="仿宋_GB2312"/>
          <w:b w:val="0"/>
          <w:bCs w:val="0"/>
          <w:sz w:val="32"/>
          <w:szCs w:val="32"/>
          <w:highlight w:val="none"/>
        </w:rPr>
        <w:t>匹配准确</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资料分类准确、著录规范准确、财务数据与实体档案对应一致准确、档案编号合理准确。</w:t>
      </w:r>
    </w:p>
    <w:p>
      <w:pPr>
        <w:keepNext w:val="0"/>
        <w:keepLines w:val="0"/>
        <w:pageBreakBefore w:val="0"/>
        <w:kinsoku/>
        <w:wordWrap/>
        <w:overflowPunct/>
        <w:topLinePunct w:val="0"/>
        <w:bidi w:val="0"/>
        <w:spacing w:line="580" w:lineRule="exact"/>
        <w:ind w:left="0" w:leftChars="0" w:right="0" w:rightChars="0" w:firstLine="640" w:firstLineChars="200"/>
        <w:jc w:val="left"/>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（七）中标单位应24 小时（含法定节假日）指派负责人对委托人工作中存在的问题进行电话、邮件等沟通解答；如项目情况复杂将及时安排相关负责人到达现场，如遇紧急事项，服务商应加派人手。</w:t>
      </w:r>
    </w:p>
    <w:p>
      <w:pPr>
        <w:keepNext w:val="0"/>
        <w:keepLines w:val="0"/>
        <w:pageBreakBefore w:val="0"/>
        <w:widowControl w:val="0"/>
        <w:numPr>
          <w:ilvl w:val="0"/>
          <w:numId w:val="0"/>
        </w:numPr>
        <w:kinsoku/>
        <w:wordWrap/>
        <w:overflowPunct/>
        <w:topLinePunct w:val="0"/>
        <w:bidi w:val="0"/>
        <w:snapToGrid/>
        <w:spacing w:line="580" w:lineRule="exact"/>
        <w:ind w:firstLine="640" w:firstLineChars="200"/>
        <w:textAlignment w:val="auto"/>
        <w:rPr>
          <w:rFonts w:hint="eastAsia" w:ascii="黑体" w:hAnsi="黑体" w:eastAsia="黑体" w:cs="黑体"/>
          <w:b w:val="0"/>
          <w:bCs/>
          <w:kern w:val="0"/>
          <w:sz w:val="32"/>
          <w:szCs w:val="32"/>
          <w:lang w:eastAsia="zh-CN"/>
        </w:rPr>
      </w:pPr>
      <w:bookmarkStart w:id="5" w:name="_Toc2681"/>
      <w:r>
        <w:rPr>
          <w:rFonts w:hint="eastAsia" w:ascii="黑体" w:hAnsi="黑体" w:eastAsia="黑体" w:cs="黑体"/>
          <w:b w:val="0"/>
          <w:bCs/>
          <w:kern w:val="0"/>
          <w:sz w:val="32"/>
          <w:szCs w:val="32"/>
          <w:lang w:val="en-US" w:eastAsia="zh-CN"/>
        </w:rPr>
        <w:t>三、</w:t>
      </w:r>
      <w:r>
        <w:rPr>
          <w:rFonts w:hint="eastAsia" w:ascii="黑体" w:hAnsi="黑体" w:eastAsia="黑体" w:cs="黑体"/>
          <w:b w:val="0"/>
          <w:bCs/>
          <w:kern w:val="0"/>
          <w:sz w:val="32"/>
          <w:szCs w:val="32"/>
          <w:lang w:eastAsia="zh-CN"/>
        </w:rPr>
        <w:t>服务履约考核</w:t>
      </w:r>
      <w:bookmarkEnd w:id="5"/>
    </w:p>
    <w:p>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b w:val="0"/>
          <w:bCs/>
          <w:kern w:val="0"/>
          <w:sz w:val="32"/>
          <w:szCs w:val="32"/>
          <w:lang w:val="en-US" w:eastAsia="zh-CN"/>
        </w:rPr>
      </w:pPr>
      <w:r>
        <w:rPr>
          <w:rFonts w:hint="eastAsia" w:ascii="仿宋_GB2312" w:hAnsi="仿宋_GB2312" w:eastAsia="仿宋_GB2312" w:cs="仿宋_GB2312"/>
          <w:b w:val="0"/>
          <w:bCs/>
          <w:kern w:val="0"/>
          <w:sz w:val="32"/>
          <w:szCs w:val="32"/>
          <w:lang w:val="en-US" w:eastAsia="zh-CN"/>
        </w:rPr>
        <w:t>采购方定期对中标单位工作进行考核，考核结果作为对中标单位履约考核的评价。评价结果的应用按相关的中标单位管理办法执行。</w:t>
      </w:r>
    </w:p>
    <w:p>
      <w:pPr>
        <w:keepNext w:val="0"/>
        <w:keepLines w:val="0"/>
        <w:pageBreakBefore w:val="0"/>
        <w:widowControl w:val="0"/>
        <w:kinsoku/>
        <w:wordWrap/>
        <w:overflowPunct/>
        <w:topLinePunct w:val="0"/>
        <w:autoSpaceDE/>
        <w:autoSpaceDN/>
        <w:bidi w:val="0"/>
        <w:adjustRightInd/>
        <w:snapToGrid/>
        <w:spacing w:line="560" w:lineRule="exact"/>
        <w:jc w:val="center"/>
        <w:outlineLvl w:val="9"/>
        <w:rPr>
          <w:rFonts w:hint="eastAsia" w:ascii="宋体" w:hAnsi="宋体" w:eastAsia="宋体" w:cs="宋体"/>
          <w:b/>
          <w:bCs/>
          <w:color w:val="C00000"/>
          <w:sz w:val="28"/>
          <w:szCs w:val="28"/>
        </w:rPr>
      </w:pPr>
      <w:r>
        <w:rPr>
          <w:rFonts w:hint="eastAsia"/>
          <w:b/>
          <w:bCs/>
          <w:sz w:val="28"/>
          <w:szCs w:val="28"/>
        </w:rPr>
        <w:t>表：服务履约考核标准</w:t>
      </w:r>
    </w:p>
    <w:tbl>
      <w:tblPr>
        <w:tblStyle w:val="9"/>
        <w:tblW w:w="8518"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5"/>
        <w:gridCol w:w="1829"/>
        <w:gridCol w:w="4420"/>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blHeader/>
        </w:trPr>
        <w:tc>
          <w:tcPr>
            <w:tcW w:w="1295" w:type="dxa"/>
            <w:vAlign w:val="center"/>
          </w:tcPr>
          <w:p>
            <w:pPr>
              <w:jc w:val="center"/>
              <w:rPr>
                <w:rFonts w:hint="eastAsia" w:ascii="仿宋_GB2312" w:hAnsi="仿宋_GB2312" w:eastAsia="仿宋_GB2312" w:cs="仿宋_GB2312"/>
                <w:b/>
                <w:bCs/>
                <w:sz w:val="24"/>
                <w:szCs w:val="24"/>
              </w:rPr>
            </w:pPr>
            <w:bookmarkStart w:id="6" w:name="_Toc11194"/>
            <w:r>
              <w:rPr>
                <w:rFonts w:hint="eastAsia" w:ascii="仿宋_GB2312" w:hAnsi="仿宋_GB2312" w:eastAsia="仿宋_GB2312" w:cs="仿宋_GB2312"/>
                <w:b/>
                <w:bCs/>
                <w:sz w:val="24"/>
                <w:szCs w:val="24"/>
              </w:rPr>
              <w:t>考核项目</w:t>
            </w:r>
          </w:p>
        </w:tc>
        <w:tc>
          <w:tcPr>
            <w:tcW w:w="1829" w:type="dxa"/>
            <w:vAlign w:val="center"/>
          </w:tcPr>
          <w:p>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考核内容</w:t>
            </w:r>
          </w:p>
        </w:tc>
        <w:tc>
          <w:tcPr>
            <w:tcW w:w="4420" w:type="dxa"/>
            <w:vAlign w:val="center"/>
          </w:tcPr>
          <w:p>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评分标准</w:t>
            </w:r>
          </w:p>
        </w:tc>
        <w:tc>
          <w:tcPr>
            <w:tcW w:w="974" w:type="dxa"/>
            <w:vAlign w:val="center"/>
          </w:tcPr>
          <w:p>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trPr>
        <w:tc>
          <w:tcPr>
            <w:tcW w:w="1295"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品质评价</w:t>
            </w:r>
          </w:p>
        </w:tc>
        <w:tc>
          <w:tcPr>
            <w:tcW w:w="1829"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品质水平</w:t>
            </w:r>
          </w:p>
        </w:tc>
        <w:tc>
          <w:tcPr>
            <w:tcW w:w="4420"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所提供会计基础</w:t>
            </w:r>
            <w:r>
              <w:rPr>
                <w:rFonts w:hint="eastAsia" w:ascii="仿宋" w:hAnsi="仿宋" w:eastAsia="仿宋" w:cs="仿宋"/>
                <w:sz w:val="24"/>
                <w:szCs w:val="24"/>
                <w:lang w:val="en-US" w:eastAsia="zh-CN"/>
              </w:rPr>
              <w:t>和档案整理服务</w:t>
            </w:r>
            <w:r>
              <w:rPr>
                <w:rFonts w:hint="eastAsia" w:ascii="仿宋" w:hAnsi="仿宋" w:eastAsia="仿宋" w:cs="仿宋"/>
                <w:sz w:val="24"/>
                <w:szCs w:val="24"/>
              </w:rPr>
              <w:t>不符合采购方的要求：扣5分/次。</w:t>
            </w:r>
          </w:p>
        </w:tc>
        <w:tc>
          <w:tcPr>
            <w:tcW w:w="974" w:type="dxa"/>
            <w:vAlign w:val="center"/>
          </w:tcPr>
          <w:p>
            <w:pPr>
              <w:jc w:val="center"/>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1295"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交期评价</w:t>
            </w:r>
          </w:p>
        </w:tc>
        <w:tc>
          <w:tcPr>
            <w:tcW w:w="1829"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提供服务的准时性</w:t>
            </w:r>
          </w:p>
        </w:tc>
        <w:tc>
          <w:tcPr>
            <w:tcW w:w="4420"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无正当理由，未按规定时间提供服务的延迟一天扣2分/次。</w:t>
            </w:r>
          </w:p>
        </w:tc>
        <w:tc>
          <w:tcPr>
            <w:tcW w:w="974" w:type="dxa"/>
            <w:vAlign w:val="center"/>
          </w:tcPr>
          <w:p>
            <w:pPr>
              <w:jc w:val="center"/>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1295"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服务评价</w:t>
            </w:r>
          </w:p>
        </w:tc>
        <w:tc>
          <w:tcPr>
            <w:tcW w:w="1829"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1.响应速度</w:t>
            </w:r>
          </w:p>
          <w:p>
            <w:pPr>
              <w:jc w:val="center"/>
              <w:rPr>
                <w:rFonts w:hint="eastAsia" w:ascii="仿宋" w:hAnsi="仿宋" w:eastAsia="仿宋" w:cs="仿宋"/>
                <w:sz w:val="24"/>
                <w:szCs w:val="24"/>
              </w:rPr>
            </w:pPr>
            <w:r>
              <w:rPr>
                <w:rFonts w:hint="eastAsia" w:ascii="仿宋" w:hAnsi="仿宋" w:eastAsia="仿宋" w:cs="仿宋"/>
                <w:sz w:val="24"/>
                <w:szCs w:val="24"/>
              </w:rPr>
              <w:t>2.服务态度</w:t>
            </w:r>
          </w:p>
        </w:tc>
        <w:tc>
          <w:tcPr>
            <w:tcW w:w="4420"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（1）服务响应速度慢，影响采购方的预期计划，扣2分/次；</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（2）服务态度差，采购商向服务商要求换人后，服务商及时更换，扣2分/次；</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（3）服务态度差，采购商向服务商要求换人后，服务商拖延更换，扣5分/次；</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（4）服务态度差，采购商向服务商要求换人后，服务商置之不理，扣10分/次。</w:t>
            </w:r>
          </w:p>
          <w:bookmarkEnd w:id="6"/>
        </w:tc>
        <w:tc>
          <w:tcPr>
            <w:tcW w:w="974" w:type="dxa"/>
            <w:vAlign w:val="center"/>
          </w:tcPr>
          <w:p>
            <w:pPr>
              <w:jc w:val="center"/>
              <w:rPr>
                <w:rFonts w:hint="eastAsia" w:ascii="仿宋" w:hAnsi="仿宋" w:eastAsia="仿宋" w:cs="仿宋"/>
                <w:sz w:val="28"/>
                <w:szCs w:val="28"/>
              </w:rPr>
            </w:pPr>
          </w:p>
        </w:tc>
      </w:tr>
    </w:tbl>
    <w:p>
      <w:pPr>
        <w:pStyle w:val="2"/>
      </w:pPr>
    </w:p>
    <w:p>
      <w:pPr>
        <w:keepNext/>
        <w:keepLines w:val="0"/>
        <w:pageBreakBefore w:val="0"/>
        <w:widowControl w:val="0"/>
        <w:kinsoku/>
        <w:wordWrap/>
        <w:overflowPunct/>
        <w:topLinePunct w:val="0"/>
        <w:autoSpaceDE/>
        <w:autoSpaceDN/>
        <w:bidi w:val="0"/>
        <w:adjustRightInd/>
        <w:snapToGrid/>
        <w:spacing w:line="560" w:lineRule="exact"/>
        <w:ind w:firstLine="562" w:firstLineChars="200"/>
        <w:outlineLvl w:val="0"/>
        <w:rPr>
          <w:rFonts w:hint="eastAsia"/>
          <w:b/>
          <w:bCs/>
          <w:sz w:val="28"/>
          <w:szCs w:val="28"/>
        </w:rPr>
      </w:pPr>
      <w:bookmarkStart w:id="7" w:name="_Toc2597"/>
      <w:bookmarkStart w:id="8" w:name="_Toc26193"/>
      <w:bookmarkStart w:id="9" w:name="_Toc4048"/>
      <w:bookmarkStart w:id="10" w:name="_Toc5074"/>
      <w:r>
        <w:rPr>
          <w:rFonts w:hint="eastAsia"/>
          <w:b/>
          <w:bCs/>
          <w:sz w:val="28"/>
          <w:szCs w:val="28"/>
        </w:rPr>
        <w:t>四、项目其他需要说明的事项</w:t>
      </w:r>
      <w:bookmarkEnd w:id="7"/>
      <w:bookmarkEnd w:id="8"/>
      <w:bookmarkEnd w:id="9"/>
      <w:bookmarkEnd w:id="10"/>
    </w:p>
    <w:p>
      <w:pPr>
        <w:pStyle w:val="8"/>
        <w:keepNext w:val="0"/>
        <w:keepLines w:val="0"/>
        <w:pageBreakBefore w:val="0"/>
        <w:widowControl w:val="0"/>
        <w:kinsoku/>
        <w:wordWrap/>
        <w:overflowPunct/>
        <w:topLinePunct w:val="0"/>
        <w:bidi w:val="0"/>
        <w:snapToGrid/>
        <w:spacing w:line="58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.中标单位</w:t>
      </w:r>
      <w:r>
        <w:rPr>
          <w:rFonts w:hint="eastAsia" w:ascii="仿宋_GB2312" w:hAnsi="仿宋_GB2312" w:eastAsia="仿宋_GB2312" w:cs="仿宋_GB2312"/>
          <w:sz w:val="32"/>
          <w:szCs w:val="32"/>
        </w:rPr>
        <w:t>人员食宿自理。</w:t>
      </w:r>
    </w:p>
    <w:p>
      <w:pPr>
        <w:pStyle w:val="8"/>
        <w:keepNext w:val="0"/>
        <w:keepLines w:val="0"/>
        <w:pageBreakBefore w:val="0"/>
        <w:widowControl w:val="0"/>
        <w:kinsoku/>
        <w:wordWrap/>
        <w:overflowPunct/>
        <w:topLinePunct w:val="0"/>
        <w:bidi w:val="0"/>
        <w:snapToGrid/>
        <w:spacing w:line="58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2.采购方提供本项目整理服务所需的档案整理工具、用品及耗材，中标单位人员需规范操作、合理使用</w:t>
      </w:r>
    </w:p>
    <w:p>
      <w:pPr>
        <w:pStyle w:val="8"/>
        <w:keepNext w:val="0"/>
        <w:keepLines w:val="0"/>
        <w:pageBreakBefore w:val="0"/>
        <w:widowControl w:val="0"/>
        <w:kinsoku/>
        <w:wordWrap/>
        <w:overflowPunct/>
        <w:topLinePunct w:val="0"/>
        <w:bidi w:val="0"/>
        <w:snapToGrid/>
        <w:spacing w:line="580" w:lineRule="exact"/>
        <w:ind w:firstLine="640"/>
        <w:textAlignment w:val="auto"/>
        <w:rPr>
          <w:rFonts w:hint="eastAsia" w:ascii="仿宋_GB2312" w:hAnsi="仿宋_GB2312" w:eastAsia="仿宋_GB2312" w:cs="仿宋_GB2312"/>
          <w:sz w:val="32"/>
          <w:szCs w:val="32"/>
          <w:lang w:val="en-US" w:eastAsia="zh-CN"/>
        </w:rPr>
      </w:pPr>
    </w:p>
    <w:sectPr>
      <w:headerReference r:id="rId3" w:type="default"/>
      <w:footerReference r:id="rId4" w:type="default"/>
      <w:pgSz w:w="11906" w:h="16838"/>
      <w:pgMar w:top="1440" w:right="1800" w:bottom="1440" w:left="1800" w:header="851" w:footer="992" w:gutter="0"/>
      <w:pgNumType w:start="3"/>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9339"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uXW5UtAAAAAFAQAADwAAAAAAAAABACAAAAAiAAAAZHJzL2Rvd25y&#10;ZXYueG1sUEsBAhQAFAAAAAgAh07iQFX8ApUGAgAADQQAAA4AAAAAAAAAAQAgAAAAHwEAAGRycy9l&#10;Mm9Eb2MueG1sUEsFBgAAAAAGAAYAWQEAAJcFA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3NTE1ZDQwYmU4OWFkZmIwMGY2NmJlNThiMDZiNTQifQ=="/>
  </w:docVars>
  <w:rsids>
    <w:rsidRoot w:val="00000000"/>
    <w:rsid w:val="12B46931"/>
    <w:rsid w:val="17FB334E"/>
    <w:rsid w:val="1FF22600"/>
    <w:rsid w:val="6D14039D"/>
    <w:rsid w:val="73955CD2"/>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4">
    <w:name w:val="footer"/>
    <w:basedOn w:val="1"/>
    <w:link w:val="14"/>
    <w:qFormat/>
    <w:uiPriority w:val="0"/>
    <w:pPr>
      <w:tabs>
        <w:tab w:val="center" w:pos="4153"/>
        <w:tab w:val="right" w:pos="8306"/>
      </w:tabs>
      <w:snapToGrid w:val="0"/>
      <w:jc w:val="left"/>
    </w:pPr>
    <w:rPr>
      <w:sz w:val="18"/>
      <w:szCs w:val="18"/>
    </w:rPr>
  </w:style>
  <w:style w:type="paragraph" w:styleId="5">
    <w:name w:val="header"/>
    <w:basedOn w:val="1"/>
    <w:link w:val="13"/>
    <w:qFormat/>
    <w:uiPriority w:val="0"/>
    <w:pPr>
      <w:tabs>
        <w:tab w:val="center" w:pos="4153"/>
        <w:tab w:val="right" w:pos="8306"/>
      </w:tabs>
      <w:snapToGrid w:val="0"/>
      <w:jc w:val="center"/>
    </w:pPr>
    <w:rPr>
      <w:sz w:val="18"/>
      <w:szCs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Body Text First Indent 2"/>
    <w:basedOn w:val="1"/>
    <w:unhideWhenUsed/>
    <w:qFormat/>
    <w:uiPriority w:val="99"/>
    <w:pPr>
      <w:ind w:firstLine="420" w:firstLine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目录 21"/>
    <w:basedOn w:val="1"/>
    <w:next w:val="1"/>
    <w:qFormat/>
    <w:uiPriority w:val="0"/>
    <w:pPr>
      <w:spacing w:before="100" w:beforeAutospacing="1" w:after="100" w:afterAutospacing="1"/>
      <w:ind w:left="420" w:leftChars="200"/>
    </w:pPr>
    <w:rPr>
      <w:szCs w:val="22"/>
    </w:rPr>
  </w:style>
  <w:style w:type="character" w:customStyle="1" w:styleId="13">
    <w:name w:val="页眉 字符"/>
    <w:basedOn w:val="11"/>
    <w:link w:val="5"/>
    <w:qFormat/>
    <w:uiPriority w:val="0"/>
    <w:rPr>
      <w:kern w:val="2"/>
      <w:sz w:val="18"/>
      <w:szCs w:val="18"/>
    </w:rPr>
  </w:style>
  <w:style w:type="character" w:customStyle="1" w:styleId="14">
    <w:name w:val="页脚 字符"/>
    <w:basedOn w:val="11"/>
    <w:link w:val="4"/>
    <w:qFormat/>
    <w:uiPriority w:val="0"/>
    <w:rPr>
      <w:kern w:val="2"/>
      <w:sz w:val="18"/>
      <w:szCs w:val="18"/>
    </w:rPr>
  </w:style>
  <w:style w:type="paragraph" w:customStyle="1" w:styleId="15">
    <w:name w:val="WPSOffice手动目录 1"/>
    <w:qFormat/>
    <w:uiPriority w:val="0"/>
    <w:pPr>
      <w:ind w:leftChars="0"/>
    </w:pPr>
    <w:rPr>
      <w:rFonts w:asciiTheme="minorHAnsi" w:hAnsiTheme="minorHAnsi" w:eastAsiaTheme="minorEastAsia" w:cstheme="minorBidi"/>
      <w:sz w:val="20"/>
      <w:szCs w:val="20"/>
    </w:rPr>
  </w:style>
  <w:style w:type="paragraph" w:customStyle="1" w:styleId="16">
    <w:name w:val="WPSOffice手动目录 2"/>
    <w:qFormat/>
    <w:uiPriority w:val="0"/>
    <w:pPr>
      <w:ind w:leftChars="200"/>
    </w:pPr>
    <w:rPr>
      <w:rFonts w:asciiTheme="minorHAnsi" w:hAnsiTheme="minorHAnsi" w:eastAsiaTheme="minorEastAsia" w:cstheme="minorBidi"/>
      <w:sz w:val="20"/>
      <w:szCs w:val="20"/>
    </w:rPr>
  </w:style>
  <w:style w:type="paragraph" w:customStyle="1" w:styleId="17">
    <w:name w:val="目次、标准名称标题"/>
    <w:basedOn w:val="18"/>
    <w:next w:val="1"/>
    <w:qFormat/>
    <w:uiPriority w:val="0"/>
    <w:pPr>
      <w:spacing w:line="460" w:lineRule="exact"/>
      <w:outlineLvl w:val="9"/>
    </w:pPr>
  </w:style>
  <w:style w:type="paragraph" w:customStyle="1" w:styleId="18">
    <w:name w:val="前言、引言标题"/>
    <w:next w:val="1"/>
    <w:qFormat/>
    <w:uiPriority w:val="0"/>
    <w:pPr>
      <w:shd w:val="clear" w:color="FFFFFF" w:fill="FFFFFF"/>
      <w:spacing w:before="640" w:after="560"/>
      <w:jc w:val="center"/>
      <w:outlineLvl w:val="0"/>
    </w:pPr>
    <w:rPr>
      <w:rFonts w:ascii="黑体" w:hAnsi="Times New Roman" w:eastAsia="黑体" w:cs="Times New Roman"/>
      <w:b/>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32F1F392AA6B4C24AF00603A4D8560F7</vt:lpwstr>
  </property>
</Properties>
</file>

<file path=customXml/item3.xml><?xml version="1.0" encoding="utf-8"?>
<Properties xmlns="http://schemas.openxmlformats.org/officeDocument/2006/extended-properties" xmlns:vt="http://schemas.openxmlformats.org/officeDocument/2006/docPropsVTypes">
  <Template>Normal.dotm</Template>
  <Company>HP</Company>
  <Pages>7</Pages>
  <Words>2919</Words>
  <Characters>3027</Characters>
  <Lines>35</Lines>
  <Paragraphs>9</Paragraphs>
  <TotalTime>2</TotalTime>
  <ScaleCrop>false</ScaleCrop>
  <LinksUpToDate>false</LinksUpToDate>
  <CharactersWithSpaces>3086</CharactersWithSpaces>
  <Application>WPS Office_11.8.2.8696_F1E327BC-269C-435d-A152-05C5408002CA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2022-10-12T07:34:00Z</dcterms:created>
  <dc:creator>x1342</dc:creator>
  <cp:lastModifiedBy>李琦</cp:lastModifiedBy>
  <dcterms:modified xsi:type="dcterms:W3CDTF">2024-09-04T09:04:16Z</dcterms:modified>
  <cp:revision>15</cp:revision>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4d09d4-0308-416e-8275-6c35a9abed51}">
  <ds:schemaRefs/>
</ds:datastoreItem>
</file>

<file path=customXml/itemProps3.xml><?xml version="1.0" encoding="utf-8"?>
<ds:datastoreItem xmlns:ds="http://schemas.openxmlformats.org/officeDocument/2006/customXml" ds:itemID="{f12c94c6-e364-4cb9-8f1b-f4d6116760b5}">
  <ds:schemaRefs/>
</ds:datastoreItem>
</file>

<file path=customXml/itemProps4.xml><?xml version="1.0" encoding="utf-8"?>
<ds:datastoreItem xmlns:ds="http://schemas.openxmlformats.org/officeDocument/2006/customXml" ds:itemID="{2ce57457-bcd5-4748-8135-982aad2bb067}">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5</Pages>
  <Words>2919</Words>
  <Characters>3027</Characters>
  <Lines>35</Lines>
  <Paragraphs>9</Paragraphs>
  <TotalTime>25</TotalTime>
  <ScaleCrop>false</ScaleCrop>
  <LinksUpToDate>false</LinksUpToDate>
  <CharactersWithSpaces>3086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2022-10-12T07:34:00Z</dcterms:created>
  <dc:creator>x1342</dc:creator>
  <cp:lastModifiedBy>龙玥彤</cp:lastModifiedBy>
  <dcterms:modified xsi:type="dcterms:W3CDTF">2026-07-03T00:20:02Z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EA7B86AF2A3D495DB41D38E8D30DA879</vt:lpwstr>
  </property>
</Properties>
</file>