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附件1：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Arial Unicode MS" w:hAnsi="Arial Unicode MS" w:eastAsia="Arial Unicode MS" w:cs="Arial Unicode MS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Arial Unicode MS" w:hAnsi="Arial Unicode MS" w:eastAsia="Arial Unicode MS" w:cs="Arial Unicode MS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南方电网澜湄能源咨询（广东）有限责任公司2026年至2027年绿植养护服务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Arial Unicode MS" w:hAnsi="Arial Unicode MS" w:eastAsia="Arial Unicode MS" w:cs="Arial Unicode MS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Arial Unicode MS" w:hAnsi="Arial Unicode MS" w:eastAsia="Arial Unicode MS" w:cs="Arial Unicode MS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技术要求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b/>
          <w:bCs/>
          <w:color w:val="000000"/>
          <w:kern w:val="0"/>
          <w:sz w:val="44"/>
          <w:szCs w:val="44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项目概况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南方电网澜湄能源咨询（广东）有限责任公司，位于广州市黄埔区神舟路18号润慧科技园C栋1204号，面积约600平方米，为改善办公环境，提升空气质量及环境舒适度。根据各办公室的绿色植物情况，日常需进行添置更新及维护，费用预计44000元。该金额为估计金额，按实际需求采购及产生的费用结算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绿植养护、服务范围和内容、标准及要求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服务范围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对广州办公点公共区域、会议室、各办公室等区域等绿植的管理与养护，包括绿植浇水、施肥、修剪、病虫害防治等。</w:t>
      </w:r>
    </w:p>
    <w:tbl>
      <w:tblPr>
        <w:tblStyle w:val="6"/>
        <w:tblW w:w="81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2333"/>
        <w:gridCol w:w="1425"/>
        <w:gridCol w:w="1119"/>
        <w:gridCol w:w="18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序号 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品种名称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预估数量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（盆/组）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三拼红星组合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高120cm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造型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百合竹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180cm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333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小叶紫檀盆景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30-50cm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造型鸭脚木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五辫发财树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130-150cm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绿萝柱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三桩发财树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蝴蝶兰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12支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水培植物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20-30cm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空气凤梨组合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10-20cm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水培吊兰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（搭配创意灯泡花瓶）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单灯泡12*8*17cm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双灯泡14*8*20cm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水培植物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10-15cm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干花组合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40-50cm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注：中标期间乙方可接受更换价值相近的绿植品种。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服务内容和标准</w:t>
      </w:r>
    </w:p>
    <w:tbl>
      <w:tblPr>
        <w:tblStyle w:val="6"/>
        <w:tblW w:w="88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79"/>
        <w:gridCol w:w="1585"/>
        <w:gridCol w:w="2100"/>
        <w:gridCol w:w="2085"/>
        <w:gridCol w:w="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业务模块</w:t>
            </w:r>
          </w:p>
        </w:tc>
        <w:tc>
          <w:tcPr>
            <w:tcW w:w="1079" w:type="dxa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项目</w:t>
            </w:r>
          </w:p>
        </w:tc>
        <w:tc>
          <w:tcPr>
            <w:tcW w:w="1585" w:type="dxa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服务内容</w:t>
            </w:r>
          </w:p>
        </w:tc>
        <w:tc>
          <w:tcPr>
            <w:tcW w:w="2100" w:type="dxa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服务标准</w:t>
            </w:r>
          </w:p>
        </w:tc>
        <w:tc>
          <w:tcPr>
            <w:tcW w:w="2085" w:type="dxa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质量标准</w:t>
            </w:r>
          </w:p>
        </w:tc>
        <w:tc>
          <w:tcPr>
            <w:tcW w:w="960" w:type="dxa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1" w:type="dxa"/>
            <w:vMerge w:val="restart"/>
            <w:vAlign w:val="center"/>
          </w:tcPr>
          <w:p>
            <w:pPr>
              <w:spacing w:line="320" w:lineRule="exact"/>
              <w:jc w:val="center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室内绿化养护服务</w:t>
            </w: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日常保洁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清理、擦拭室内区域绿植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1次/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法定节假日除外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，对室内绿植进行擦拭，包括：花叶、花盆、套盆等。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绿植内无垃圾、杂物、烟头等；</w:t>
            </w:r>
          </w:p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绿植叶面无明显积尘、无枯枝枯叶，花盆及套盆清洁干净。</w:t>
            </w:r>
          </w:p>
        </w:tc>
        <w:tc>
          <w:tcPr>
            <w:tcW w:w="960" w:type="dxa"/>
            <w:vMerge w:val="restart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合同履行期间如有绿植枯萎死亡的，乙方无条件更换绿植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日常巡查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室内绿植巡查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1次/日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周末、法定节假日除外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，巡查室内绿植</w:t>
            </w: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发现问题，第一时间处置。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exac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3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除杂草、松土、培土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绿植除杂草、松土、培土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次/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2月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，根据植物养护要求松土、培土。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绿植内无杂草、土壤无明显板结。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绿植浇水/换水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室内绿植浇水/换水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按需，根据植物养护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卡要求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浇水/换水，叶面喷淋。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叶面水分饱满、无烂根。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施肥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室内绿植施肥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1次/年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，根据植物生长要求施肥。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植物长势良好。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修剪整型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修剪绿植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次/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季度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，对室内绿植进行修枝。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轮廓清晰、形态美观匀称。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病虫害防治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防治绿植病虫害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按需，针对不同病虫害进行防治，不得在室内直接喷洒农药。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植物长势良好，无病虫害。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61" w:type="dxa"/>
            <w:vMerge w:val="continue"/>
            <w:vAlign w:val="center"/>
          </w:tcPr>
          <w:p>
            <w:pPr>
              <w:pStyle w:val="4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9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default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其他情况处理</w:t>
            </w:r>
          </w:p>
        </w:tc>
        <w:tc>
          <w:tcPr>
            <w:tcW w:w="15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如大量黄叶先查是否‌过水/缺光/吹风‌，停水+移明亮通风处缓苗；</w:t>
            </w:r>
          </w:p>
        </w:tc>
        <w:tc>
          <w:tcPr>
            <w:tcW w:w="2100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必要时应将植物搬回大棚内进行养护，待植物长势完全恢复正常后才能搬至办公室内摆放。</w:t>
            </w:r>
          </w:p>
        </w:tc>
        <w:tc>
          <w:tcPr>
            <w:tcW w:w="2085" w:type="dxa"/>
            <w:vAlign w:val="center"/>
          </w:tcPr>
          <w:p>
            <w:pPr>
              <w:spacing w:line="300" w:lineRule="exact"/>
              <w:jc w:val="left"/>
              <w:outlineLvl w:val="9"/>
              <w:rPr>
                <w:rFonts w:hint="default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植物长势良好，发现问题第一时间处理</w:t>
            </w:r>
          </w:p>
        </w:tc>
        <w:tc>
          <w:tcPr>
            <w:tcW w:w="960" w:type="dxa"/>
            <w:vMerge w:val="continue"/>
            <w:vAlign w:val="center"/>
          </w:tcPr>
          <w:p>
            <w:pPr>
              <w:spacing w:line="320" w:lineRule="exact"/>
              <w:outlineLvl w:val="9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2F9ABE6-71D6-4644-91D6-0A07062FF20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3CE366D-30CB-477A-B4FA-32CF211F9FF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FE4F21E-EA3B-48EE-9AE4-427D6D7D4FED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4" w:fontKey="{7FF30076-E88E-4E32-A44D-C2AA998C4C7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B4CA9C"/>
    <w:multiLevelType w:val="singleLevel"/>
    <w:tmpl w:val="F5B4CA9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E5F161"/>
    <w:multiLevelType w:val="singleLevel"/>
    <w:tmpl w:val="24E5F161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 w:ascii="仿宋" w:hAnsi="仿宋" w:eastAsia="仿宋" w:cs="仿宋"/>
        <w:b/>
        <w:bCs/>
        <w:sz w:val="32"/>
        <w:szCs w:val="3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A94DBB"/>
    <w:rsid w:val="04BE2226"/>
    <w:rsid w:val="2BA52E55"/>
    <w:rsid w:val="2D7B5C0E"/>
    <w:rsid w:val="38272A05"/>
    <w:rsid w:val="3E9B08D4"/>
    <w:rsid w:val="414F3518"/>
    <w:rsid w:val="41A0493D"/>
    <w:rsid w:val="46A94DBB"/>
    <w:rsid w:val="6080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Body Text"/>
    <w:basedOn w:val="1"/>
    <w:next w:val="4"/>
    <w:qFormat/>
    <w:uiPriority w:val="0"/>
    <w:rPr>
      <w:sz w:val="24"/>
    </w:rPr>
  </w:style>
  <w:style w:type="paragraph" w:styleId="4">
    <w:name w:val="Title"/>
    <w:basedOn w:val="1"/>
    <w:next w:val="3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935</Words>
  <Characters>1032</Characters>
  <Lines>0</Lines>
  <Paragraphs>0</Paragraphs>
  <TotalTime>54</TotalTime>
  <ScaleCrop>false</ScaleCrop>
  <LinksUpToDate>false</LinksUpToDate>
  <CharactersWithSpaces>1033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2026-07-01T08:27:00Z</dcterms:created>
  <dc:creator>Apple</dc:creator>
  <cp:lastModifiedBy>刘辉</cp:lastModifiedBy>
  <dcterms:modified xsi:type="dcterms:W3CDTF">2026-07-09T09:26:05Z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F4108CCBD68448F1817A6A8135232524_13</vt:lpwstr>
  </property>
  <property fmtid="{D5CDD505-2E9C-101B-9397-08002B2CF9AE}" pid="4" name="KSOTemplateDocerSaveRecord">
    <vt:lpwstr>eyJoZGlkIjoiYzY5MTM5YTc0ODQ2MWNhM2M2NzNiODZlYzVlODUxMjkiLCJ1c2VySWQiOiIzMzkyOTA3NzUifQ==</vt:lpwstr>
  </property>
</Properties>
</file>