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宋体" w:hAnsi="宋体" w:cs="宋体"/>
          <w:color w:val="000000"/>
          <w:sz w:val="48"/>
          <w:szCs w:val="48"/>
        </w:rPr>
      </w:pPr>
      <w:r>
        <w:rPr>
          <w:position w:val="-76"/>
        </w:rPr>
        <w:drawing>
          <wp:anchor distT="0" distB="0" distL="0" distR="0" simplePos="0" relativeHeight="251659264" behindDoc="1" locked="0" layoutInCell="1" allowOverlap="1">
            <wp:simplePos x="0" y="0"/>
            <wp:positionH relativeFrom="column">
              <wp:posOffset>-1143000</wp:posOffset>
            </wp:positionH>
            <wp:positionV relativeFrom="paragraph">
              <wp:posOffset>-914400</wp:posOffset>
            </wp:positionV>
            <wp:extent cx="7559675" cy="2418715"/>
            <wp:effectExtent l="0" t="0" r="3175" b="635"/>
            <wp:wrapTight wrapText="bothSides">
              <wp:wrapPolygon>
                <wp:start x="0" y="0"/>
                <wp:lineTo x="0" y="21436"/>
                <wp:lineTo x="21555" y="21436"/>
                <wp:lineTo x="21555" y="0"/>
                <wp:lineTo x="0" y="0"/>
              </wp:wrapPolygon>
            </wp:wrapTight>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7560309" cy="2419236"/>
                    </a:xfrm>
                    <a:prstGeom prst="rect">
                      <a:avLst/>
                    </a:prstGeom>
                  </pic:spPr>
                </pic:pic>
              </a:graphicData>
            </a:graphic>
          </wp:anchor>
        </w:drawing>
      </w:r>
    </w:p>
    <w:p>
      <w:pPr>
        <w:snapToGrid w:val="0"/>
        <w:jc w:val="center"/>
        <w:rPr>
          <w:rFonts w:hint="eastAsia" w:ascii="黑体" w:hAnsi="黑体" w:eastAsia="黑体" w:cs="黑体"/>
          <w:b/>
          <w:bCs/>
          <w:color w:val="000000"/>
          <w:sz w:val="52"/>
          <w:szCs w:val="52"/>
          <w:lang w:val="en-US" w:eastAsia="zh-CN"/>
        </w:rPr>
      </w:pPr>
    </w:p>
    <w:p>
      <w:pPr>
        <w:snapToGrid w:val="0"/>
        <w:ind w:left="-199" w:leftChars="-95" w:right="-313" w:rightChars="-149" w:firstLine="0" w:firstLineChars="0"/>
        <w:jc w:val="center"/>
        <w:rPr>
          <w:rFonts w:hint="eastAsia" w:ascii="黑体" w:hAnsi="黑体" w:eastAsia="黑体" w:cs="黑体"/>
          <w:b/>
          <w:bCs/>
          <w:color w:val="000000"/>
          <w:sz w:val="52"/>
          <w:szCs w:val="52"/>
          <w:lang w:val="en-US" w:eastAsia="zh-CN"/>
        </w:rPr>
      </w:pPr>
      <w:r>
        <w:rPr>
          <w:rFonts w:hint="eastAsia" w:ascii="黑体" w:hAnsi="黑体" w:eastAsia="黑体" w:cs="黑体"/>
          <w:b/>
          <w:bCs/>
          <w:color w:val="000000"/>
          <w:sz w:val="52"/>
          <w:szCs w:val="52"/>
          <w:lang w:val="en-US" w:eastAsia="zh-CN"/>
        </w:rPr>
        <w:t>南网国际公司生产监控中心建设项目及南网国际公司会议室音视频建设项目可行性研究报告编制服务技术规范书</w:t>
      </w:r>
    </w:p>
    <w:p>
      <w:pPr>
        <w:jc w:val="center"/>
        <w:rPr>
          <w:rFonts w:ascii="宋体" w:hAnsi="宋体" w:cs="宋体"/>
          <w:color w:val="000000"/>
          <w:sz w:val="32"/>
          <w:szCs w:val="32"/>
        </w:rPr>
      </w:pPr>
    </w:p>
    <w:p>
      <w:pPr>
        <w:jc w:val="center"/>
        <w:rPr>
          <w:rFonts w:ascii="宋体" w:hAnsi="宋体" w:cs="宋体"/>
          <w:color w:val="000000"/>
          <w:sz w:val="32"/>
          <w:szCs w:val="32"/>
        </w:rPr>
      </w:pPr>
    </w:p>
    <w:p>
      <w:pPr>
        <w:jc w:val="center"/>
        <w:rPr>
          <w:rFonts w:ascii="宋体" w:hAnsi="宋体" w:cs="宋体"/>
          <w:color w:val="000000"/>
          <w:sz w:val="32"/>
          <w:szCs w:val="32"/>
        </w:rPr>
      </w:pPr>
    </w:p>
    <w:p>
      <w:pPr>
        <w:jc w:val="center"/>
        <w:rPr>
          <w:rFonts w:ascii="宋体" w:hAnsi="宋体" w:cs="宋体"/>
          <w:color w:val="000000"/>
          <w:sz w:val="32"/>
          <w:szCs w:val="32"/>
        </w:rPr>
      </w:pPr>
    </w:p>
    <w:p>
      <w:pPr>
        <w:jc w:val="center"/>
        <w:rPr>
          <w:rFonts w:ascii="宋体" w:hAnsi="宋体" w:cs="宋体"/>
          <w:color w:val="000000"/>
          <w:sz w:val="32"/>
          <w:szCs w:val="32"/>
        </w:rPr>
      </w:pPr>
    </w:p>
    <w:p>
      <w:pPr>
        <w:keepNext w:val="0"/>
        <w:keepLines w:val="0"/>
        <w:pageBreakBefore w:val="0"/>
        <w:widowControl/>
        <w:kinsoku w:val="0"/>
        <w:wordWrap/>
        <w:overflowPunct/>
        <w:topLinePunct w:val="0"/>
        <w:autoSpaceDE w:val="0"/>
        <w:autoSpaceDN w:val="0"/>
        <w:bidi w:val="0"/>
        <w:adjustRightInd w:val="0"/>
        <w:snapToGrid w:val="0"/>
        <w:spacing w:before="101" w:line="226" w:lineRule="auto"/>
        <w:ind w:left="0"/>
        <w:jc w:val="center"/>
        <w:textAlignment w:val="baseline"/>
        <w:rPr>
          <w:rFonts w:hint="eastAsia" w:ascii="黑体" w:hAnsi="黑体" w:eastAsia="黑体" w:cs="黑体"/>
          <w:b/>
          <w:bCs/>
          <w:snapToGrid w:val="0"/>
          <w:color w:val="000000"/>
          <w:spacing w:val="7"/>
          <w:sz w:val="30"/>
          <w:szCs w:val="30"/>
          <w:lang w:val="en-US" w:eastAsia="zh-CN"/>
        </w:rPr>
      </w:pPr>
      <w:r>
        <w:rPr>
          <w:rFonts w:hint="eastAsia" w:ascii="黑体" w:hAnsi="黑体" w:eastAsia="黑体" w:cs="黑体"/>
          <w:b/>
          <w:bCs/>
          <w:snapToGrid w:val="0"/>
          <w:color w:val="000000"/>
          <w:spacing w:val="7"/>
          <w:sz w:val="30"/>
          <w:szCs w:val="30"/>
          <w:lang w:val="en-US" w:eastAsia="zh-CN"/>
        </w:rPr>
        <w:t>南方电网国际有限责任公司</w:t>
      </w:r>
    </w:p>
    <w:p>
      <w:pPr>
        <w:keepNext w:val="0"/>
        <w:keepLines w:val="0"/>
        <w:pageBreakBefore w:val="0"/>
        <w:widowControl/>
        <w:kinsoku w:val="0"/>
        <w:wordWrap/>
        <w:overflowPunct/>
        <w:topLinePunct w:val="0"/>
        <w:autoSpaceDE w:val="0"/>
        <w:autoSpaceDN w:val="0"/>
        <w:bidi w:val="0"/>
        <w:adjustRightInd w:val="0"/>
        <w:snapToGrid w:val="0"/>
        <w:spacing w:before="101" w:line="226" w:lineRule="auto"/>
        <w:ind w:left="0"/>
        <w:jc w:val="center"/>
        <w:textAlignment w:val="baseline"/>
        <w:rPr>
          <w:rFonts w:ascii="黑体" w:hAnsi="黑体" w:eastAsia="黑体" w:cs="黑体"/>
          <w:b/>
          <w:bCs/>
          <w:snapToGrid w:val="0"/>
          <w:color w:val="000000"/>
          <w:spacing w:val="7"/>
          <w:sz w:val="30"/>
          <w:szCs w:val="30"/>
          <w:lang w:eastAsia="en-US"/>
        </w:rPr>
        <w:sectPr>
          <w:pgSz w:w="11906" w:h="16838"/>
          <w:pgMar w:top="1440" w:right="1800" w:bottom="1440" w:left="1800" w:header="851" w:footer="992" w:gutter="0"/>
          <w:cols w:space="425" w:num="1"/>
          <w:docGrid w:type="lines" w:linePitch="312" w:charSpace="0"/>
        </w:sectPr>
      </w:pPr>
      <w:r>
        <w:rPr>
          <w:rFonts w:hint="eastAsia" w:ascii="黑体" w:hAnsi="黑体" w:eastAsia="黑体" w:cs="黑体"/>
          <w:b/>
          <w:bCs/>
          <w:snapToGrid w:val="0"/>
          <w:color w:val="000000"/>
          <w:spacing w:val="7"/>
          <w:sz w:val="30"/>
          <w:szCs w:val="30"/>
          <w:lang w:eastAsia="en-US"/>
        </w:rPr>
        <w:t>20</w:t>
      </w:r>
      <w:r>
        <w:rPr>
          <w:rFonts w:ascii="黑体" w:hAnsi="黑体" w:eastAsia="黑体" w:cs="黑体"/>
          <w:b/>
          <w:bCs/>
          <w:snapToGrid w:val="0"/>
          <w:color w:val="000000"/>
          <w:spacing w:val="7"/>
          <w:sz w:val="30"/>
          <w:szCs w:val="30"/>
          <w:lang w:eastAsia="en-US"/>
        </w:rPr>
        <w:t>2</w:t>
      </w:r>
      <w:r>
        <w:rPr>
          <w:rFonts w:hint="eastAsia" w:ascii="黑体" w:hAnsi="黑体" w:eastAsia="黑体" w:cs="黑体"/>
          <w:b/>
          <w:bCs/>
          <w:snapToGrid w:val="0"/>
          <w:color w:val="000000"/>
          <w:spacing w:val="7"/>
          <w:sz w:val="30"/>
          <w:szCs w:val="30"/>
          <w:lang w:val="en-US" w:eastAsia="zh-CN"/>
        </w:rPr>
        <w:t>6</w:t>
      </w:r>
      <w:r>
        <w:rPr>
          <w:rFonts w:hint="eastAsia" w:ascii="黑体" w:hAnsi="黑体" w:eastAsia="黑体" w:cs="黑体"/>
          <w:b/>
          <w:bCs/>
          <w:snapToGrid w:val="0"/>
          <w:color w:val="000000"/>
          <w:spacing w:val="7"/>
          <w:sz w:val="30"/>
          <w:szCs w:val="30"/>
          <w:lang w:eastAsia="en-US"/>
        </w:rPr>
        <w:t>年</w:t>
      </w:r>
      <w:r>
        <w:rPr>
          <w:rFonts w:hint="eastAsia" w:ascii="黑体" w:hAnsi="黑体" w:eastAsia="黑体" w:cs="黑体"/>
          <w:b/>
          <w:bCs/>
          <w:snapToGrid w:val="0"/>
          <w:color w:val="000000"/>
          <w:spacing w:val="7"/>
          <w:sz w:val="30"/>
          <w:szCs w:val="30"/>
          <w:lang w:val="en-US" w:eastAsia="zh-CN"/>
        </w:rPr>
        <w:t>7</w:t>
      </w:r>
      <w:r>
        <w:rPr>
          <w:rFonts w:hint="eastAsia" w:ascii="黑体" w:hAnsi="黑体" w:eastAsia="黑体" w:cs="黑体"/>
          <w:b/>
          <w:bCs/>
          <w:snapToGrid w:val="0"/>
          <w:color w:val="000000"/>
          <w:spacing w:val="7"/>
          <w:sz w:val="30"/>
          <w:szCs w:val="30"/>
          <w:lang w:eastAsia="en-US"/>
        </w:rPr>
        <w:t>月</w:t>
      </w:r>
    </w:p>
    <w:p>
      <w:pPr>
        <w:pStyle w:val="7"/>
        <w:keepNext/>
        <w:keepLines/>
        <w:pageBreakBefore w:val="0"/>
        <w:widowControl w:val="0"/>
        <w:numPr>
          <w:ilvl w:val="0"/>
          <w:numId w:val="1"/>
        </w:numPr>
        <w:kinsoku/>
        <w:wordWrap/>
        <w:overflowPunct/>
        <w:topLinePunct/>
        <w:autoSpaceDE/>
        <w:autoSpaceDN/>
        <w:bidi w:val="0"/>
        <w:adjustRightInd/>
        <w:snapToGrid/>
        <w:spacing w:before="0" w:beforeAutospacing="0" w:after="0" w:afterAutospacing="0" w:line="480" w:lineRule="auto"/>
        <w:ind w:left="0" w:leftChars="0" w:firstLine="0" w:firstLineChars="0"/>
        <w:jc w:val="both"/>
        <w:textAlignment w:val="baseline"/>
        <w:rPr>
          <w:rFonts w:hint="eastAsia" w:ascii="黑体" w:hAnsi="黑体" w:eastAsia="黑体" w:cs="黑体"/>
          <w:b/>
          <w:color w:val="000000" w:themeColor="text1"/>
          <w:kern w:val="44"/>
          <w:sz w:val="21"/>
          <w:szCs w:val="21"/>
          <w:highlight w:val="none"/>
          <w14:textFill>
            <w14:solidFill>
              <w14:schemeClr w14:val="tx1"/>
            </w14:solidFill>
          </w14:textFill>
        </w:rPr>
      </w:pPr>
      <w:bookmarkStart w:id="0" w:name="_Toc384738417"/>
      <w:bookmarkStart w:id="1" w:name="_Toc356916476"/>
      <w:bookmarkStart w:id="2" w:name="_Toc355623887"/>
      <w:bookmarkStart w:id="3" w:name="_Toc359851582"/>
      <w:r>
        <w:rPr>
          <w:rFonts w:hint="eastAsia" w:ascii="黑体" w:hAnsi="黑体" w:eastAsia="黑体" w:cs="黑体"/>
          <w:b/>
          <w:color w:val="000000" w:themeColor="text1"/>
          <w:kern w:val="44"/>
          <w:sz w:val="21"/>
          <w:szCs w:val="21"/>
          <w:highlight w:val="none"/>
          <w14:textFill>
            <w14:solidFill>
              <w14:schemeClr w14:val="tx1"/>
            </w14:solidFill>
          </w14:textFill>
        </w:rPr>
        <w:t>总则</w:t>
      </w:r>
      <w:bookmarkEnd w:id="0"/>
      <w:bookmarkEnd w:id="1"/>
      <w:bookmarkEnd w:id="2"/>
    </w:p>
    <w:p>
      <w:pPr>
        <w:pStyle w:val="8"/>
        <w:keepNext/>
        <w:keepLines/>
        <w:numPr>
          <w:ilvl w:val="1"/>
          <w:numId w:val="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14:textFill>
            <w14:solidFill>
              <w14:schemeClr w14:val="tx1"/>
            </w14:solidFill>
          </w14:textFill>
        </w:rPr>
      </w:pPr>
      <w:bookmarkStart w:id="4" w:name="_Toc356916477"/>
      <w:bookmarkStart w:id="5" w:name="_Toc320802808"/>
      <w:bookmarkStart w:id="6" w:name="_Toc355623888"/>
      <w:bookmarkStart w:id="7" w:name="_Toc384738418"/>
      <w:bookmarkStart w:id="8" w:name="_Toc322523438"/>
      <w:bookmarkStart w:id="9" w:name="_Toc321915931"/>
      <w:r>
        <w:rPr>
          <w:rFonts w:hint="eastAsia" w:ascii="黑体" w:hAnsi="黑体" w:eastAsia="黑体" w:cs="黑体"/>
          <w:b w:val="0"/>
          <w:bCs w:val="0"/>
          <w:color w:val="000000" w:themeColor="text1"/>
          <w:sz w:val="21"/>
          <w:szCs w:val="21"/>
          <w:highlight w:val="none"/>
          <w:lang w:val="en-US"/>
          <w14:textFill>
            <w14:solidFill>
              <w14:schemeClr w14:val="tx1"/>
            </w14:solidFill>
          </w14:textFill>
        </w:rPr>
        <w:t>概述</w:t>
      </w:r>
      <w:bookmarkEnd w:id="4"/>
      <w:bookmarkEnd w:id="5"/>
      <w:bookmarkEnd w:id="6"/>
      <w:bookmarkEnd w:id="7"/>
      <w:bookmarkEnd w:id="8"/>
      <w:bookmarkEnd w:id="9"/>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bookmarkStart w:id="10" w:name="_Toc29354406"/>
      <w:bookmarkStart w:id="11" w:name="_Toc115253160"/>
      <w:bookmarkStart w:id="12" w:name="_Toc29354801"/>
      <w:bookmarkStart w:id="13" w:name="_Toc29353883"/>
      <w:bookmarkStart w:id="14" w:name="_Toc115252921"/>
      <w:bookmarkStart w:id="15" w:name="_Toc29354672"/>
      <w:bookmarkStart w:id="16" w:name="_Toc322523440"/>
      <w:bookmarkStart w:id="17" w:name="_Toc214288828"/>
      <w:bookmarkStart w:id="18" w:name="_Toc321915933"/>
      <w:bookmarkStart w:id="19" w:name="_Toc320802810"/>
      <w:bookmarkStart w:id="20" w:name="OLE_LINK2"/>
      <w:bookmarkStart w:id="21" w:name="OLE_LINK4"/>
      <w:bookmarkStart w:id="22" w:name="OLE_LINK1"/>
      <w:r>
        <w:rPr>
          <w:rFonts w:hint="eastAsia" w:ascii="宋体" w:hAnsi="宋体" w:eastAsia="宋体" w:cs="宋体"/>
          <w:color w:val="000000" w:themeColor="text1"/>
          <w:kern w:val="2"/>
          <w:szCs w:val="24"/>
          <w:highlight w:val="none"/>
          <w:lang w:val="en-US" w:eastAsia="zh-CN"/>
          <w14:textFill>
            <w14:solidFill>
              <w14:schemeClr w14:val="tx1"/>
            </w14:solidFill>
          </w14:textFill>
        </w:rPr>
        <w:t>本技术规范书为采购人对“</w:t>
      </w:r>
      <w:r>
        <w:rPr>
          <w:rFonts w:hint="eastAsia" w:ascii="宋体" w:hAnsi="宋体" w:cs="宋体"/>
          <w:color w:val="000000" w:themeColor="text1"/>
          <w:kern w:val="2"/>
          <w:szCs w:val="24"/>
          <w:highlight w:val="none"/>
          <w:lang w:val="en-US" w:eastAsia="zh-CN"/>
          <w14:textFill>
            <w14:solidFill>
              <w14:schemeClr w14:val="tx1"/>
            </w14:solidFill>
          </w14:textFill>
        </w:rPr>
        <w:t>南网国际公司生产监控中心建设项目及南网国际公司会议室音视频建设项目</w:t>
      </w:r>
      <w:r>
        <w:rPr>
          <w:rFonts w:hint="eastAsia" w:ascii="宋体" w:hAnsi="宋体" w:eastAsia="宋体" w:cs="宋体"/>
          <w:color w:val="000000" w:themeColor="text1"/>
          <w:kern w:val="2"/>
          <w:szCs w:val="24"/>
          <w:highlight w:val="none"/>
          <w:lang w:val="en-US" w:eastAsia="zh-CN"/>
          <w14:textFill>
            <w14:solidFill>
              <w14:schemeClr w14:val="tx1"/>
            </w14:solidFill>
          </w14:textFill>
        </w:rPr>
        <w:t>可行性研究报告编制服务”项目的供应商提出的技术规范书，本规范书将作为报价文件评议的基础。</w:t>
      </w:r>
      <w:bookmarkEnd w:id="10"/>
      <w:bookmarkEnd w:id="11"/>
      <w:bookmarkEnd w:id="12"/>
      <w:bookmarkEnd w:id="13"/>
      <w:bookmarkEnd w:id="14"/>
      <w:bookmarkEnd w:id="15"/>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应按照本文件的要求提供报价和相关资质证书、报告编制人员资质证明材料。供应商提供的可行性研究报告符合采购人指明的标准，并满足或高于采购人的技术要求。对于本技术规范书未规定的有关内容和标准，供应商应提出具体建议，并陈述其理由。</w:t>
      </w:r>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供应商在满足招标文件要求的基础上可根据自己提供服务的具体情况，在报价文件中提出建议，并附详细资料和说明。</w:t>
      </w:r>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供应商应具备以下要求：</w:t>
      </w:r>
    </w:p>
    <w:p>
      <w:pPr>
        <w:keepNext w:val="0"/>
        <w:keepLines w:val="0"/>
        <w:pageBreakBefore w:val="0"/>
        <w:widowControl w:val="0"/>
        <w:numPr>
          <w:ilvl w:val="0"/>
          <w:numId w:val="4"/>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供应商必须是来自中华人民共和国的法人或其他组织，需提供证明文件。</w:t>
      </w:r>
    </w:p>
    <w:p>
      <w:pPr>
        <w:keepNext w:val="0"/>
        <w:keepLines w:val="0"/>
        <w:pageBreakBefore w:val="0"/>
        <w:widowControl w:val="0"/>
        <w:numPr>
          <w:ilvl w:val="0"/>
          <w:numId w:val="4"/>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具备有效的乙级及以上工程咨询单位资信证书（专业须为电力或电子、信息工程专业），或已在全国投资项目在线审批监管平台完成咨询业务备案公示（专业须为电力或电子、信息工程专业）。</w:t>
      </w:r>
    </w:p>
    <w:p>
      <w:pPr>
        <w:keepNext w:val="0"/>
        <w:keepLines w:val="0"/>
        <w:pageBreakBefore w:val="0"/>
        <w:widowControl w:val="0"/>
        <w:numPr>
          <w:ilvl w:val="0"/>
          <w:numId w:val="4"/>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供应商须具有良好的财务状况和商业信用；</w:t>
      </w:r>
    </w:p>
    <w:p>
      <w:pPr>
        <w:keepNext w:val="0"/>
        <w:keepLines w:val="0"/>
        <w:pageBreakBefore w:val="0"/>
        <w:widowControl w:val="0"/>
        <w:numPr>
          <w:ilvl w:val="0"/>
          <w:numId w:val="4"/>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供应商须无违规违法行为，未在地方政府及中国南方电网有限责任公司承包商资信档案中处于限制投标期内。</w:t>
      </w:r>
    </w:p>
    <w:p>
      <w:pPr>
        <w:keepNext w:val="0"/>
        <w:keepLines w:val="0"/>
        <w:pageBreakBefore w:val="0"/>
        <w:widowControl w:val="0"/>
        <w:numPr>
          <w:ilvl w:val="0"/>
          <w:numId w:val="4"/>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不接受联合体响应，不允许分包、转包本项目服务工作。</w:t>
      </w:r>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对于规范书的疑问可以通过书面材料与采购人联系，在规定的报价文件最后提交以前，采购人将以书面材料给予答复，有关采购人答复材料的复印件也将递交所有得到技术规范书的供应商。如因满足本技术要求，需要改变服务原价格，供应商应在编制方案中预先声明。</w:t>
      </w:r>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供应商未经采购方同意，不得以任何形式向第三方公开本技术规范书。</w:t>
      </w:r>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本技术规范书未尽事宜，由采购方和供应商在合同技术谈判时协商确定。</w:t>
      </w:r>
    </w:p>
    <w:p>
      <w:pPr>
        <w:keepNext w:val="0"/>
        <w:keepLines w:val="0"/>
        <w:pageBreakBefore w:val="0"/>
        <w:widowControl w:val="0"/>
        <w:numPr>
          <w:ilvl w:val="2"/>
          <w:numId w:val="3"/>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本技术规范书解释权属采购方所有。</w:t>
      </w:r>
    </w:p>
    <w:p>
      <w:pPr>
        <w:pStyle w:val="8"/>
        <w:keepNext/>
        <w:keepLines/>
        <w:numPr>
          <w:ilvl w:val="1"/>
          <w:numId w:val="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14:textFill>
            <w14:solidFill>
              <w14:schemeClr w14:val="tx1"/>
            </w14:solidFill>
          </w14:textFill>
        </w:rPr>
      </w:pPr>
      <w:bookmarkStart w:id="23" w:name="_Toc384738419"/>
      <w:bookmarkStart w:id="24" w:name="_Toc214288827"/>
      <w:bookmarkStart w:id="25" w:name="_Toc322614375"/>
      <w:bookmarkStart w:id="26" w:name="_Toc356916478"/>
      <w:bookmarkStart w:id="27" w:name="_Toc355623889"/>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报价文件</w:t>
      </w:r>
      <w:r>
        <w:rPr>
          <w:rFonts w:hint="eastAsia" w:ascii="黑体" w:hAnsi="黑体" w:eastAsia="黑体" w:cs="黑体"/>
          <w:b w:val="0"/>
          <w:bCs w:val="0"/>
          <w:color w:val="000000" w:themeColor="text1"/>
          <w:sz w:val="21"/>
          <w:szCs w:val="21"/>
          <w:highlight w:val="none"/>
          <w:lang w:val="en-US"/>
          <w14:textFill>
            <w14:solidFill>
              <w14:schemeClr w14:val="tx1"/>
            </w14:solidFill>
          </w14:textFill>
        </w:rPr>
        <w:t>要求</w:t>
      </w:r>
      <w:bookmarkEnd w:id="23"/>
      <w:bookmarkEnd w:id="24"/>
      <w:bookmarkEnd w:id="25"/>
      <w:bookmarkEnd w:id="26"/>
      <w:bookmarkEnd w:id="27"/>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 xml:space="preserve">供应商提交的报价文件必须包括（但不限于）以下内容： </w:t>
      </w:r>
    </w:p>
    <w:p>
      <w:pPr>
        <w:keepNext w:val="0"/>
        <w:keepLines w:val="0"/>
        <w:pageBreakBefore w:val="0"/>
        <w:widowControl w:val="0"/>
        <w:numPr>
          <w:ilvl w:val="0"/>
          <w:numId w:val="5"/>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报价函</w:t>
      </w:r>
    </w:p>
    <w:p>
      <w:pPr>
        <w:keepNext w:val="0"/>
        <w:keepLines w:val="0"/>
        <w:pageBreakBefore w:val="0"/>
        <w:widowControl w:val="0"/>
        <w:numPr>
          <w:ilvl w:val="0"/>
          <w:numId w:val="5"/>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公司营业执照、资质证书等；</w:t>
      </w:r>
    </w:p>
    <w:p>
      <w:pPr>
        <w:keepNext w:val="0"/>
        <w:keepLines w:val="0"/>
        <w:pageBreakBefore w:val="0"/>
        <w:widowControl w:val="0"/>
        <w:numPr>
          <w:ilvl w:val="0"/>
          <w:numId w:val="5"/>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项目进度计划；</w:t>
      </w:r>
    </w:p>
    <w:p>
      <w:pPr>
        <w:keepNext w:val="0"/>
        <w:keepLines w:val="0"/>
        <w:pageBreakBefore w:val="0"/>
        <w:widowControl w:val="0"/>
        <w:numPr>
          <w:ilvl w:val="0"/>
          <w:numId w:val="5"/>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项目实施组织结构及人员构成；</w:t>
      </w:r>
      <w:bookmarkStart w:id="28" w:name="_Toc355623890"/>
      <w:bookmarkStart w:id="29" w:name="_Toc384738420"/>
      <w:bookmarkStart w:id="30" w:name="_Toc356916479"/>
    </w:p>
    <w:p>
      <w:pPr>
        <w:pStyle w:val="7"/>
        <w:keepNext/>
        <w:keepLines/>
        <w:pageBreakBefore w:val="0"/>
        <w:widowControl w:val="0"/>
        <w:numPr>
          <w:ilvl w:val="0"/>
          <w:numId w:val="1"/>
        </w:numPr>
        <w:kinsoku/>
        <w:wordWrap/>
        <w:overflowPunct/>
        <w:topLinePunct/>
        <w:autoSpaceDE/>
        <w:autoSpaceDN/>
        <w:bidi w:val="0"/>
        <w:adjustRightInd/>
        <w:snapToGrid/>
        <w:spacing w:before="0" w:beforeAutospacing="0" w:after="0" w:afterAutospacing="0" w:line="480" w:lineRule="auto"/>
        <w:ind w:left="0" w:leftChars="0" w:firstLine="0" w:firstLineChars="0"/>
        <w:jc w:val="both"/>
        <w:textAlignment w:val="baseline"/>
        <w:rPr>
          <w:rFonts w:hint="eastAsia" w:ascii="黑体" w:hAnsi="黑体" w:eastAsia="黑体" w:cs="黑体"/>
          <w:b/>
          <w:color w:val="000000" w:themeColor="text1"/>
          <w:kern w:val="44"/>
          <w:sz w:val="21"/>
          <w:szCs w:val="21"/>
          <w:highlight w:val="none"/>
          <w14:textFill>
            <w14:solidFill>
              <w14:schemeClr w14:val="tx1"/>
            </w14:solidFill>
          </w14:textFill>
        </w:rPr>
      </w:pPr>
      <w:r>
        <w:rPr>
          <w:rFonts w:hint="eastAsia" w:ascii="黑体" w:hAnsi="黑体" w:eastAsia="黑体" w:cs="黑体"/>
          <w:b/>
          <w:color w:val="000000" w:themeColor="text1"/>
          <w:kern w:val="44"/>
          <w:sz w:val="21"/>
          <w:szCs w:val="21"/>
          <w:highlight w:val="none"/>
          <w14:textFill>
            <w14:solidFill>
              <w14:schemeClr w14:val="tx1"/>
            </w14:solidFill>
          </w14:textFill>
        </w:rPr>
        <w:t>项目概况</w:t>
      </w:r>
      <w:bookmarkEnd w:id="16"/>
      <w:bookmarkEnd w:id="17"/>
      <w:bookmarkEnd w:id="18"/>
      <w:bookmarkEnd w:id="19"/>
      <w:bookmarkEnd w:id="28"/>
      <w:bookmarkEnd w:id="29"/>
      <w:bookmarkEnd w:id="30"/>
    </w:p>
    <w:p>
      <w:pPr>
        <w:pStyle w:val="8"/>
        <w:keepNext/>
        <w:keepLines/>
        <w:numPr>
          <w:ilvl w:val="1"/>
          <w:numId w:val="6"/>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31" w:name="_Toc355623891"/>
      <w:bookmarkStart w:id="32" w:name="_Toc214288829"/>
      <w:bookmarkStart w:id="33" w:name="_Toc320802811"/>
      <w:bookmarkStart w:id="34" w:name="_Toc322523441"/>
      <w:bookmarkStart w:id="35" w:name="_Toc356916480"/>
      <w:bookmarkStart w:id="36" w:name="_Toc384738421"/>
      <w:bookmarkStart w:id="37" w:name="_Toc321915934"/>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项目背景</w:t>
      </w:r>
      <w:bookmarkEnd w:id="31"/>
      <w:bookmarkEnd w:id="32"/>
      <w:bookmarkEnd w:id="33"/>
      <w:bookmarkEnd w:id="34"/>
      <w:bookmarkEnd w:id="35"/>
      <w:bookmarkEnd w:id="36"/>
      <w:bookmarkEnd w:id="37"/>
    </w:p>
    <w:bookmarkEnd w:id="20"/>
    <w:bookmarkEnd w:id="21"/>
    <w:bookmarkEnd w:id="22"/>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bookmarkStart w:id="38" w:name="_Toc320802812"/>
      <w:r>
        <w:rPr>
          <w:rFonts w:hint="eastAsia" w:ascii="宋体" w:hAnsi="宋体" w:eastAsia="宋体" w:cs="宋体"/>
          <w:color w:val="000000" w:themeColor="text1"/>
          <w:kern w:val="2"/>
          <w:szCs w:val="24"/>
          <w:highlight w:val="none"/>
          <w:lang w:val="en-US" w:eastAsia="zh-CN"/>
          <w14:textFill>
            <w14:solidFill>
              <w14:schemeClr w14:val="tx1"/>
            </w14:solidFill>
          </w14:textFill>
        </w:rPr>
        <w:t>为适配南网国际公司办公场地整体搬迁升级需求，全面提升公司数字化办公、远程会商、商务洽谈及经营管控智能化水平，助力境外能源业务统筹调度、对内高效协同、对外商务交流</w:t>
      </w:r>
      <w:r>
        <w:rPr>
          <w:rFonts w:hint="eastAsia" w:ascii="宋体" w:hAnsi="宋体" w:cs="宋体"/>
          <w:color w:val="000000" w:themeColor="text1"/>
          <w:kern w:val="2"/>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Cs w:val="24"/>
          <w:highlight w:val="none"/>
          <w:lang w:val="en-US" w:eastAsia="zh-CN"/>
          <w14:textFill>
            <w14:solidFill>
              <w14:schemeClr w14:val="tx1"/>
            </w14:solidFill>
          </w14:textFill>
        </w:rPr>
        <w:t>全面提升公司境外电力资产生产运营管理</w:t>
      </w:r>
      <w:r>
        <w:rPr>
          <w:rFonts w:hint="eastAsia" w:ascii="宋体" w:hAnsi="宋体" w:cs="宋体"/>
          <w:color w:val="000000" w:themeColor="text1"/>
          <w:kern w:val="2"/>
          <w:szCs w:val="24"/>
          <w:highlight w:val="none"/>
          <w:lang w:val="en-US" w:eastAsia="zh-CN"/>
          <w14:textFill>
            <w14:solidFill>
              <w14:schemeClr w14:val="tx1"/>
            </w14:solidFill>
          </w14:textFill>
        </w:rPr>
        <w:t>及应急指挥</w:t>
      </w:r>
      <w:r>
        <w:rPr>
          <w:rFonts w:hint="eastAsia" w:ascii="宋体" w:hAnsi="宋体" w:eastAsia="宋体" w:cs="宋体"/>
          <w:color w:val="000000" w:themeColor="text1"/>
          <w:kern w:val="2"/>
          <w:szCs w:val="24"/>
          <w:highlight w:val="none"/>
          <w:lang w:val="en-US" w:eastAsia="zh-CN"/>
          <w14:textFill>
            <w14:solidFill>
              <w14:schemeClr w14:val="tx1"/>
            </w14:solidFill>
          </w14:textFill>
        </w:rPr>
        <w:t>能力</w:t>
      </w:r>
      <w:r>
        <w:rPr>
          <w:rFonts w:hint="eastAsia" w:ascii="宋体" w:hAnsi="宋体" w:cs="宋体"/>
          <w:color w:val="000000" w:themeColor="text1"/>
          <w:kern w:val="2"/>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Cs w:val="24"/>
          <w:highlight w:val="none"/>
          <w:lang w:val="en-US" w:eastAsia="zh-CN"/>
          <w14:textFill>
            <w14:solidFill>
              <w14:schemeClr w14:val="tx1"/>
            </w14:solidFill>
          </w14:textFill>
        </w:rPr>
        <w:t>拟结合新办公室装修开展公司</w:t>
      </w:r>
      <w:r>
        <w:rPr>
          <w:rFonts w:hint="eastAsia" w:ascii="宋体" w:hAnsi="宋体" w:cs="宋体"/>
          <w:color w:val="000000" w:themeColor="text1"/>
          <w:kern w:val="2"/>
          <w:szCs w:val="24"/>
          <w:highlight w:val="none"/>
          <w:lang w:val="en-US" w:eastAsia="zh-CN"/>
          <w14:textFill>
            <w14:solidFill>
              <w14:schemeClr w14:val="tx1"/>
            </w14:solidFill>
          </w14:textFill>
        </w:rPr>
        <w:t>南网国际公司生产监控中心建设项目及</w:t>
      </w:r>
      <w:r>
        <w:rPr>
          <w:rFonts w:hint="eastAsia" w:ascii="宋体" w:hAnsi="宋体" w:eastAsia="宋体" w:cs="宋体"/>
          <w:color w:val="000000" w:themeColor="text1"/>
          <w:kern w:val="2"/>
          <w:szCs w:val="24"/>
          <w:highlight w:val="none"/>
          <w:lang w:val="en-US" w:eastAsia="zh-CN"/>
          <w14:textFill>
            <w14:solidFill>
              <w14:schemeClr w14:val="tx1"/>
            </w14:solidFill>
          </w14:textFill>
        </w:rPr>
        <w:t>南网国际公司会议室音视频建设项目。</w:t>
      </w:r>
    </w:p>
    <w:p>
      <w:pPr>
        <w:pStyle w:val="8"/>
        <w:keepNext/>
        <w:keepLines/>
        <w:numPr>
          <w:ilvl w:val="1"/>
          <w:numId w:val="6"/>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项目建设目标</w:t>
      </w:r>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bookmarkStart w:id="39" w:name="_Toc384738422"/>
      <w:r>
        <w:rPr>
          <w:rFonts w:hint="eastAsia" w:ascii="宋体" w:hAnsi="宋体" w:eastAsia="宋体" w:cs="宋体"/>
          <w:color w:val="000000" w:themeColor="text1"/>
          <w:kern w:val="2"/>
          <w:szCs w:val="24"/>
          <w:highlight w:val="none"/>
          <w:lang w:val="en-US" w:eastAsia="zh-CN"/>
          <w14:textFill>
            <w14:solidFill>
              <w14:schemeClr w14:val="tx1"/>
            </w14:solidFill>
          </w14:textFill>
        </w:rPr>
        <w:t>本次依托新大楼整体建设契机，标准化搭建全域音视频会议体系与数字化指挥展示系统，可有效夯实公司智慧办公基础，提升办公效率、商务形象与经营决策智能化能力，为公司境外能源项目运营、跨境能源合作、安全生产管控提供坚实技术支撑。</w:t>
      </w:r>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南网国际公司生产监控中心定位为公司</w:t>
      </w:r>
      <w:r>
        <w:rPr>
          <w:rFonts w:hint="eastAsia" w:ascii="宋体" w:hAnsi="宋体" w:cs="宋体"/>
          <w:color w:val="000000" w:themeColor="text1"/>
          <w:kern w:val="2"/>
          <w:szCs w:val="24"/>
          <w:highlight w:val="none"/>
          <w:lang w:val="en-US" w:eastAsia="zh-CN"/>
          <w14:textFill>
            <w14:solidFill>
              <w14:schemeClr w14:val="tx1"/>
            </w14:solidFill>
          </w14:textFill>
        </w:rPr>
        <w:t>境外</w:t>
      </w:r>
      <w:r>
        <w:rPr>
          <w:rFonts w:hint="eastAsia" w:ascii="宋体" w:hAnsi="宋体" w:eastAsia="宋体" w:cs="宋体"/>
          <w:color w:val="000000" w:themeColor="text1"/>
          <w:kern w:val="2"/>
          <w:szCs w:val="24"/>
          <w:highlight w:val="none"/>
          <w:lang w:val="en-US" w:eastAsia="zh-CN"/>
          <w14:textFill>
            <w14:solidFill>
              <w14:schemeClr w14:val="tx1"/>
            </w14:solidFill>
          </w14:textFill>
        </w:rPr>
        <w:t>电力资产数字化管理与</w:t>
      </w:r>
      <w:r>
        <w:rPr>
          <w:rFonts w:hint="eastAsia" w:ascii="宋体" w:hAnsi="宋体" w:cs="宋体"/>
          <w:color w:val="000000" w:themeColor="text1"/>
          <w:kern w:val="2"/>
          <w:szCs w:val="24"/>
          <w:highlight w:val="none"/>
          <w:lang w:val="en-US" w:eastAsia="zh-CN"/>
          <w14:textFill>
            <w14:solidFill>
              <w14:schemeClr w14:val="tx1"/>
            </w14:solidFill>
          </w14:textFill>
        </w:rPr>
        <w:t>公司突发事件应急指挥</w:t>
      </w:r>
      <w:r>
        <w:rPr>
          <w:rFonts w:hint="eastAsia" w:ascii="宋体" w:hAnsi="宋体" w:eastAsia="宋体" w:cs="宋体"/>
          <w:color w:val="000000" w:themeColor="text1"/>
          <w:kern w:val="2"/>
          <w:szCs w:val="24"/>
          <w:highlight w:val="none"/>
          <w:lang w:val="en-US" w:eastAsia="zh-CN"/>
          <w14:textFill>
            <w14:solidFill>
              <w14:schemeClr w14:val="tx1"/>
            </w14:solidFill>
          </w14:textFill>
        </w:rPr>
        <w:t>中枢，通过统一数据底座与智能分析能力，实现境外项目生产运行、设备资产、安健环及生产经营指标集中监视、协同管控与科学决策。</w:t>
      </w:r>
    </w:p>
    <w:p>
      <w:pPr>
        <w:pStyle w:val="8"/>
        <w:keepNext/>
        <w:keepLines/>
        <w:numPr>
          <w:ilvl w:val="1"/>
          <w:numId w:val="6"/>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建设水平年</w:t>
      </w:r>
      <w:bookmarkEnd w:id="39"/>
    </w:p>
    <w:bookmarkEnd w:id="38"/>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bookmarkStart w:id="40" w:name="_Toc384738423"/>
      <w:bookmarkStart w:id="41" w:name="_Toc321915940"/>
      <w:bookmarkStart w:id="42" w:name="_Toc320970045"/>
      <w:r>
        <w:rPr>
          <w:rFonts w:hint="eastAsia" w:ascii="宋体" w:hAnsi="宋体" w:eastAsia="宋体" w:cs="宋体"/>
          <w:color w:val="000000" w:themeColor="text1"/>
          <w:kern w:val="2"/>
          <w:szCs w:val="24"/>
          <w:highlight w:val="none"/>
          <w:lang w:val="en-US" w:eastAsia="zh-CN"/>
          <w14:textFill>
            <w14:solidFill>
              <w14:schemeClr w14:val="tx1"/>
            </w14:solidFill>
          </w14:textFill>
        </w:rPr>
        <w:t>本工程现状水平年为2026年，建设水平年为2036年。</w:t>
      </w:r>
    </w:p>
    <w:p>
      <w:pPr>
        <w:pStyle w:val="8"/>
        <w:keepNext/>
        <w:keepLines/>
        <w:numPr>
          <w:ilvl w:val="1"/>
          <w:numId w:val="6"/>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建设范围及建设规模</w:t>
      </w:r>
      <w:bookmarkEnd w:id="40"/>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cs="宋体"/>
          <w:color w:val="000000" w:themeColor="text1"/>
          <w:kern w:val="2"/>
          <w:szCs w:val="24"/>
          <w:highlight w:val="none"/>
          <w:lang w:val="en-US" w:eastAsia="zh-CN"/>
          <w14:textFill>
            <w14:solidFill>
              <w14:schemeClr w14:val="tx1"/>
            </w14:solidFill>
          </w14:textFill>
        </w:rPr>
      </w:pPr>
      <w:bookmarkStart w:id="43" w:name="_Toc384738424"/>
      <w:r>
        <w:rPr>
          <w:rFonts w:hint="eastAsia" w:ascii="宋体" w:hAnsi="宋体" w:eastAsia="宋体" w:cs="宋体"/>
          <w:color w:val="000000" w:themeColor="text1"/>
          <w:kern w:val="2"/>
          <w:szCs w:val="24"/>
          <w:highlight w:val="none"/>
          <w:lang w:val="en-US" w:eastAsia="zh-CN"/>
          <w14:textFill>
            <w14:solidFill>
              <w14:schemeClr w14:val="tx1"/>
            </w14:solidFill>
          </w14:textFill>
        </w:rPr>
        <w:t>本项目基础装修由大楼工程负责（包括天地墙硬装、空调新风、照明、消防等，具体要求提资给大楼装修设计单位）</w:t>
      </w:r>
      <w:r>
        <w:rPr>
          <w:rFonts w:hint="eastAsia" w:ascii="宋体" w:hAnsi="宋体" w:cs="宋体"/>
          <w:color w:val="000000" w:themeColor="text1"/>
          <w:kern w:val="2"/>
          <w:szCs w:val="24"/>
          <w:highlight w:val="none"/>
          <w:lang w:val="en-US" w:eastAsia="zh-CN"/>
          <w14:textFill>
            <w14:solidFill>
              <w14:schemeClr w14:val="tx1"/>
            </w14:solidFill>
          </w14:textFill>
        </w:rPr>
        <w:t>。</w:t>
      </w:r>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default"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1.南网国际公司会议室音视频建设项目：建设范围覆盖新办公大楼全域会议及核心展示场景，整体包含设备采购、定制部署、调试安装、系统联调及适配优化全流程工作。涵盖大楼内22间标准化会议室全套音视频设备购置与安装部署，同时根据各洽谈室功能定位、使用场景按需配套轻量化、适配型音视频设备。核心设备包含南方电网标准音视频会议系统、高清LED显示大屏、专业拾音设备、高清扩声设备、信号传输及切换配套设施等。二是搭建一套专属智能化</w:t>
      </w:r>
      <w:r>
        <w:rPr>
          <w:rFonts w:hint="eastAsia" w:ascii="宋体" w:hAnsi="宋体" w:cs="宋体"/>
          <w:color w:val="000000" w:themeColor="text1"/>
          <w:kern w:val="2"/>
          <w:szCs w:val="24"/>
          <w:highlight w:val="none"/>
          <w:lang w:val="en-US" w:eastAsia="zh-CN"/>
          <w14:textFill>
            <w14:solidFill>
              <w14:schemeClr w14:val="tx1"/>
            </w14:solidFill>
          </w14:textFill>
        </w:rPr>
        <w:t>数据</w:t>
      </w:r>
      <w:r>
        <w:rPr>
          <w:rFonts w:hint="eastAsia" w:ascii="宋体" w:hAnsi="宋体" w:eastAsia="宋体" w:cs="宋体"/>
          <w:color w:val="000000" w:themeColor="text1"/>
          <w:kern w:val="2"/>
          <w:szCs w:val="24"/>
          <w:highlight w:val="none"/>
          <w:lang w:val="en-US" w:eastAsia="zh-CN"/>
          <w14:textFill>
            <w14:solidFill>
              <w14:schemeClr w14:val="tx1"/>
            </w14:solidFill>
          </w14:textFill>
        </w:rPr>
        <w:t>展示系统，聚焦公司经营数据、境外项目动态、等核心内容，实现数据集中展示。</w:t>
      </w:r>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2.南网国际公司生产监控中心建设项目：负责供配电系统、显示系统、视频切换系统、集中控制系统、音频扩声系统、视频会议系统、大屏智能安全生产管理系统、办公配套设施安装及功能调试，实现生产运营数据回传及呈现、云视频会商、指挥调度等生产监控及应急指挥功能。平面布置图（图1）如下：</w:t>
      </w:r>
    </w:p>
    <w:p>
      <w:pPr>
        <w:tabs>
          <w:tab w:val="left" w:pos="720"/>
        </w:tabs>
        <w:autoSpaceDE/>
        <w:autoSpaceDN/>
        <w:adjustRightInd/>
        <w:spacing w:line="360" w:lineRule="auto"/>
        <w:jc w:val="center"/>
        <w:rPr>
          <w:rFonts w:hint="default" w:ascii="Times New Roman" w:hAnsi="Times New Roman" w:eastAsia="宋体" w:cs="Times New Roman"/>
          <w:color w:val="000000" w:themeColor="text1"/>
          <w:kern w:val="2"/>
          <w:szCs w:val="24"/>
          <w:highlight w:val="none"/>
          <w:lang w:val="en-US" w:eastAsia="zh-CN"/>
          <w14:textFill>
            <w14:solidFill>
              <w14:schemeClr w14:val="tx1"/>
            </w14:solidFill>
          </w14:textFill>
        </w:rPr>
      </w:pPr>
      <w:r>
        <w:drawing>
          <wp:inline distT="0" distB="0" distL="114300" distR="114300">
            <wp:extent cx="5267960" cy="243586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7960" cy="2435860"/>
                    </a:xfrm>
                    <a:prstGeom prst="rect">
                      <a:avLst/>
                    </a:prstGeom>
                    <a:noFill/>
                    <a:ln>
                      <a:noFill/>
                    </a:ln>
                  </pic:spPr>
                </pic:pic>
              </a:graphicData>
            </a:graphic>
          </wp:inline>
        </w:drawing>
      </w:r>
      <w:r>
        <w:rPr>
          <w:rFonts w:hint="eastAsia" w:ascii="Times New Roman" w:hAnsi="Times New Roman" w:eastAsia="宋体" w:cs="Times New Roman"/>
          <w:color w:val="000000" w:themeColor="text1"/>
          <w:kern w:val="2"/>
          <w:szCs w:val="24"/>
          <w:highlight w:val="none"/>
          <w:lang w:val="en-US" w:eastAsia="zh-CN"/>
          <w14:textFill>
            <w14:solidFill>
              <w14:schemeClr w14:val="tx1"/>
            </w14:solidFill>
          </w14:textFill>
        </w:rPr>
        <w:t>图1 平面布置图</w:t>
      </w:r>
    </w:p>
    <w:p>
      <w:pPr>
        <w:spacing w:line="480" w:lineRule="exact"/>
        <w:ind w:firstLine="480" w:firstLineChars="200"/>
        <w:rPr>
          <w:sz w:val="24"/>
        </w:rPr>
      </w:pPr>
    </w:p>
    <w:bookmarkEnd w:id="41"/>
    <w:bookmarkEnd w:id="42"/>
    <w:bookmarkEnd w:id="43"/>
    <w:p>
      <w:pPr>
        <w:pStyle w:val="7"/>
        <w:keepNext/>
        <w:keepLines/>
        <w:pageBreakBefore w:val="0"/>
        <w:widowControl w:val="0"/>
        <w:numPr>
          <w:ilvl w:val="0"/>
          <w:numId w:val="1"/>
        </w:numPr>
        <w:kinsoku/>
        <w:wordWrap/>
        <w:overflowPunct/>
        <w:topLinePunct/>
        <w:autoSpaceDE/>
        <w:autoSpaceDN/>
        <w:bidi w:val="0"/>
        <w:adjustRightInd/>
        <w:snapToGrid/>
        <w:spacing w:before="0" w:beforeAutospacing="0" w:after="0" w:afterAutospacing="0" w:line="480" w:lineRule="auto"/>
        <w:ind w:left="0" w:leftChars="0" w:firstLine="0" w:firstLineChars="0"/>
        <w:jc w:val="both"/>
        <w:textAlignment w:val="baseline"/>
        <w:rPr>
          <w:rFonts w:hint="eastAsia" w:ascii="黑体" w:hAnsi="黑体" w:eastAsia="黑体" w:cs="黑体"/>
          <w:b/>
          <w:color w:val="000000" w:themeColor="text1"/>
          <w:kern w:val="44"/>
          <w:sz w:val="21"/>
          <w:szCs w:val="21"/>
          <w:highlight w:val="none"/>
          <w14:textFill>
            <w14:solidFill>
              <w14:schemeClr w14:val="tx1"/>
            </w14:solidFill>
          </w14:textFill>
        </w:rPr>
      </w:pPr>
      <w:bookmarkStart w:id="44" w:name="_Toc355623893"/>
      <w:bookmarkStart w:id="45" w:name="_Toc356916482"/>
      <w:bookmarkStart w:id="46" w:name="_Toc384738425"/>
      <w:r>
        <w:rPr>
          <w:rFonts w:hint="eastAsia" w:ascii="黑体" w:hAnsi="黑体" w:eastAsia="黑体" w:cs="黑体"/>
          <w:b/>
          <w:color w:val="000000" w:themeColor="text1"/>
          <w:kern w:val="44"/>
          <w:sz w:val="21"/>
          <w:szCs w:val="21"/>
          <w:highlight w:val="none"/>
          <w14:textFill>
            <w14:solidFill>
              <w14:schemeClr w14:val="tx1"/>
            </w14:solidFill>
          </w14:textFill>
        </w:rPr>
        <w:t>技术要求</w:t>
      </w:r>
      <w:bookmarkEnd w:id="44"/>
      <w:bookmarkEnd w:id="45"/>
      <w:bookmarkEnd w:id="46"/>
    </w:p>
    <w:p>
      <w:pPr>
        <w:pStyle w:val="8"/>
        <w:keepNext/>
        <w:keepLines/>
        <w:numPr>
          <w:ilvl w:val="1"/>
          <w:numId w:val="7"/>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47" w:name="_Toc384738426"/>
      <w:bookmarkStart w:id="48" w:name="_Toc356916483"/>
      <w:bookmarkStart w:id="49" w:name="_Toc355623894"/>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基本要求</w:t>
      </w:r>
      <w:bookmarkEnd w:id="47"/>
      <w:bookmarkEnd w:id="48"/>
      <w:bookmarkEnd w:id="49"/>
    </w:p>
    <w:p>
      <w:pPr>
        <w:keepNext w:val="0"/>
        <w:keepLines w:val="0"/>
        <w:pageBreakBefore w:val="0"/>
        <w:widowControl w:val="0"/>
        <w:numPr>
          <w:ilvl w:val="2"/>
          <w:numId w:val="8"/>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bookmarkStart w:id="50" w:name="_Toc130115382"/>
      <w:r>
        <w:rPr>
          <w:rFonts w:hint="eastAsia" w:ascii="宋体" w:hAnsi="宋体" w:eastAsia="宋体" w:cs="宋体"/>
          <w:color w:val="000000" w:themeColor="text1"/>
          <w:kern w:val="2"/>
          <w:szCs w:val="24"/>
          <w:highlight w:val="none"/>
          <w:lang w:val="en-US" w:eastAsia="zh-CN"/>
          <w14:textFill>
            <w14:solidFill>
              <w14:schemeClr w14:val="tx1"/>
            </w14:solidFill>
          </w14:textFill>
        </w:rPr>
        <w:t>可行性研究报告必须从技术层面考虑未来</w:t>
      </w:r>
      <w:r>
        <w:rPr>
          <w:rFonts w:hint="eastAsia" w:ascii="宋体" w:hAnsi="宋体" w:cs="宋体"/>
          <w:color w:val="000000" w:themeColor="text1"/>
          <w:kern w:val="2"/>
          <w:szCs w:val="24"/>
          <w:highlight w:val="none"/>
          <w:lang w:val="en-US" w:eastAsia="zh-CN"/>
          <w14:textFill>
            <w14:solidFill>
              <w14:schemeClr w14:val="tx1"/>
            </w14:solidFill>
          </w14:textFill>
        </w:rPr>
        <w:t>南网国际公司生产监控中心及</w:t>
      </w:r>
      <w:r>
        <w:rPr>
          <w:rFonts w:hint="eastAsia" w:ascii="宋体" w:hAnsi="宋体" w:eastAsia="宋体" w:cs="宋体"/>
          <w:color w:val="000000" w:themeColor="text1"/>
          <w:kern w:val="2"/>
          <w:szCs w:val="24"/>
          <w:highlight w:val="none"/>
          <w:lang w:val="en-US" w:eastAsia="zh-CN"/>
          <w14:textFill>
            <w14:solidFill>
              <w14:schemeClr w14:val="tx1"/>
            </w14:solidFill>
          </w14:textFill>
        </w:rPr>
        <w:t>南网国际公司会议室音视频建设的发展趋势及技术需求。</w:t>
      </w:r>
    </w:p>
    <w:p>
      <w:pPr>
        <w:keepNext w:val="0"/>
        <w:keepLines w:val="0"/>
        <w:pageBreakBefore w:val="0"/>
        <w:widowControl w:val="0"/>
        <w:numPr>
          <w:ilvl w:val="2"/>
          <w:numId w:val="8"/>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可行性研究报告编制需要考虑涉及大楼部分建设配合，包括装修</w:t>
      </w:r>
      <w:r>
        <w:rPr>
          <w:rFonts w:hint="eastAsia" w:ascii="宋体" w:hAnsi="宋体" w:cs="宋体"/>
          <w:color w:val="000000" w:themeColor="text1"/>
          <w:kern w:val="2"/>
          <w:szCs w:val="24"/>
          <w:highlight w:val="none"/>
          <w:lang w:val="en-US" w:eastAsia="zh-CN"/>
          <w14:textFill>
            <w14:solidFill>
              <w14:schemeClr w14:val="tx1"/>
            </w14:solidFill>
          </w14:textFill>
        </w:rPr>
        <w:t>、照明</w:t>
      </w:r>
      <w:r>
        <w:rPr>
          <w:rFonts w:hint="eastAsia" w:ascii="宋体" w:hAnsi="宋体" w:eastAsia="宋体" w:cs="宋体"/>
          <w:color w:val="000000" w:themeColor="text1"/>
          <w:kern w:val="2"/>
          <w:szCs w:val="24"/>
          <w:highlight w:val="none"/>
          <w:lang w:val="en-US" w:eastAsia="zh-CN"/>
          <w14:textFill>
            <w14:solidFill>
              <w14:schemeClr w14:val="tx1"/>
            </w14:solidFill>
          </w14:textFill>
        </w:rPr>
        <w:t>、配电接入、空调</w:t>
      </w:r>
      <w:r>
        <w:rPr>
          <w:rFonts w:hint="eastAsia" w:ascii="宋体" w:hAnsi="宋体" w:cs="宋体"/>
          <w:color w:val="000000" w:themeColor="text1"/>
          <w:kern w:val="2"/>
          <w:szCs w:val="24"/>
          <w:highlight w:val="none"/>
          <w:lang w:val="en-US" w:eastAsia="zh-CN"/>
          <w14:textFill>
            <w14:solidFill>
              <w14:schemeClr w14:val="tx1"/>
            </w14:solidFill>
          </w14:textFill>
        </w:rPr>
        <w:t>新风、</w:t>
      </w:r>
      <w:r>
        <w:rPr>
          <w:rFonts w:hint="eastAsia" w:ascii="宋体" w:hAnsi="宋体" w:eastAsia="宋体" w:cs="宋体"/>
          <w:color w:val="000000" w:themeColor="text1"/>
          <w:kern w:val="2"/>
          <w:szCs w:val="24"/>
          <w:highlight w:val="none"/>
          <w:lang w:val="en-US" w:eastAsia="zh-CN"/>
          <w14:textFill>
            <w14:solidFill>
              <w14:schemeClr w14:val="tx1"/>
            </w14:solidFill>
          </w14:textFill>
        </w:rPr>
        <w:t>消防系统</w:t>
      </w:r>
      <w:r>
        <w:rPr>
          <w:rFonts w:hint="eastAsia" w:ascii="宋体" w:hAnsi="宋体" w:cs="宋体"/>
          <w:color w:val="000000" w:themeColor="text1"/>
          <w:kern w:val="2"/>
          <w:szCs w:val="24"/>
          <w:highlight w:val="none"/>
          <w:lang w:val="en-US" w:eastAsia="zh-CN"/>
          <w14:textFill>
            <w14:solidFill>
              <w14:schemeClr w14:val="tx1"/>
            </w14:solidFill>
          </w14:textFill>
        </w:rPr>
        <w:t>、应急逃生通道</w:t>
      </w:r>
      <w:r>
        <w:rPr>
          <w:rFonts w:hint="eastAsia" w:ascii="宋体" w:hAnsi="宋体" w:eastAsia="宋体" w:cs="宋体"/>
          <w:color w:val="000000" w:themeColor="text1"/>
          <w:kern w:val="2"/>
          <w:szCs w:val="24"/>
          <w:highlight w:val="none"/>
          <w:lang w:val="en-US" w:eastAsia="zh-CN"/>
          <w14:textFill>
            <w14:solidFill>
              <w14:schemeClr w14:val="tx1"/>
            </w14:solidFill>
          </w14:textFill>
        </w:rPr>
        <w:t>。</w:t>
      </w:r>
    </w:p>
    <w:p>
      <w:pPr>
        <w:keepNext w:val="0"/>
        <w:keepLines w:val="0"/>
        <w:pageBreakBefore w:val="0"/>
        <w:widowControl w:val="0"/>
        <w:numPr>
          <w:ilvl w:val="2"/>
          <w:numId w:val="8"/>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设备关键部件</w:t>
      </w:r>
      <w:r>
        <w:rPr>
          <w:rFonts w:hint="eastAsia" w:ascii="宋体" w:hAnsi="宋体" w:cs="宋体"/>
          <w:color w:val="000000" w:themeColor="text1"/>
          <w:kern w:val="2"/>
          <w:szCs w:val="24"/>
          <w:highlight w:val="none"/>
          <w:lang w:val="en-US" w:eastAsia="zh-CN"/>
          <w14:textFill>
            <w14:solidFill>
              <w14:schemeClr w14:val="tx1"/>
            </w14:solidFill>
          </w14:textFill>
        </w:rPr>
        <w:t>、系统</w:t>
      </w:r>
      <w:r>
        <w:rPr>
          <w:rFonts w:hint="eastAsia" w:ascii="宋体" w:hAnsi="宋体" w:eastAsia="宋体" w:cs="宋体"/>
          <w:color w:val="000000" w:themeColor="text1"/>
          <w:kern w:val="2"/>
          <w:szCs w:val="24"/>
          <w:highlight w:val="none"/>
          <w:lang w:val="en-US" w:eastAsia="zh-CN"/>
          <w14:textFill>
            <w14:solidFill>
              <w14:schemeClr w14:val="tx1"/>
            </w14:solidFill>
          </w14:textFill>
        </w:rPr>
        <w:t>应冗余配置，设备容量应能平滑升级。</w:t>
      </w:r>
    </w:p>
    <w:p>
      <w:pPr>
        <w:keepNext w:val="0"/>
        <w:keepLines w:val="0"/>
        <w:pageBreakBefore w:val="0"/>
        <w:widowControl w:val="0"/>
        <w:numPr>
          <w:ilvl w:val="2"/>
          <w:numId w:val="8"/>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交付的最终可行性研究报告必须提供电子版、纸质加盖供应商单位公章版，交付份数采购方根据实际需要向供应商提出。</w:t>
      </w:r>
    </w:p>
    <w:p>
      <w:pPr>
        <w:keepNext w:val="0"/>
        <w:keepLines w:val="0"/>
        <w:pageBreakBefore w:val="0"/>
        <w:widowControl w:val="0"/>
        <w:numPr>
          <w:ilvl w:val="2"/>
          <w:numId w:val="8"/>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未尽事宜，双方在实际编制过程中交换意见。供应商根据采购方提出的要求进行改进。</w:t>
      </w:r>
    </w:p>
    <w:p>
      <w:pPr>
        <w:pStyle w:val="8"/>
        <w:keepNext/>
        <w:keepLines/>
        <w:numPr>
          <w:ilvl w:val="1"/>
          <w:numId w:val="7"/>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51" w:name="_Toc384738427"/>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编制依据</w:t>
      </w:r>
      <w:bookmarkEnd w:id="51"/>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bookmarkStart w:id="52" w:name="_Toc291251966"/>
      <w:r>
        <w:rPr>
          <w:rFonts w:hint="eastAsia" w:ascii="宋体" w:hAnsi="宋体" w:eastAsia="宋体" w:cs="宋体"/>
          <w:color w:val="000000" w:themeColor="text1"/>
          <w:kern w:val="2"/>
          <w:szCs w:val="24"/>
          <w:highlight w:val="none"/>
          <w:lang w:val="en-US" w:eastAsia="zh-CN"/>
          <w14:textFill>
            <w14:solidFill>
              <w14:schemeClr w14:val="tx1"/>
            </w14:solidFill>
          </w14:textFill>
        </w:rPr>
        <w:t>《投资项目可行性研究报告编制通则》（GB/T 50732-2022）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《民用建筑通用规范》(GB 55031 - 2022)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《建筑防火通用规范》（GB 55037 - 2022）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《建筑设计防火规范》（GB50016 - 2014（2018版））</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《中国南方电网有限责任公司办公用房建设标准》（Q/CSG 1201004 - 2015）</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《供配电系统设计规范》（GB 50052 - 2009）</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《低压配电设计规范》（GB 50054 - 2011）</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《建筑照明设计标准》（GB 50034 - 2024）</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《工业建筑供暖通风与空气调节设计规范》（GB 50019 - 2015）</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《民用建筑供暖通风与空气调节设计规范》（GB 50736 - 2012）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《通风与空调工程施工质量验收规范》（GB 50243 - 2016）</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《消防设施通用规范》（GB 55036 - 2022）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《消防应急照明和疏散指示系统技术标准》（GB51309 - 2018）</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《火灾自动报警系统设计规范》（GB50116 - 2013）</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《南方电网视频会议系统技术规范》(Q/CSG 1204043 - 2019）</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《厅堂扩声特性测量方法》（GB/T 4959 - 2011）</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《厅堂扩声系统设计标准》（GB/T 50371 - 2006）</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《安全防范工程通用规范》（GB 55029 - 2022）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《建筑电气与智能化通用规范》（GB 55024 - 2022）</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《综合布线系统工程设计规范》（GB 50311 - 2016）</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《安全防范工程技术规范》（GB 50348 - 2018）</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《视频安防监控系统工程设计规范》（GB 50395 - 2007）</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《出入口控制系统工程设计规范》（GB 50396 - 2007）</w:t>
      </w:r>
    </w:p>
    <w:p>
      <w:pPr>
        <w:keepNext w:val="0"/>
        <w:keepLines w:val="0"/>
        <w:pageBreakBefore w:val="0"/>
        <w:widowControl w:val="0"/>
        <w:numPr>
          <w:ilvl w:val="0"/>
          <w:numId w:val="9"/>
        </w:numPr>
        <w:tabs>
          <w:tab w:val="left" w:pos="0"/>
          <w:tab w:val="left" w:pos="154"/>
          <w:tab w:val="left" w:pos="161"/>
          <w:tab w:val="left" w:pos="166"/>
        </w:tabs>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《建筑物电子信息系统防雷技术规范》（GB 50343 - 2012）</w:t>
      </w:r>
    </w:p>
    <w:bookmarkEnd w:id="50"/>
    <w:bookmarkEnd w:id="52"/>
    <w:p>
      <w:pPr>
        <w:pStyle w:val="8"/>
        <w:keepNext/>
        <w:keepLines/>
        <w:numPr>
          <w:ilvl w:val="1"/>
          <w:numId w:val="7"/>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53" w:name="_Toc384738429"/>
      <w:bookmarkStart w:id="54" w:name="_Toc355623895"/>
      <w:bookmarkStart w:id="55" w:name="_Toc356916484"/>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编制联络</w:t>
      </w:r>
      <w:bookmarkEnd w:id="53"/>
      <w:bookmarkEnd w:id="54"/>
      <w:bookmarkEnd w:id="55"/>
    </w:p>
    <w:p>
      <w:pPr>
        <w:keepNext w:val="0"/>
        <w:keepLines w:val="0"/>
        <w:pageBreakBefore w:val="0"/>
        <w:widowControl w:val="0"/>
        <w:numPr>
          <w:ilvl w:val="2"/>
          <w:numId w:val="10"/>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编制过程中，供应商定期向采购方汇报编制进度并提交工作进度表，采购方有权提出进度要求。</w:t>
      </w:r>
    </w:p>
    <w:p>
      <w:pPr>
        <w:keepNext w:val="0"/>
        <w:keepLines w:val="0"/>
        <w:pageBreakBefore w:val="0"/>
        <w:widowControl w:val="0"/>
        <w:numPr>
          <w:ilvl w:val="2"/>
          <w:numId w:val="10"/>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编制过程中根据编制实际需要召开编制联络会，会务费用由供应商负责。</w:t>
      </w:r>
    </w:p>
    <w:p>
      <w:pPr>
        <w:keepNext w:val="0"/>
        <w:keepLines w:val="0"/>
        <w:pageBreakBefore w:val="0"/>
        <w:widowControl w:val="0"/>
        <w:numPr>
          <w:ilvl w:val="2"/>
          <w:numId w:val="10"/>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供应商指定专门负责人负责整个报告编制的联系人，编制人员编制相关事宜与采购方指定负责人联系。</w:t>
      </w:r>
    </w:p>
    <w:p>
      <w:pPr>
        <w:pStyle w:val="8"/>
        <w:keepNext/>
        <w:keepLines/>
        <w:numPr>
          <w:ilvl w:val="1"/>
          <w:numId w:val="7"/>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56" w:name="_Toc156018586"/>
      <w:bookmarkStart w:id="57" w:name="_Toc141516901"/>
      <w:bookmarkStart w:id="58" w:name="_Toc356916485"/>
      <w:bookmarkStart w:id="59" w:name="_Toc355623896"/>
      <w:bookmarkStart w:id="60" w:name="_Toc165257378"/>
      <w:bookmarkStart w:id="61" w:name="_Toc384738430"/>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编制管理</w:t>
      </w:r>
      <w:bookmarkEnd w:id="56"/>
      <w:bookmarkEnd w:id="57"/>
      <w:bookmarkEnd w:id="58"/>
      <w:bookmarkEnd w:id="59"/>
      <w:bookmarkEnd w:id="60"/>
      <w:bookmarkEnd w:id="61"/>
    </w:p>
    <w:p>
      <w:pPr>
        <w:keepNext w:val="0"/>
        <w:keepLines w:val="0"/>
        <w:pageBreakBefore w:val="0"/>
        <w:widowControl w:val="0"/>
        <w:numPr>
          <w:ilvl w:val="2"/>
          <w:numId w:val="11"/>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此次报告编制，供应商未经采购方同意，不得以任何形式向第三方公开本次报告内容。</w:t>
      </w:r>
    </w:p>
    <w:p>
      <w:pPr>
        <w:keepNext w:val="0"/>
        <w:keepLines w:val="0"/>
        <w:pageBreakBefore w:val="0"/>
        <w:widowControl w:val="0"/>
        <w:numPr>
          <w:ilvl w:val="2"/>
          <w:numId w:val="11"/>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供应商编制过程中的工作行为必须遵守采购方的相关安全管理规定及工作管理规定。</w:t>
      </w:r>
    </w:p>
    <w:p>
      <w:pPr>
        <w:keepNext w:val="0"/>
        <w:keepLines w:val="0"/>
        <w:pageBreakBefore w:val="0"/>
        <w:widowControl w:val="0"/>
        <w:numPr>
          <w:ilvl w:val="2"/>
          <w:numId w:val="11"/>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采购方有权在编制过程中对报告提出异议，供应商根据采购方提出的问题做专题回复。</w:t>
      </w:r>
    </w:p>
    <w:p>
      <w:pPr>
        <w:keepNext w:val="0"/>
        <w:keepLines w:val="0"/>
        <w:pageBreakBefore w:val="0"/>
        <w:widowControl w:val="0"/>
        <w:numPr>
          <w:ilvl w:val="2"/>
          <w:numId w:val="11"/>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供应商人员在采购方单位工作时，服从采购方管理人员的管理，完成采购方下达的与本可行性研究报告有关的工作任务。</w:t>
      </w:r>
    </w:p>
    <w:p>
      <w:pPr>
        <w:pStyle w:val="8"/>
        <w:keepNext/>
        <w:keepLines/>
        <w:numPr>
          <w:ilvl w:val="1"/>
          <w:numId w:val="7"/>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62" w:name="_Toc355623897"/>
      <w:bookmarkStart w:id="63" w:name="_Toc384738431"/>
      <w:bookmarkStart w:id="64" w:name="_Toc356916486"/>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交付前汇报</w:t>
      </w:r>
      <w:bookmarkEnd w:id="62"/>
      <w:bookmarkEnd w:id="63"/>
      <w:bookmarkEnd w:id="64"/>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本项目完成后供应商按要求提交可行性研究报告并向采购方汇报可行性研究报告，以幻灯片及其他多媒体形式向采购方讲解整个编制过程。采购方无异议后，才能提交正式的可行性研究报告交付，甲乙双方同时签字完成交付。</w:t>
      </w:r>
    </w:p>
    <w:bookmarkEnd w:id="3"/>
    <w:p>
      <w:pPr>
        <w:pStyle w:val="7"/>
        <w:keepNext/>
        <w:keepLines/>
        <w:pageBreakBefore w:val="0"/>
        <w:widowControl w:val="0"/>
        <w:numPr>
          <w:ilvl w:val="0"/>
          <w:numId w:val="1"/>
        </w:numPr>
        <w:kinsoku/>
        <w:wordWrap/>
        <w:overflowPunct/>
        <w:topLinePunct/>
        <w:autoSpaceDE/>
        <w:autoSpaceDN/>
        <w:bidi w:val="0"/>
        <w:adjustRightInd/>
        <w:snapToGrid/>
        <w:spacing w:before="0" w:beforeAutospacing="0" w:after="0" w:afterAutospacing="0" w:line="480" w:lineRule="auto"/>
        <w:ind w:left="0" w:leftChars="0" w:firstLine="0" w:firstLineChars="0"/>
        <w:jc w:val="both"/>
        <w:textAlignment w:val="baseline"/>
        <w:rPr>
          <w:rFonts w:hint="eastAsia" w:ascii="黑体" w:hAnsi="黑体" w:eastAsia="黑体" w:cs="黑体"/>
          <w:b/>
          <w:color w:val="000000" w:themeColor="text1"/>
          <w:kern w:val="44"/>
          <w:sz w:val="21"/>
          <w:szCs w:val="21"/>
          <w:highlight w:val="none"/>
          <w14:textFill>
            <w14:solidFill>
              <w14:schemeClr w14:val="tx1"/>
            </w14:solidFill>
          </w14:textFill>
        </w:rPr>
      </w:pPr>
      <w:bookmarkStart w:id="65" w:name="_Toc250887501"/>
      <w:bookmarkStart w:id="66" w:name="_Toc389061500"/>
      <w:bookmarkStart w:id="67" w:name="_Toc384991570"/>
      <w:bookmarkStart w:id="68" w:name="_Toc532146782"/>
      <w:bookmarkStart w:id="69" w:name="_Toc349743277"/>
      <w:bookmarkStart w:id="70" w:name="_Toc384738437"/>
      <w:bookmarkStart w:id="71" w:name="_Toc359851583"/>
      <w:r>
        <w:rPr>
          <w:rFonts w:hint="eastAsia" w:ascii="黑体" w:hAnsi="黑体" w:eastAsia="黑体" w:cs="黑体"/>
          <w:b/>
          <w:color w:val="000000" w:themeColor="text1"/>
          <w:kern w:val="44"/>
          <w:sz w:val="21"/>
          <w:szCs w:val="21"/>
          <w:highlight w:val="none"/>
          <w:lang w:val="en-US" w:eastAsia="zh-CN"/>
          <w14:textFill>
            <w14:solidFill>
              <w14:schemeClr w14:val="tx1"/>
            </w14:solidFill>
          </w14:textFill>
        </w:rPr>
        <w:t>编制</w:t>
      </w:r>
      <w:r>
        <w:rPr>
          <w:rFonts w:hint="eastAsia" w:ascii="黑体" w:hAnsi="黑体" w:eastAsia="黑体" w:cs="黑体"/>
          <w:b/>
          <w:color w:val="000000" w:themeColor="text1"/>
          <w:kern w:val="44"/>
          <w:sz w:val="21"/>
          <w:szCs w:val="21"/>
          <w:highlight w:val="none"/>
          <w14:textFill>
            <w14:solidFill>
              <w14:schemeClr w14:val="tx1"/>
            </w14:solidFill>
          </w14:textFill>
        </w:rPr>
        <w:t>费用、工期、人员、成果、验收及其它要求</w:t>
      </w:r>
      <w:bookmarkEnd w:id="65"/>
      <w:bookmarkEnd w:id="66"/>
      <w:bookmarkEnd w:id="67"/>
      <w:bookmarkEnd w:id="68"/>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72" w:name="_Toc532146783"/>
      <w:bookmarkStart w:id="73" w:name="_Toc384991571"/>
      <w:bookmarkStart w:id="74" w:name="_Toc250887502"/>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编制费用</w:t>
      </w:r>
      <w:bookmarkEnd w:id="72"/>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本可行性研究报告编制服务费总价包干，一次性付款。</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供应商的响应报价应视为供应商人为实施完成本次合同项目所必须的全部费用范围，还包括成本、税收、保险、利润和物价等各项应用费用，并能保证供应商完成履行合同所需的一切工作。</w:t>
      </w:r>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75" w:name="_Toc532146784"/>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编制工期和进度要求</w:t>
      </w:r>
      <w:bookmarkEnd w:id="73"/>
      <w:bookmarkEnd w:id="74"/>
      <w:bookmarkEnd w:id="75"/>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cs="宋体"/>
          <w:color w:val="000000" w:themeColor="text1"/>
          <w:kern w:val="2"/>
          <w:szCs w:val="24"/>
          <w:highlight w:val="none"/>
          <w:lang w:val="en-US" w:eastAsia="zh-CN"/>
          <w14:textFill>
            <w14:solidFill>
              <w14:schemeClr w14:val="tx1"/>
            </w14:solidFill>
          </w14:textFill>
        </w:rPr>
        <w:t>南网国际公司会议室音视频建设项目及南网国际公司生产监控中心建设项目</w:t>
      </w:r>
      <w:r>
        <w:rPr>
          <w:rFonts w:hint="eastAsia" w:ascii="宋体" w:hAnsi="宋体" w:eastAsia="宋体" w:cs="宋体"/>
          <w:color w:val="000000" w:themeColor="text1"/>
          <w:kern w:val="2"/>
          <w:szCs w:val="24"/>
          <w:highlight w:val="none"/>
          <w:lang w:val="en-US" w:eastAsia="zh-CN"/>
          <w14:textFill>
            <w14:solidFill>
              <w14:schemeClr w14:val="tx1"/>
            </w14:solidFill>
          </w14:textFill>
        </w:rPr>
        <w:t>项目</w:t>
      </w:r>
      <w:r>
        <w:rPr>
          <w:rFonts w:hint="eastAsia" w:ascii="宋体" w:hAnsi="宋体" w:cs="宋体"/>
          <w:color w:val="000000" w:themeColor="text1"/>
          <w:kern w:val="2"/>
          <w:szCs w:val="24"/>
          <w:highlight w:val="none"/>
          <w:lang w:val="en-US" w:eastAsia="zh-CN"/>
          <w14:textFill>
            <w14:solidFill>
              <w14:schemeClr w14:val="tx1"/>
            </w14:solidFill>
          </w14:textFill>
        </w:rPr>
        <w:t>均</w:t>
      </w:r>
      <w:r>
        <w:rPr>
          <w:rFonts w:hint="eastAsia" w:ascii="宋体" w:hAnsi="宋体" w:eastAsia="宋体" w:cs="宋体"/>
          <w:color w:val="000000" w:themeColor="text1"/>
          <w:kern w:val="2"/>
          <w:szCs w:val="24"/>
          <w:highlight w:val="none"/>
          <w:lang w:val="en-US" w:eastAsia="zh-CN"/>
          <w14:textFill>
            <w14:solidFill>
              <w14:schemeClr w14:val="tx1"/>
            </w14:solidFill>
          </w14:textFill>
        </w:rPr>
        <w:t>需在2026年</w:t>
      </w:r>
      <w:r>
        <w:rPr>
          <w:rFonts w:hint="eastAsia" w:ascii="宋体" w:hAnsi="宋体" w:cs="宋体"/>
          <w:color w:val="000000" w:themeColor="text1"/>
          <w:kern w:val="2"/>
          <w:szCs w:val="24"/>
          <w:highlight w:val="none"/>
          <w:lang w:val="en-US" w:eastAsia="zh-CN"/>
          <w14:textFill>
            <w14:solidFill>
              <w14:schemeClr w14:val="tx1"/>
            </w14:solidFill>
          </w14:textFill>
        </w:rPr>
        <w:t>7</w:t>
      </w:r>
      <w:r>
        <w:rPr>
          <w:rFonts w:hint="eastAsia" w:ascii="宋体" w:hAnsi="宋体" w:eastAsia="宋体" w:cs="宋体"/>
          <w:color w:val="000000" w:themeColor="text1"/>
          <w:kern w:val="2"/>
          <w:szCs w:val="24"/>
          <w:highlight w:val="none"/>
          <w:lang w:val="en-US" w:eastAsia="zh-CN"/>
          <w14:textFill>
            <w14:solidFill>
              <w14:schemeClr w14:val="tx1"/>
            </w14:solidFill>
          </w14:textFill>
        </w:rPr>
        <w:t>月</w:t>
      </w:r>
      <w:r>
        <w:rPr>
          <w:rFonts w:hint="eastAsia" w:ascii="宋体" w:hAnsi="宋体" w:cs="宋体"/>
          <w:color w:val="000000" w:themeColor="text1"/>
          <w:kern w:val="2"/>
          <w:szCs w:val="24"/>
          <w:highlight w:val="none"/>
          <w:lang w:val="en-US" w:eastAsia="zh-CN"/>
          <w14:textFill>
            <w14:solidFill>
              <w14:schemeClr w14:val="tx1"/>
            </w14:solidFill>
          </w14:textFill>
        </w:rPr>
        <w:t>17</w:t>
      </w:r>
      <w:r>
        <w:rPr>
          <w:rFonts w:hint="eastAsia" w:ascii="宋体" w:hAnsi="宋体" w:eastAsia="宋体" w:cs="宋体"/>
          <w:color w:val="000000" w:themeColor="text1"/>
          <w:kern w:val="2"/>
          <w:szCs w:val="24"/>
          <w:highlight w:val="none"/>
          <w:lang w:val="en-US" w:eastAsia="zh-CN"/>
          <w14:textFill>
            <w14:solidFill>
              <w14:schemeClr w14:val="tx1"/>
            </w14:solidFill>
          </w14:textFill>
        </w:rPr>
        <w:t>日完成可行性研究报告编制，并通过</w:t>
      </w:r>
      <w:r>
        <w:rPr>
          <w:rFonts w:hint="eastAsia" w:ascii="宋体" w:hAnsi="宋体" w:cs="宋体"/>
          <w:color w:val="000000" w:themeColor="text1"/>
          <w:kern w:val="2"/>
          <w:szCs w:val="24"/>
          <w:highlight w:val="none"/>
          <w:lang w:val="en-US" w:eastAsia="zh-CN"/>
          <w14:textFill>
            <w14:solidFill>
              <w14:schemeClr w14:val="tx1"/>
            </w14:solidFill>
          </w14:textFill>
        </w:rPr>
        <w:t>评审</w:t>
      </w:r>
      <w:r>
        <w:rPr>
          <w:rFonts w:hint="eastAsia" w:ascii="宋体" w:hAnsi="宋体" w:eastAsia="宋体" w:cs="宋体"/>
          <w:color w:val="000000" w:themeColor="text1"/>
          <w:kern w:val="2"/>
          <w:szCs w:val="24"/>
          <w:highlight w:val="none"/>
          <w:lang w:val="en-US" w:eastAsia="zh-CN"/>
          <w14:textFill>
            <w14:solidFill>
              <w14:schemeClr w14:val="tx1"/>
            </w14:solidFill>
          </w14:textFill>
        </w:rPr>
        <w:t>。</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供应商应将对编制工期的要求在报价文件中列出详细报告编制进度计划。</w:t>
      </w:r>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76" w:name="_Toc249850663"/>
      <w:bookmarkEnd w:id="76"/>
      <w:bookmarkStart w:id="77" w:name="_Toc249850662"/>
      <w:bookmarkEnd w:id="77"/>
      <w:bookmarkStart w:id="78" w:name="_Toc249850459"/>
      <w:bookmarkEnd w:id="78"/>
      <w:bookmarkStart w:id="79" w:name="_Toc249850458"/>
      <w:bookmarkEnd w:id="79"/>
      <w:bookmarkStart w:id="80" w:name="_Toc532146785"/>
      <w:bookmarkStart w:id="81" w:name="_Toc250887503"/>
      <w:bookmarkStart w:id="82" w:name="_Toc384991572"/>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报告编制团队人员的组织要求</w:t>
      </w:r>
      <w:bookmarkEnd w:id="80"/>
      <w:bookmarkEnd w:id="81"/>
      <w:bookmarkEnd w:id="82"/>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供应商应针对该项目提交相应的报告编制团队人员，形成报告编制团队。</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报告编制团队人员及专业要求：</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本项目配置项目负责人一名，具有高级工程师及以上职称。</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报告编制团队至少包括：配电、智能化、技经等专业，报告编制团队总人数不低于3人。</w:t>
      </w:r>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83" w:name="_Toc249850462"/>
      <w:bookmarkEnd w:id="83"/>
      <w:bookmarkStart w:id="84" w:name="_Toc249850666"/>
      <w:bookmarkEnd w:id="84"/>
      <w:bookmarkStart w:id="85" w:name="_Toc249850464"/>
      <w:bookmarkEnd w:id="85"/>
      <w:bookmarkStart w:id="86" w:name="_Toc249850461"/>
      <w:bookmarkEnd w:id="86"/>
      <w:bookmarkStart w:id="87" w:name="_Toc249850669"/>
      <w:bookmarkEnd w:id="87"/>
      <w:bookmarkStart w:id="88" w:name="_Toc249850668"/>
      <w:bookmarkEnd w:id="88"/>
      <w:bookmarkStart w:id="89" w:name="_Toc249850463"/>
      <w:bookmarkEnd w:id="89"/>
      <w:bookmarkStart w:id="90" w:name="_Toc249850667"/>
      <w:bookmarkEnd w:id="90"/>
      <w:bookmarkStart w:id="91" w:name="_Toc249850465"/>
      <w:bookmarkEnd w:id="91"/>
      <w:bookmarkStart w:id="92" w:name="_Toc249850665"/>
      <w:bookmarkEnd w:id="92"/>
      <w:bookmarkStart w:id="93" w:name="_Toc384991573"/>
      <w:bookmarkStart w:id="94" w:name="_Toc532146786"/>
      <w:bookmarkStart w:id="95" w:name="_Toc250887504"/>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项目实施技术和质量保障</w:t>
      </w:r>
      <w:bookmarkEnd w:id="93"/>
      <w:bookmarkEnd w:id="94"/>
      <w:bookmarkEnd w:id="95"/>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针对本项目实施，供应商应建立相应的技术和质量保障体系，并书面提交采购方。</w:t>
      </w:r>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96" w:name="_Toc532146787"/>
      <w:bookmarkStart w:id="97" w:name="_Toc250887505"/>
      <w:bookmarkStart w:id="98" w:name="_Toc384991574"/>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报告成果要求</w:t>
      </w:r>
      <w:bookmarkEnd w:id="96"/>
      <w:bookmarkEnd w:id="97"/>
      <w:bookmarkEnd w:id="98"/>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供应商须向采购方提交可行性研究报告、设备清册、估算，并通过采购方组织的专家评审。</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上述所有可行性研究报告文件应以纸质及电子文件两种形式提交。</w:t>
      </w:r>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99" w:name="_Toc384991575"/>
      <w:bookmarkStart w:id="100" w:name="_Toc532146788"/>
      <w:bookmarkStart w:id="101" w:name="_Toc250887506"/>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报告验收</w:t>
      </w:r>
      <w:bookmarkEnd w:id="99"/>
      <w:bookmarkEnd w:id="100"/>
      <w:bookmarkEnd w:id="101"/>
    </w:p>
    <w:p>
      <w:pPr>
        <w:keepNext w:val="0"/>
        <w:keepLines w:val="0"/>
        <w:pageBreakBefore w:val="0"/>
        <w:widowControl w:val="0"/>
        <w:numPr>
          <w:ilvl w:val="0"/>
          <w:numId w:val="0"/>
        </w:numPr>
        <w:tabs>
          <w:tab w:val="left" w:pos="0"/>
          <w:tab w:val="left" w:pos="154"/>
          <w:tab w:val="left" w:pos="161"/>
          <w:tab w:val="left" w:pos="166"/>
        </w:tabs>
        <w:kinsoku/>
        <w:wordWrap/>
        <w:overflowPunct/>
        <w:topLinePunct w:val="0"/>
        <w:autoSpaceDE/>
        <w:autoSpaceDN/>
        <w:bidi w:val="0"/>
        <w:adjustRightInd/>
        <w:snapToGrid/>
        <w:spacing w:line="360" w:lineRule="auto"/>
        <w:ind w:leftChars="0" w:firstLine="420" w:firstLineChars="20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可行性研究报告验收。供应商完成可行性研究报告编制后，提出可行性研究报告验收申请，并提交相关文档，由采购方确认后，供应商负责组织双方人员、相关专家成立验收组进行验收，验收组给出验收意见。</w:t>
      </w:r>
    </w:p>
    <w:p>
      <w:pPr>
        <w:pStyle w:val="8"/>
        <w:keepNext/>
        <w:keepLines/>
        <w:numPr>
          <w:ilvl w:val="1"/>
          <w:numId w:val="12"/>
        </w:numPr>
        <w:autoSpaceDE/>
        <w:autoSpaceDN/>
        <w:adjustRightInd/>
        <w:spacing w:before="0" w:after="0" w:line="360" w:lineRule="auto"/>
        <w:ind w:left="567" w:leftChars="0" w:hanging="567" w:firstLineChars="0"/>
        <w:jc w:val="both"/>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pPr>
      <w:bookmarkStart w:id="102" w:name="_Toc250887507"/>
      <w:bookmarkStart w:id="103" w:name="_Toc532146789"/>
      <w:bookmarkStart w:id="104" w:name="_Toc384991576"/>
      <w:r>
        <w:rPr>
          <w:rFonts w:hint="eastAsia" w:ascii="黑体" w:hAnsi="黑体" w:eastAsia="黑体" w:cs="黑体"/>
          <w:b w:val="0"/>
          <w:bCs w:val="0"/>
          <w:color w:val="000000" w:themeColor="text1"/>
          <w:sz w:val="21"/>
          <w:szCs w:val="21"/>
          <w:highlight w:val="none"/>
          <w:lang w:val="en-US" w:eastAsia="zh-CN"/>
          <w14:textFill>
            <w14:solidFill>
              <w14:schemeClr w14:val="tx1"/>
            </w14:solidFill>
          </w14:textFill>
        </w:rPr>
        <w:t>其它要求</w:t>
      </w:r>
      <w:bookmarkEnd w:id="102"/>
      <w:bookmarkEnd w:id="103"/>
      <w:bookmarkEnd w:id="104"/>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供应商应对采购方参与报告编制配合的人员、组织模式、时间提出具体建议和要求。</w:t>
      </w:r>
    </w:p>
    <w:p>
      <w:pPr>
        <w:keepNext w:val="0"/>
        <w:keepLines w:val="0"/>
        <w:pageBreakBefore w:val="0"/>
        <w:widowControl w:val="0"/>
        <w:numPr>
          <w:ilvl w:val="2"/>
          <w:numId w:val="12"/>
        </w:numPr>
        <w:tabs>
          <w:tab w:val="left" w:pos="0"/>
          <w:tab w:val="left" w:pos="154"/>
          <w:tab w:val="left" w:pos="161"/>
          <w:tab w:val="left" w:pos="166"/>
        </w:tabs>
        <w:kinsoku/>
        <w:wordWrap/>
        <w:overflowPunct/>
        <w:topLinePunct w:val="0"/>
        <w:autoSpaceDE/>
        <w:autoSpaceDN/>
        <w:bidi w:val="0"/>
        <w:adjustRightInd/>
        <w:snapToGrid/>
        <w:spacing w:line="360" w:lineRule="auto"/>
        <w:ind w:left="709" w:leftChars="0" w:hanging="709" w:firstLineChars="0"/>
        <w:jc w:val="both"/>
        <w:textAlignment w:val="auto"/>
        <w:outlineLvl w:val="9"/>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t>供应商应给出编制工作开始前双方应开展的对新技术、新功能、新应用的调研建议和计划，并共同开展相关的调研工作，形成调研成果，将成果应用到报告中。</w:t>
      </w:r>
    </w:p>
    <w:p>
      <w:pPr>
        <w:rPr>
          <w:rFonts w:hint="eastAsia" w:ascii="宋体" w:hAnsi="宋体" w:eastAsia="宋体" w:cs="宋体"/>
          <w:color w:val="000000" w:themeColor="text1"/>
          <w:kern w:val="2"/>
          <w:szCs w:val="24"/>
          <w:highlight w:val="none"/>
          <w:lang w:val="en-US" w:eastAsia="zh-CN"/>
          <w14:textFill>
            <w14:solidFill>
              <w14:schemeClr w14:val="tx1"/>
            </w14:solidFill>
          </w14:textFill>
        </w:rPr>
      </w:pPr>
      <w:r>
        <w:rPr>
          <w:rFonts w:hint="eastAsia" w:ascii="宋体" w:hAnsi="宋体" w:eastAsia="宋体" w:cs="宋体"/>
          <w:color w:val="000000" w:themeColor="text1"/>
          <w:kern w:val="2"/>
          <w:szCs w:val="24"/>
          <w:highlight w:val="none"/>
          <w:lang w:val="en-US" w:eastAsia="zh-CN"/>
          <w14:textFill>
            <w14:solidFill>
              <w14:schemeClr w14:val="tx1"/>
            </w14:solidFill>
          </w14:textFill>
        </w:rPr>
        <w:br w:type="page"/>
      </w:r>
    </w:p>
    <w:p>
      <w:pPr>
        <w:pStyle w:val="7"/>
        <w:keepNext/>
        <w:keepLines/>
        <w:pageBreakBefore w:val="0"/>
        <w:widowControl w:val="0"/>
        <w:numPr>
          <w:ilvl w:val="0"/>
          <w:numId w:val="1"/>
        </w:numPr>
        <w:kinsoku/>
        <w:wordWrap/>
        <w:overflowPunct/>
        <w:topLinePunct/>
        <w:autoSpaceDE/>
        <w:autoSpaceDN/>
        <w:bidi w:val="0"/>
        <w:adjustRightInd/>
        <w:snapToGrid/>
        <w:spacing w:before="0" w:beforeAutospacing="0" w:after="0" w:afterAutospacing="0" w:line="480" w:lineRule="auto"/>
        <w:ind w:left="0" w:leftChars="0" w:firstLine="0" w:firstLineChars="0"/>
        <w:jc w:val="both"/>
        <w:textAlignment w:val="baseline"/>
        <w:rPr>
          <w:rFonts w:hint="eastAsia" w:ascii="黑体" w:hAnsi="黑体" w:eastAsia="黑体" w:cs="黑体"/>
          <w:b/>
          <w:color w:val="000000" w:themeColor="text1"/>
          <w:kern w:val="44"/>
          <w:sz w:val="21"/>
          <w:szCs w:val="21"/>
          <w:highlight w:val="none"/>
          <w:lang w:val="en-US" w:eastAsia="zh-CN"/>
          <w14:textFill>
            <w14:solidFill>
              <w14:schemeClr w14:val="tx1"/>
            </w14:solidFill>
          </w14:textFill>
        </w:rPr>
      </w:pPr>
      <w:r>
        <w:rPr>
          <w:rFonts w:hint="eastAsia" w:ascii="黑体" w:hAnsi="黑体" w:eastAsia="黑体" w:cs="黑体"/>
          <w:b/>
          <w:color w:val="000000" w:themeColor="text1"/>
          <w:kern w:val="44"/>
          <w:sz w:val="21"/>
          <w:szCs w:val="21"/>
          <w:highlight w:val="none"/>
          <w:lang w:val="en-US" w:eastAsia="zh-CN"/>
          <w14:textFill>
            <w14:solidFill>
              <w14:schemeClr w14:val="tx1"/>
            </w14:solidFill>
          </w14:textFill>
        </w:rPr>
        <w:t>附件</w:t>
      </w:r>
      <w:r>
        <w:rPr>
          <w:rFonts w:hint="eastAsia" w:hAnsi="黑体" w:cs="黑体"/>
          <w:b/>
          <w:color w:val="000000" w:themeColor="text1"/>
          <w:kern w:val="44"/>
          <w:sz w:val="21"/>
          <w:szCs w:val="21"/>
          <w:highlight w:val="none"/>
          <w:lang w:val="en-US" w:eastAsia="zh-CN"/>
          <w14:textFill>
            <w14:solidFill>
              <w14:schemeClr w14:val="tx1"/>
            </w14:solidFill>
          </w14:textFill>
        </w:rPr>
        <w:t>一</w:t>
      </w:r>
      <w:r>
        <w:rPr>
          <w:rFonts w:hint="eastAsia" w:ascii="黑体" w:hAnsi="黑体" w:eastAsia="黑体" w:cs="黑体"/>
          <w:b/>
          <w:color w:val="000000" w:themeColor="text1"/>
          <w:kern w:val="44"/>
          <w:sz w:val="21"/>
          <w:szCs w:val="21"/>
          <w:highlight w:val="none"/>
          <w:lang w:val="en-US" w:eastAsia="zh-CN"/>
          <w14:textFill>
            <w14:solidFill>
              <w14:schemeClr w14:val="tx1"/>
            </w14:solidFill>
          </w14:textFill>
        </w:rPr>
        <w:t>：报价函</w:t>
      </w:r>
    </w:p>
    <w:p>
      <w:pPr>
        <w:spacing w:line="360" w:lineRule="auto"/>
        <w:jc w:val="center"/>
        <w:rPr>
          <w:rFonts w:hint="eastAsia" w:ascii="黑体" w:hAnsi="黑体" w:eastAsia="黑体" w:cs="黑体"/>
          <w:b/>
          <w:color w:val="000000"/>
          <w:sz w:val="24"/>
          <w:lang w:val="en-US" w:eastAsia="zh-CN"/>
        </w:rPr>
      </w:pPr>
      <w:r>
        <w:rPr>
          <w:rFonts w:hint="eastAsia" w:ascii="黑体" w:hAnsi="黑体" w:eastAsia="黑体" w:cs="黑体"/>
          <w:b/>
          <w:color w:val="000000"/>
          <w:sz w:val="24"/>
          <w:lang w:eastAsia="zh-CN"/>
        </w:rPr>
        <w:t>南网国际公司生产监控中心建设项目</w:t>
      </w:r>
      <w:r>
        <w:rPr>
          <w:rFonts w:hint="eastAsia" w:ascii="黑体" w:hAnsi="黑体" w:eastAsia="黑体" w:cs="黑体"/>
          <w:b/>
          <w:color w:val="000000"/>
          <w:sz w:val="24"/>
        </w:rPr>
        <w:t>项目</w:t>
      </w:r>
      <w:r>
        <w:rPr>
          <w:rFonts w:hint="eastAsia" w:ascii="黑体" w:hAnsi="黑体" w:eastAsia="黑体" w:cs="黑体"/>
          <w:b/>
          <w:color w:val="000000"/>
          <w:sz w:val="24"/>
          <w:lang w:val="en-US" w:eastAsia="zh-CN"/>
        </w:rPr>
        <w:t>及</w:t>
      </w:r>
    </w:p>
    <w:p>
      <w:pPr>
        <w:spacing w:line="360" w:lineRule="auto"/>
        <w:jc w:val="center"/>
        <w:rPr>
          <w:rFonts w:hint="eastAsia" w:ascii="黑体" w:hAnsi="黑体" w:eastAsia="黑体" w:cs="黑体"/>
          <w:b/>
          <w:color w:val="000000"/>
          <w:sz w:val="24"/>
          <w:lang w:val="en-US" w:eastAsia="zh-CN"/>
        </w:rPr>
      </w:pPr>
      <w:r>
        <w:rPr>
          <w:rFonts w:hint="eastAsia" w:ascii="黑体" w:hAnsi="黑体" w:eastAsia="黑体" w:cs="黑体"/>
          <w:b/>
          <w:color w:val="000000"/>
          <w:sz w:val="24"/>
          <w:lang w:eastAsia="zh-CN"/>
        </w:rPr>
        <w:t>南网国际公司会议室音视频建设项目</w:t>
      </w:r>
    </w:p>
    <w:p>
      <w:pPr>
        <w:spacing w:line="360" w:lineRule="auto"/>
        <w:jc w:val="center"/>
        <w:rPr>
          <w:rFonts w:hint="eastAsia" w:ascii="黑体" w:hAnsi="黑体" w:eastAsia="黑体" w:cs="黑体"/>
          <w:b/>
          <w:color w:val="000000"/>
          <w:sz w:val="24"/>
        </w:rPr>
      </w:pPr>
      <w:r>
        <w:rPr>
          <w:rFonts w:hint="eastAsia" w:ascii="黑体" w:hAnsi="黑体" w:eastAsia="黑体" w:cs="黑体"/>
          <w:b/>
          <w:color w:val="000000"/>
          <w:sz w:val="24"/>
        </w:rPr>
        <w:t>最终报价函</w:t>
      </w:r>
    </w:p>
    <w:p>
      <w:pPr>
        <w:spacing w:line="360" w:lineRule="auto"/>
        <w:rPr>
          <w:rFonts w:hint="eastAsia" w:ascii="宋体" w:hAnsi="宋体"/>
          <w:color w:val="000000"/>
          <w:sz w:val="24"/>
        </w:rPr>
      </w:pPr>
    </w:p>
    <w:p>
      <w:pPr>
        <w:keepNext w:val="0"/>
        <w:keepLines w:val="0"/>
        <w:pageBreakBefore w:val="0"/>
        <w:widowControl w:val="0"/>
        <w:kinsoku/>
        <w:overflowPunct/>
        <w:topLinePunct w:val="0"/>
        <w:autoSpaceDE w:val="0"/>
        <w:autoSpaceDN w:val="0"/>
        <w:bidi w:val="0"/>
        <w:adjustRightInd w:val="0"/>
        <w:spacing w:line="360" w:lineRule="auto"/>
        <w:textAlignment w:val="auto"/>
        <w:rPr>
          <w:rFonts w:hint="eastAsia" w:ascii="宋体" w:hAnsi="宋体"/>
          <w:color w:val="000000"/>
          <w:sz w:val="24"/>
        </w:rPr>
      </w:pPr>
      <w:r>
        <w:rPr>
          <w:rFonts w:hint="eastAsia" w:ascii="宋体" w:hAnsi="宋体"/>
          <w:color w:val="000000"/>
          <w:sz w:val="24"/>
          <w:lang w:val="en-US" w:eastAsia="zh-CN"/>
        </w:rPr>
        <w:t>南方电网国际有限责任公司</w:t>
      </w:r>
      <w:r>
        <w:rPr>
          <w:rFonts w:hint="eastAsia" w:ascii="宋体" w:hAnsi="宋体"/>
          <w:color w:val="000000"/>
          <w:sz w:val="24"/>
        </w:rPr>
        <w:t>：</w:t>
      </w:r>
    </w:p>
    <w:p>
      <w:pPr>
        <w:keepNext w:val="0"/>
        <w:keepLines w:val="0"/>
        <w:pageBreakBefore w:val="0"/>
        <w:widowControl w:val="0"/>
        <w:kinsoku/>
        <w:overflowPunct/>
        <w:topLinePunct w:val="0"/>
        <w:autoSpaceDE w:val="0"/>
        <w:autoSpaceDN w:val="0"/>
        <w:bidi w:val="0"/>
        <w:adjustRightInd w:val="0"/>
        <w:spacing w:line="360" w:lineRule="auto"/>
        <w:ind w:firstLine="480" w:firstLineChars="200"/>
        <w:textAlignment w:val="auto"/>
        <w:rPr>
          <w:rFonts w:hint="eastAsia" w:ascii="宋体" w:hAnsi="宋体"/>
          <w:color w:val="000000"/>
          <w:sz w:val="24"/>
          <w:lang w:val="en-US" w:eastAsia="zh-CN"/>
        </w:rPr>
      </w:pPr>
      <w:r>
        <w:rPr>
          <w:rFonts w:hint="eastAsia" w:ascii="宋体" w:hAnsi="宋体"/>
          <w:color w:val="000000"/>
          <w:sz w:val="24"/>
          <w:lang w:val="en-US" w:eastAsia="zh-CN"/>
        </w:rPr>
        <w:t>我们已完全清楚该项目的内容和相关要求，并同意参加报价。经研究，我单位</w:t>
      </w:r>
      <w:r>
        <w:rPr>
          <w:rFonts w:hint="eastAsia" w:ascii="宋体" w:hAnsi="宋体"/>
          <w:color w:val="000000"/>
          <w:sz w:val="24"/>
          <w:highlight w:val="none"/>
          <w:lang w:val="en-US" w:eastAsia="zh-CN"/>
        </w:rPr>
        <w:t>愿以人民币（大写）</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元（￥</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元）</w:t>
      </w:r>
      <w:r>
        <w:rPr>
          <w:rFonts w:hint="eastAsia" w:ascii="宋体" w:hAnsi="宋体"/>
          <w:color w:val="000000"/>
          <w:sz w:val="24"/>
          <w:lang w:val="en-US" w:eastAsia="zh-CN"/>
        </w:rPr>
        <w:t>的总报价，按采购文件约定的内容实施。</w:t>
      </w:r>
    </w:p>
    <w:p>
      <w:pPr>
        <w:keepNext w:val="0"/>
        <w:keepLines w:val="0"/>
        <w:pageBreakBefore w:val="0"/>
        <w:widowControl w:val="0"/>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color w:val="000000"/>
          <w:sz w:val="24"/>
        </w:rPr>
      </w:pPr>
    </w:p>
    <w:p>
      <w:pPr>
        <w:keepNext w:val="0"/>
        <w:keepLines w:val="0"/>
        <w:pageBreakBefore w:val="0"/>
        <w:widowControl w:val="0"/>
        <w:kinsoku/>
        <w:overflowPunct/>
        <w:topLinePunct w:val="0"/>
        <w:autoSpaceDE w:val="0"/>
        <w:autoSpaceDN w:val="0"/>
        <w:bidi w:val="0"/>
        <w:adjustRightInd w:val="0"/>
        <w:spacing w:line="360" w:lineRule="auto"/>
        <w:ind w:firstLine="645"/>
        <w:textAlignment w:val="auto"/>
        <w:rPr>
          <w:rFonts w:hint="eastAsia" w:ascii="宋体" w:hAnsi="宋体"/>
          <w:color w:val="000000"/>
          <w:sz w:val="24"/>
        </w:rPr>
      </w:pPr>
    </w:p>
    <w:p>
      <w:pPr>
        <w:keepNext w:val="0"/>
        <w:keepLines w:val="0"/>
        <w:pageBreakBefore w:val="0"/>
        <w:widowControl w:val="0"/>
        <w:kinsoku/>
        <w:overflowPunct/>
        <w:topLinePunct w:val="0"/>
        <w:autoSpaceDE w:val="0"/>
        <w:autoSpaceDN w:val="0"/>
        <w:bidi w:val="0"/>
        <w:adjustRightInd w:val="0"/>
        <w:spacing w:line="360" w:lineRule="auto"/>
        <w:jc w:val="right"/>
        <w:textAlignment w:val="auto"/>
        <w:rPr>
          <w:rFonts w:ascii="宋体" w:hAnsi="宋体"/>
          <w:spacing w:val="-4"/>
          <w:sz w:val="24"/>
          <w:szCs w:val="24"/>
        </w:rPr>
      </w:pPr>
      <w:r>
        <w:rPr>
          <w:rFonts w:hint="eastAsia" w:ascii="宋体" w:hAnsi="宋体"/>
          <w:spacing w:val="-4"/>
          <w:sz w:val="24"/>
          <w:szCs w:val="24"/>
        </w:rPr>
        <w:t>单位名称：</w:t>
      </w:r>
      <w:r>
        <w:rPr>
          <w:rFonts w:hint="eastAsia" w:ascii="宋体" w:hAnsi="宋体"/>
          <w:spacing w:val="-4"/>
          <w:sz w:val="24"/>
          <w:szCs w:val="24"/>
          <w:u w:val="single"/>
          <w:lang w:val="en-US" w:eastAsia="zh-CN"/>
        </w:rPr>
        <w:t xml:space="preserve">                   </w:t>
      </w:r>
      <w:r>
        <w:rPr>
          <w:rFonts w:hint="eastAsia" w:ascii="宋体" w:hAnsi="宋体"/>
          <w:spacing w:val="-4"/>
          <w:sz w:val="24"/>
          <w:szCs w:val="24"/>
        </w:rPr>
        <w:t>（单位公章）</w:t>
      </w:r>
    </w:p>
    <w:p>
      <w:pPr>
        <w:keepNext w:val="0"/>
        <w:keepLines w:val="0"/>
        <w:pageBreakBefore w:val="0"/>
        <w:widowControl w:val="0"/>
        <w:kinsoku/>
        <w:overflowPunct/>
        <w:topLinePunct w:val="0"/>
        <w:autoSpaceDE w:val="0"/>
        <w:autoSpaceDN w:val="0"/>
        <w:bidi w:val="0"/>
        <w:adjustRightInd w:val="0"/>
        <w:spacing w:line="360" w:lineRule="auto"/>
        <w:textAlignment w:val="auto"/>
        <w:rPr>
          <w:rFonts w:hint="eastAsia" w:ascii="宋体" w:hAnsi="宋体"/>
          <w:spacing w:val="-4"/>
          <w:sz w:val="24"/>
          <w:szCs w:val="24"/>
        </w:rPr>
      </w:pPr>
    </w:p>
    <w:p>
      <w:pPr>
        <w:keepNext w:val="0"/>
        <w:keepLines w:val="0"/>
        <w:pageBreakBefore w:val="0"/>
        <w:widowControl w:val="0"/>
        <w:kinsoku/>
        <w:wordWrap w:val="0"/>
        <w:overflowPunct/>
        <w:topLinePunct w:val="0"/>
        <w:autoSpaceDE w:val="0"/>
        <w:autoSpaceDN w:val="0"/>
        <w:bidi w:val="0"/>
        <w:adjustRightInd w:val="0"/>
        <w:ind w:left="105" w:hanging="105" w:hangingChars="50"/>
        <w:jc w:val="right"/>
        <w:textAlignment w:val="auto"/>
        <w:rPr>
          <w:rFonts w:hint="default" w:hAnsi="宋体" w:eastAsia="宋体"/>
          <w:sz w:val="24"/>
          <w:szCs w:val="24"/>
          <w:lang w:val="en-US" w:eastAsia="zh-CN"/>
        </w:rPr>
      </w:pPr>
      <w:bookmarkStart w:id="105" w:name="_GoBack"/>
      <w:bookmarkEnd w:id="105"/>
      <w:r>
        <w:rPr>
          <w:rFonts w:hint="eastAsia"/>
        </w:rPr>
        <w:t xml:space="preserve"> </w:t>
      </w:r>
      <w:r>
        <w:rPr>
          <w:rFonts w:hint="eastAsia" w:cs="宋体"/>
          <w:sz w:val="24"/>
          <w:szCs w:val="24"/>
        </w:rPr>
        <w:t>年</w:t>
      </w:r>
      <w:r>
        <w:rPr>
          <w:rFonts w:hint="eastAsia" w:cs="宋体"/>
          <w:sz w:val="24"/>
          <w:szCs w:val="24"/>
          <w:lang w:val="en-US" w:eastAsia="zh-CN"/>
        </w:rPr>
        <w:t xml:space="preserve">    </w:t>
      </w:r>
      <w:r>
        <w:rPr>
          <w:rFonts w:hint="eastAsia" w:cs="宋体"/>
          <w:sz w:val="24"/>
          <w:szCs w:val="24"/>
        </w:rPr>
        <w:t>月</w:t>
      </w:r>
      <w:r>
        <w:rPr>
          <w:rFonts w:hint="eastAsia" w:cs="宋体"/>
          <w:sz w:val="24"/>
          <w:szCs w:val="24"/>
          <w:lang w:val="en-US" w:eastAsia="zh-CN"/>
        </w:rPr>
        <w:t xml:space="preserve">    </w:t>
      </w:r>
      <w:r>
        <w:rPr>
          <w:rFonts w:hint="eastAsia" w:cs="宋体"/>
          <w:sz w:val="24"/>
          <w:szCs w:val="24"/>
        </w:rPr>
        <w:t>日</w:t>
      </w:r>
      <w:r>
        <w:rPr>
          <w:rFonts w:hint="eastAsia" w:cs="宋体"/>
          <w:sz w:val="24"/>
          <w:szCs w:val="24"/>
          <w:lang w:val="en-US" w:eastAsia="zh-CN"/>
        </w:rPr>
        <w:t xml:space="preserve">              </w:t>
      </w:r>
    </w:p>
    <w:bookmarkEnd w:id="69"/>
    <w:bookmarkEnd w:id="70"/>
    <w:bookmarkEnd w:id="71"/>
    <w:p>
      <w:pPr>
        <w:pStyle w:val="29"/>
        <w:spacing w:before="156"/>
        <w:ind w:left="0" w:leftChars="0" w:firstLine="0" w:firstLineChars="0"/>
        <w:rPr>
          <w:rFonts w:ascii="宋体" w:hAnsi="宋体" w:cs="宋体"/>
          <w:sz w:val="24"/>
          <w:szCs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ADDB9"/>
    <w:multiLevelType w:val="multilevel"/>
    <w:tmpl w:val="860ADDB9"/>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8D652499"/>
    <w:multiLevelType w:val="multilevel"/>
    <w:tmpl w:val="8D652499"/>
    <w:lvl w:ilvl="0" w:tentative="0">
      <w:start w:val="3"/>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9A06C8C3"/>
    <w:multiLevelType w:val="singleLevel"/>
    <w:tmpl w:val="9A06C8C3"/>
    <w:lvl w:ilvl="0" w:tentative="0">
      <w:start w:val="1"/>
      <w:numFmt w:val="decimal"/>
      <w:lvlText w:val="(%1)"/>
      <w:lvlJc w:val="left"/>
      <w:pPr>
        <w:ind w:left="425" w:hanging="425"/>
      </w:pPr>
      <w:rPr>
        <w:rFonts w:hint="default"/>
      </w:rPr>
    </w:lvl>
  </w:abstractNum>
  <w:abstractNum w:abstractNumId="3">
    <w:nsid w:val="9AEAC8F8"/>
    <w:multiLevelType w:val="multilevel"/>
    <w:tmpl w:val="9AEAC8F8"/>
    <w:lvl w:ilvl="0" w:tentative="0">
      <w:start w:val="1"/>
      <w:numFmt w:val="decimal"/>
      <w:suff w:val="space"/>
      <w:lvlText w:val="%1"/>
      <w:lvlJc w:val="left"/>
      <w:pPr>
        <w:ind w:left="0" w:firstLine="0"/>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A36DE68A"/>
    <w:multiLevelType w:val="multilevel"/>
    <w:tmpl w:val="A36DE68A"/>
    <w:lvl w:ilvl="0" w:tentative="0">
      <w:start w:val="3"/>
      <w:numFmt w:val="decimal"/>
      <w:lvlText w:val="%1."/>
      <w:lvlJc w:val="left"/>
      <w:pPr>
        <w:ind w:left="425" w:hanging="425"/>
      </w:pPr>
      <w:rPr>
        <w:rFonts w:hint="default" w:ascii="宋体" w:hAnsi="宋体" w:eastAsia="宋体" w:cs="宋体"/>
      </w:rPr>
    </w:lvl>
    <w:lvl w:ilvl="1" w:tentative="0">
      <w:start w:val="4"/>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5">
    <w:nsid w:val="B0F75318"/>
    <w:multiLevelType w:val="singleLevel"/>
    <w:tmpl w:val="B0F75318"/>
    <w:lvl w:ilvl="0" w:tentative="0">
      <w:start w:val="1"/>
      <w:numFmt w:val="decimal"/>
      <w:lvlText w:val="(%1)"/>
      <w:lvlJc w:val="left"/>
      <w:pPr>
        <w:ind w:left="425" w:hanging="425"/>
      </w:pPr>
      <w:rPr>
        <w:rFonts w:hint="default"/>
      </w:rPr>
    </w:lvl>
  </w:abstractNum>
  <w:abstractNum w:abstractNumId="6">
    <w:nsid w:val="D20FBC0D"/>
    <w:multiLevelType w:val="multilevel"/>
    <w:tmpl w:val="D20FBC0D"/>
    <w:lvl w:ilvl="0" w:tentative="0">
      <w:start w:val="3"/>
      <w:numFmt w:val="decimal"/>
      <w:lvlText w:val="%1."/>
      <w:lvlJc w:val="left"/>
      <w:pPr>
        <w:ind w:left="425" w:hanging="425"/>
      </w:pPr>
      <w:rPr>
        <w:rFonts w:hint="default" w:ascii="宋体" w:hAnsi="宋体" w:eastAsia="宋体" w:cs="宋体"/>
      </w:rPr>
    </w:lvl>
    <w:lvl w:ilvl="1" w:tentative="0">
      <w:start w:val="3"/>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D4DB830E"/>
    <w:multiLevelType w:val="multilevel"/>
    <w:tmpl w:val="D4DB830E"/>
    <w:lvl w:ilvl="0" w:tentative="0">
      <w:start w:val="2"/>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黑体" w:hAnsi="黑体" w:eastAsia="黑体" w:cs="黑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FC35C4DE"/>
    <w:multiLevelType w:val="multilevel"/>
    <w:tmpl w:val="FC35C4DE"/>
    <w:lvl w:ilvl="0" w:tentative="0">
      <w:start w:val="4"/>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14D4BCAF"/>
    <w:multiLevelType w:val="multilevel"/>
    <w:tmpl w:val="14D4BCAF"/>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黑体" w:hAnsi="黑体" w:eastAsia="黑体" w:cs="黑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1D443782"/>
    <w:multiLevelType w:val="multilevel"/>
    <w:tmpl w:val="1D443782"/>
    <w:lvl w:ilvl="0" w:tentative="0">
      <w:start w:val="3"/>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1">
    <w:nsid w:val="1E9EF811"/>
    <w:multiLevelType w:val="singleLevel"/>
    <w:tmpl w:val="1E9EF811"/>
    <w:lvl w:ilvl="0" w:tentative="0">
      <w:start w:val="1"/>
      <w:numFmt w:val="decimal"/>
      <w:lvlText w:val="(%1)"/>
      <w:lvlJc w:val="left"/>
      <w:pPr>
        <w:ind w:left="425" w:hanging="425"/>
      </w:pPr>
      <w:rPr>
        <w:rFonts w:hint="default"/>
      </w:rPr>
    </w:lvl>
  </w:abstractNum>
  <w:num w:numId="1">
    <w:abstractNumId w:val="3"/>
  </w:num>
  <w:num w:numId="2">
    <w:abstractNumId w:val="9"/>
  </w:num>
  <w:num w:numId="3">
    <w:abstractNumId w:val="0"/>
  </w:num>
  <w:num w:numId="4">
    <w:abstractNumId w:val="11"/>
  </w:num>
  <w:num w:numId="5">
    <w:abstractNumId w:val="2"/>
  </w:num>
  <w:num w:numId="6">
    <w:abstractNumId w:val="7"/>
  </w:num>
  <w:num w:numId="7">
    <w:abstractNumId w:val="1"/>
  </w:num>
  <w:num w:numId="8">
    <w:abstractNumId w:val="10"/>
  </w:num>
  <w:num w:numId="9">
    <w:abstractNumId w:val="5"/>
  </w:num>
  <w:num w:numId="10">
    <w:abstractNumId w:val="6"/>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DAE"/>
    <w:rsid w:val="001113BD"/>
    <w:rsid w:val="0012396A"/>
    <w:rsid w:val="001B6251"/>
    <w:rsid w:val="00233393"/>
    <w:rsid w:val="00245DB2"/>
    <w:rsid w:val="002C146C"/>
    <w:rsid w:val="00333138"/>
    <w:rsid w:val="00345B35"/>
    <w:rsid w:val="00366E39"/>
    <w:rsid w:val="0036797B"/>
    <w:rsid w:val="00367E1B"/>
    <w:rsid w:val="003C4E27"/>
    <w:rsid w:val="003E060C"/>
    <w:rsid w:val="004133FB"/>
    <w:rsid w:val="00416163"/>
    <w:rsid w:val="00432777"/>
    <w:rsid w:val="004350B3"/>
    <w:rsid w:val="004E4C5A"/>
    <w:rsid w:val="00515A72"/>
    <w:rsid w:val="00547F57"/>
    <w:rsid w:val="0059791D"/>
    <w:rsid w:val="005B4008"/>
    <w:rsid w:val="005C030B"/>
    <w:rsid w:val="006B61B8"/>
    <w:rsid w:val="00715356"/>
    <w:rsid w:val="00723E66"/>
    <w:rsid w:val="00744CC3"/>
    <w:rsid w:val="007B0FCD"/>
    <w:rsid w:val="007B7F74"/>
    <w:rsid w:val="008048DC"/>
    <w:rsid w:val="00841C5E"/>
    <w:rsid w:val="008521DE"/>
    <w:rsid w:val="008C3D93"/>
    <w:rsid w:val="00935995"/>
    <w:rsid w:val="009837EA"/>
    <w:rsid w:val="00A034A2"/>
    <w:rsid w:val="00A4758D"/>
    <w:rsid w:val="00A510A3"/>
    <w:rsid w:val="00A965AE"/>
    <w:rsid w:val="00AB3477"/>
    <w:rsid w:val="00B50046"/>
    <w:rsid w:val="00B75A28"/>
    <w:rsid w:val="00BF3065"/>
    <w:rsid w:val="00C102DC"/>
    <w:rsid w:val="00C2790A"/>
    <w:rsid w:val="00C60CE6"/>
    <w:rsid w:val="00C61E9B"/>
    <w:rsid w:val="00C64131"/>
    <w:rsid w:val="00C70DDB"/>
    <w:rsid w:val="00C91A01"/>
    <w:rsid w:val="00CA40A1"/>
    <w:rsid w:val="00CF4486"/>
    <w:rsid w:val="00D52323"/>
    <w:rsid w:val="00D53F8A"/>
    <w:rsid w:val="00DB1206"/>
    <w:rsid w:val="00DC5CCB"/>
    <w:rsid w:val="00DC613B"/>
    <w:rsid w:val="00DE1F0F"/>
    <w:rsid w:val="00DE28C4"/>
    <w:rsid w:val="00DF40B5"/>
    <w:rsid w:val="00E17A2B"/>
    <w:rsid w:val="00E20C98"/>
    <w:rsid w:val="00E30F4F"/>
    <w:rsid w:val="00E33383"/>
    <w:rsid w:val="00E73DAE"/>
    <w:rsid w:val="00EA0DD6"/>
    <w:rsid w:val="00F03C0D"/>
    <w:rsid w:val="00F23E2B"/>
    <w:rsid w:val="00F730A3"/>
    <w:rsid w:val="00FE53CA"/>
    <w:rsid w:val="039371DC"/>
    <w:rsid w:val="04722D72"/>
    <w:rsid w:val="058645FB"/>
    <w:rsid w:val="06EB656A"/>
    <w:rsid w:val="07C82CA9"/>
    <w:rsid w:val="0D9A23A9"/>
    <w:rsid w:val="0F203584"/>
    <w:rsid w:val="11F50B3F"/>
    <w:rsid w:val="15937028"/>
    <w:rsid w:val="164C2CF7"/>
    <w:rsid w:val="182C4B8E"/>
    <w:rsid w:val="1C3A60A9"/>
    <w:rsid w:val="1D57445C"/>
    <w:rsid w:val="1E8374C0"/>
    <w:rsid w:val="1FED145C"/>
    <w:rsid w:val="210050BB"/>
    <w:rsid w:val="24AA57B9"/>
    <w:rsid w:val="25050C41"/>
    <w:rsid w:val="2540611D"/>
    <w:rsid w:val="26EE286B"/>
    <w:rsid w:val="2B7B5847"/>
    <w:rsid w:val="2B904171"/>
    <w:rsid w:val="2C790A71"/>
    <w:rsid w:val="2C9E7E66"/>
    <w:rsid w:val="2D2B1461"/>
    <w:rsid w:val="2D834DF9"/>
    <w:rsid w:val="2EF17758"/>
    <w:rsid w:val="31863431"/>
    <w:rsid w:val="33E3538F"/>
    <w:rsid w:val="35F5260C"/>
    <w:rsid w:val="3C261771"/>
    <w:rsid w:val="3C667DC0"/>
    <w:rsid w:val="3D4F5065"/>
    <w:rsid w:val="3D7F7460"/>
    <w:rsid w:val="3F0806A9"/>
    <w:rsid w:val="40041DC9"/>
    <w:rsid w:val="41EF2605"/>
    <w:rsid w:val="42743BDD"/>
    <w:rsid w:val="44CD30D2"/>
    <w:rsid w:val="45C527AC"/>
    <w:rsid w:val="47163D7B"/>
    <w:rsid w:val="4793420A"/>
    <w:rsid w:val="48730AF0"/>
    <w:rsid w:val="48D85DE2"/>
    <w:rsid w:val="4A1470AD"/>
    <w:rsid w:val="4AA04DE4"/>
    <w:rsid w:val="4B1B26BD"/>
    <w:rsid w:val="4CFA4E04"/>
    <w:rsid w:val="4D64368B"/>
    <w:rsid w:val="4D761E2D"/>
    <w:rsid w:val="4DF53699"/>
    <w:rsid w:val="57407733"/>
    <w:rsid w:val="57477379"/>
    <w:rsid w:val="5A4F5EDF"/>
    <w:rsid w:val="5BB44884"/>
    <w:rsid w:val="5C050F4B"/>
    <w:rsid w:val="5CB0535B"/>
    <w:rsid w:val="5DB93D9B"/>
    <w:rsid w:val="5E4D11C2"/>
    <w:rsid w:val="5F3C2ED6"/>
    <w:rsid w:val="60D307C2"/>
    <w:rsid w:val="62AA4BF1"/>
    <w:rsid w:val="67050051"/>
    <w:rsid w:val="68A67612"/>
    <w:rsid w:val="68C33386"/>
    <w:rsid w:val="69032CF6"/>
    <w:rsid w:val="699657D3"/>
    <w:rsid w:val="6A31781D"/>
    <w:rsid w:val="6A37140D"/>
    <w:rsid w:val="6C2216A6"/>
    <w:rsid w:val="6D5727F3"/>
    <w:rsid w:val="6EF07F0F"/>
    <w:rsid w:val="719B786C"/>
    <w:rsid w:val="738A200A"/>
    <w:rsid w:val="75093403"/>
    <w:rsid w:val="76152B70"/>
    <w:rsid w:val="78E506EA"/>
    <w:rsid w:val="7A794B87"/>
    <w:rsid w:val="7C9F63FA"/>
    <w:rsid w:val="7CBA6C45"/>
    <w:rsid w:val="7F131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spacing w:line="360" w:lineRule="auto"/>
    </w:pPr>
    <w:rPr>
      <w:rFonts w:ascii="Arial" w:hAnsi="Arial" w:eastAsia="宋体" w:cs="Times New Roman"/>
      <w:kern w:val="0"/>
      <w:sz w:val="21"/>
      <w:szCs w:val="21"/>
      <w:lang w:val="en-US" w:eastAsia="zh-CN" w:bidi="ar-SA"/>
    </w:rPr>
  </w:style>
  <w:style w:type="paragraph" w:styleId="7">
    <w:name w:val="heading 1"/>
    <w:basedOn w:val="1"/>
    <w:next w:val="1"/>
    <w:link w:val="22"/>
    <w:qFormat/>
    <w:uiPriority w:val="0"/>
    <w:pPr>
      <w:pageBreakBefore/>
      <w:spacing w:before="100" w:beforeAutospacing="1" w:after="100" w:afterAutospacing="1" w:line="500" w:lineRule="exact"/>
      <w:jc w:val="center"/>
      <w:outlineLvl w:val="0"/>
    </w:pPr>
    <w:rPr>
      <w:rFonts w:ascii="黑体" w:hAnsi="华文楷体" w:eastAsia="黑体"/>
      <w:b/>
      <w:sz w:val="36"/>
      <w:szCs w:val="36"/>
    </w:rPr>
  </w:style>
  <w:style w:type="paragraph" w:styleId="8">
    <w:name w:val="heading 2"/>
    <w:basedOn w:val="1"/>
    <w:next w:val="1"/>
    <w:link w:val="23"/>
    <w:qFormat/>
    <w:uiPriority w:val="0"/>
    <w:pPr>
      <w:outlineLvl w:val="1"/>
    </w:pPr>
    <w:rPr>
      <w:rFonts w:ascii="楷体_GB2312" w:hAnsi="华文楷体" w:eastAsia="楷体_GB2312"/>
      <w:b/>
      <w:kern w:val="2"/>
      <w:sz w:val="30"/>
      <w:szCs w:val="30"/>
      <w:lang w:val="zh-CN"/>
    </w:rPr>
  </w:style>
  <w:style w:type="paragraph" w:styleId="9">
    <w:name w:val="heading 4"/>
    <w:basedOn w:val="1"/>
    <w:next w:val="1"/>
    <w:link w:val="4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10">
    <w:name w:val="heading 6"/>
    <w:basedOn w:val="1"/>
    <w:next w:val="1"/>
    <w:link w:val="42"/>
    <w:unhideWhenUsed/>
    <w:qFormat/>
    <w:uiPriority w:val="0"/>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spacing w:after="120"/>
      <w:ind w:left="420" w:leftChars="200" w:firstLine="420" w:firstLineChars="200"/>
    </w:pPr>
    <w:rPr>
      <w:szCs w:val="24"/>
    </w:rPr>
  </w:style>
  <w:style w:type="paragraph" w:styleId="3">
    <w:name w:val="Body Text Indent"/>
    <w:basedOn w:val="1"/>
    <w:next w:val="2"/>
    <w:qFormat/>
    <w:uiPriority w:val="0"/>
    <w:pPr>
      <w:ind w:left="1440" w:hanging="720"/>
    </w:pPr>
    <w:rPr>
      <w:szCs w:val="20"/>
    </w:rPr>
  </w:style>
  <w:style w:type="paragraph" w:styleId="4">
    <w:name w:val="Body Text First Indent"/>
    <w:basedOn w:val="5"/>
    <w:next w:val="1"/>
    <w:qFormat/>
    <w:uiPriority w:val="0"/>
    <w:pPr>
      <w:ind w:firstLine="420" w:firstLineChars="100"/>
    </w:pPr>
  </w:style>
  <w:style w:type="paragraph" w:styleId="5">
    <w:name w:val="Body Text"/>
    <w:basedOn w:val="1"/>
    <w:next w:val="6"/>
    <w:qFormat/>
    <w:uiPriority w:val="99"/>
    <w:pPr>
      <w:widowControl/>
      <w:spacing w:after="60"/>
      <w:jc w:val="left"/>
    </w:pPr>
    <w:rPr>
      <w:kern w:val="0"/>
      <w:sz w:val="22"/>
      <w:szCs w:val="20"/>
    </w:r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11">
    <w:name w:val="Normal Indent"/>
    <w:basedOn w:val="1"/>
    <w:link w:val="25"/>
    <w:qFormat/>
    <w:uiPriority w:val="0"/>
    <w:pPr>
      <w:autoSpaceDE/>
      <w:autoSpaceDN/>
      <w:adjustRightInd/>
      <w:spacing w:line="240" w:lineRule="auto"/>
      <w:ind w:firstLine="420"/>
      <w:jc w:val="both"/>
    </w:pPr>
    <w:rPr>
      <w:rFonts w:ascii="Times New Roman" w:hAnsi="Times New Roman"/>
      <w:kern w:val="2"/>
      <w:sz w:val="24"/>
      <w:szCs w:val="20"/>
    </w:rPr>
  </w:style>
  <w:style w:type="paragraph" w:styleId="12">
    <w:name w:val="Document Map"/>
    <w:basedOn w:val="1"/>
    <w:link w:val="32"/>
    <w:semiHidden/>
    <w:unhideWhenUsed/>
    <w:qFormat/>
    <w:uiPriority w:val="99"/>
    <w:rPr>
      <w:rFonts w:ascii="宋体"/>
      <w:sz w:val="18"/>
      <w:szCs w:val="18"/>
    </w:rPr>
  </w:style>
  <w:style w:type="paragraph" w:styleId="13">
    <w:name w:val="annotation text"/>
    <w:basedOn w:val="1"/>
    <w:link w:val="38"/>
    <w:unhideWhenUsed/>
    <w:qFormat/>
    <w:uiPriority w:val="0"/>
  </w:style>
  <w:style w:type="paragraph" w:styleId="14">
    <w:name w:val="Balloon Text"/>
    <w:basedOn w:val="1"/>
    <w:link w:val="40"/>
    <w:semiHidden/>
    <w:unhideWhenUsed/>
    <w:qFormat/>
    <w:uiPriority w:val="99"/>
    <w:pPr>
      <w:spacing w:line="240" w:lineRule="auto"/>
    </w:pPr>
    <w:rPr>
      <w:sz w:val="18"/>
      <w:szCs w:val="18"/>
    </w:rPr>
  </w:style>
  <w:style w:type="paragraph" w:styleId="15">
    <w:name w:val="footer"/>
    <w:basedOn w:val="1"/>
    <w:link w:val="33"/>
    <w:unhideWhenUsed/>
    <w:qFormat/>
    <w:uiPriority w:val="99"/>
    <w:pPr>
      <w:tabs>
        <w:tab w:val="center" w:pos="4153"/>
        <w:tab w:val="right" w:pos="8306"/>
      </w:tabs>
      <w:snapToGrid w:val="0"/>
      <w:spacing w:line="240" w:lineRule="auto"/>
    </w:pPr>
    <w:rPr>
      <w:sz w:val="18"/>
      <w:szCs w:val="18"/>
    </w:rPr>
  </w:style>
  <w:style w:type="paragraph" w:styleId="16">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7">
    <w:name w:val="Body Text 2"/>
    <w:basedOn w:val="1"/>
    <w:link w:val="41"/>
    <w:qFormat/>
    <w:uiPriority w:val="0"/>
    <w:pPr>
      <w:autoSpaceDE/>
      <w:autoSpaceDN/>
      <w:adjustRightInd/>
      <w:jc w:val="both"/>
    </w:pPr>
    <w:rPr>
      <w:rFonts w:ascii="Times New Roman" w:hAnsi="Times New Roman" w:eastAsia="仿宋_GB2312"/>
      <w:kern w:val="2"/>
      <w:sz w:val="24"/>
      <w:szCs w:val="24"/>
    </w:rPr>
  </w:style>
  <w:style w:type="paragraph" w:styleId="18">
    <w:name w:val="annotation subject"/>
    <w:basedOn w:val="13"/>
    <w:next w:val="13"/>
    <w:link w:val="39"/>
    <w:semiHidden/>
    <w:unhideWhenUsed/>
    <w:qFormat/>
    <w:uiPriority w:val="99"/>
    <w:rPr>
      <w:b/>
      <w:bCs/>
    </w:rPr>
  </w:style>
  <w:style w:type="character" w:styleId="21">
    <w:name w:val="annotation reference"/>
    <w:basedOn w:val="20"/>
    <w:unhideWhenUsed/>
    <w:qFormat/>
    <w:uiPriority w:val="0"/>
    <w:rPr>
      <w:sz w:val="21"/>
      <w:szCs w:val="21"/>
    </w:rPr>
  </w:style>
  <w:style w:type="character" w:customStyle="1" w:styleId="22">
    <w:name w:val="标题 1 Char"/>
    <w:basedOn w:val="20"/>
    <w:link w:val="7"/>
    <w:qFormat/>
    <w:uiPriority w:val="0"/>
    <w:rPr>
      <w:rFonts w:ascii="黑体" w:hAnsi="华文楷体" w:eastAsia="黑体" w:cs="Times New Roman"/>
      <w:b/>
      <w:kern w:val="0"/>
      <w:sz w:val="36"/>
      <w:szCs w:val="36"/>
    </w:rPr>
  </w:style>
  <w:style w:type="character" w:customStyle="1" w:styleId="23">
    <w:name w:val="标题 2 Char"/>
    <w:basedOn w:val="20"/>
    <w:link w:val="8"/>
    <w:qFormat/>
    <w:uiPriority w:val="0"/>
    <w:rPr>
      <w:rFonts w:ascii="楷体_GB2312" w:hAnsi="华文楷体" w:eastAsia="楷体_GB2312" w:cs="Times New Roman"/>
      <w:b/>
      <w:sz w:val="30"/>
      <w:szCs w:val="30"/>
      <w:lang w:val="zh-CN"/>
    </w:rPr>
  </w:style>
  <w:style w:type="character" w:customStyle="1" w:styleId="24">
    <w:name w:val="页眉 Char"/>
    <w:basedOn w:val="20"/>
    <w:link w:val="16"/>
    <w:qFormat/>
    <w:uiPriority w:val="0"/>
    <w:rPr>
      <w:rFonts w:ascii="Arial" w:hAnsi="Arial" w:eastAsia="宋体" w:cs="Times New Roman"/>
      <w:kern w:val="0"/>
      <w:sz w:val="18"/>
      <w:szCs w:val="18"/>
    </w:rPr>
  </w:style>
  <w:style w:type="character" w:customStyle="1" w:styleId="25">
    <w:name w:val="正文缩进 Char"/>
    <w:link w:val="11"/>
    <w:qFormat/>
    <w:uiPriority w:val="0"/>
    <w:rPr>
      <w:rFonts w:ascii="Times New Roman" w:hAnsi="Times New Roman" w:eastAsia="宋体" w:cs="Times New Roman"/>
      <w:sz w:val="24"/>
      <w:szCs w:val="20"/>
    </w:rPr>
  </w:style>
  <w:style w:type="paragraph" w:customStyle="1" w:styleId="26">
    <w:name w:val="样式2"/>
    <w:basedOn w:val="11"/>
    <w:link w:val="27"/>
    <w:qFormat/>
    <w:uiPriority w:val="0"/>
    <w:pPr>
      <w:autoSpaceDE w:val="0"/>
      <w:autoSpaceDN w:val="0"/>
      <w:adjustRightInd w:val="0"/>
      <w:spacing w:line="400" w:lineRule="atLeast"/>
      <w:ind w:firstLine="0"/>
      <w:jc w:val="center"/>
      <w:textAlignment w:val="baseline"/>
    </w:pPr>
    <w:rPr>
      <w:rFonts w:ascii="Arial"/>
      <w:kern w:val="0"/>
    </w:rPr>
  </w:style>
  <w:style w:type="character" w:customStyle="1" w:styleId="27">
    <w:name w:val="样式2 Char"/>
    <w:link w:val="26"/>
    <w:qFormat/>
    <w:locked/>
    <w:uiPriority w:val="0"/>
    <w:rPr>
      <w:rFonts w:ascii="Arial" w:hAnsi="Times New Roman" w:eastAsia="宋体" w:cs="Times New Roman"/>
      <w:kern w:val="0"/>
      <w:sz w:val="24"/>
      <w:szCs w:val="20"/>
    </w:rPr>
  </w:style>
  <w:style w:type="character" w:customStyle="1" w:styleId="28">
    <w:name w:val="内容正文 Char"/>
    <w:link w:val="29"/>
    <w:qFormat/>
    <w:locked/>
    <w:uiPriority w:val="0"/>
    <w:rPr>
      <w:rFonts w:ascii="Arial" w:hAnsi="Arial"/>
    </w:rPr>
  </w:style>
  <w:style w:type="paragraph" w:customStyle="1" w:styleId="29">
    <w:name w:val="内容正文"/>
    <w:basedOn w:val="1"/>
    <w:link w:val="28"/>
    <w:qFormat/>
    <w:uiPriority w:val="0"/>
    <w:pPr>
      <w:autoSpaceDE/>
      <w:autoSpaceDN/>
      <w:adjustRightInd/>
      <w:spacing w:beforeLines="50"/>
      <w:ind w:firstLine="420" w:firstLineChars="200"/>
      <w:jc w:val="both"/>
    </w:pPr>
    <w:rPr>
      <w:rFonts w:eastAsiaTheme="minorEastAsia" w:cstheme="minorBidi"/>
      <w:kern w:val="2"/>
      <w:szCs w:val="22"/>
    </w:rPr>
  </w:style>
  <w:style w:type="character" w:customStyle="1" w:styleId="30">
    <w:name w:val="科东_正文 Char Char"/>
    <w:link w:val="31"/>
    <w:qFormat/>
    <w:locked/>
    <w:uiPriority w:val="0"/>
    <w:rPr>
      <w:sz w:val="24"/>
      <w:szCs w:val="24"/>
    </w:rPr>
  </w:style>
  <w:style w:type="paragraph" w:customStyle="1" w:styleId="31">
    <w:name w:val="科东_正文"/>
    <w:basedOn w:val="1"/>
    <w:link w:val="30"/>
    <w:qFormat/>
    <w:uiPriority w:val="0"/>
    <w:pPr>
      <w:autoSpaceDE/>
      <w:autoSpaceDN/>
      <w:adjustRightInd/>
      <w:ind w:firstLine="200" w:firstLineChars="200"/>
      <w:jc w:val="both"/>
    </w:pPr>
    <w:rPr>
      <w:rFonts w:asciiTheme="minorHAnsi" w:hAnsiTheme="minorHAnsi" w:eastAsiaTheme="minorEastAsia" w:cstheme="minorBidi"/>
      <w:kern w:val="2"/>
      <w:sz w:val="24"/>
      <w:szCs w:val="24"/>
    </w:rPr>
  </w:style>
  <w:style w:type="character" w:customStyle="1" w:styleId="32">
    <w:name w:val="文档结构图 Char"/>
    <w:basedOn w:val="20"/>
    <w:link w:val="12"/>
    <w:semiHidden/>
    <w:qFormat/>
    <w:uiPriority w:val="99"/>
    <w:rPr>
      <w:rFonts w:ascii="宋体" w:hAnsi="Arial" w:eastAsia="宋体" w:cs="Times New Roman"/>
      <w:kern w:val="0"/>
      <w:sz w:val="18"/>
      <w:szCs w:val="18"/>
    </w:rPr>
  </w:style>
  <w:style w:type="character" w:customStyle="1" w:styleId="33">
    <w:name w:val="页脚 Char"/>
    <w:basedOn w:val="20"/>
    <w:link w:val="15"/>
    <w:qFormat/>
    <w:uiPriority w:val="99"/>
    <w:rPr>
      <w:rFonts w:ascii="Arial" w:hAnsi="Arial" w:eastAsia="宋体" w:cs="Times New Roman"/>
      <w:kern w:val="0"/>
      <w:sz w:val="18"/>
      <w:szCs w:val="18"/>
    </w:rPr>
  </w:style>
  <w:style w:type="paragraph" w:customStyle="1" w:styleId="34">
    <w:name w:val="招标公告正文"/>
    <w:basedOn w:val="1"/>
    <w:link w:val="35"/>
    <w:qFormat/>
    <w:uiPriority w:val="0"/>
    <w:pPr>
      <w:ind w:firstLine="480" w:firstLineChars="200"/>
      <w:jc w:val="both"/>
    </w:pPr>
    <w:rPr>
      <w:rFonts w:ascii="Times New Roman" w:hAnsi="Times New Roman"/>
      <w:sz w:val="24"/>
      <w:szCs w:val="24"/>
    </w:rPr>
  </w:style>
  <w:style w:type="character" w:customStyle="1" w:styleId="35">
    <w:name w:val="招标公告正文 Char"/>
    <w:link w:val="34"/>
    <w:qFormat/>
    <w:uiPriority w:val="0"/>
    <w:rPr>
      <w:rFonts w:ascii="Times New Roman" w:hAnsi="Times New Roman" w:eastAsia="宋体" w:cs="Times New Roman"/>
      <w:kern w:val="0"/>
      <w:sz w:val="24"/>
      <w:szCs w:val="24"/>
    </w:rPr>
  </w:style>
  <w:style w:type="paragraph" w:styleId="36">
    <w:name w:val="List Paragraph"/>
    <w:basedOn w:val="1"/>
    <w:link w:val="37"/>
    <w:qFormat/>
    <w:uiPriority w:val="99"/>
    <w:pPr>
      <w:autoSpaceDE/>
      <w:autoSpaceDN/>
      <w:adjustRightInd/>
      <w:spacing w:before="120" w:after="120" w:line="240" w:lineRule="auto"/>
      <w:ind w:firstLine="420" w:firstLineChars="200"/>
      <w:jc w:val="both"/>
    </w:pPr>
    <w:rPr>
      <w:rFonts w:ascii="Times New Roman" w:hAnsi="Times New Roman"/>
      <w:kern w:val="2"/>
      <w:szCs w:val="20"/>
    </w:rPr>
  </w:style>
  <w:style w:type="character" w:customStyle="1" w:styleId="37">
    <w:name w:val="列出段落 Char"/>
    <w:link w:val="36"/>
    <w:qFormat/>
    <w:uiPriority w:val="99"/>
    <w:rPr>
      <w:rFonts w:ascii="Times New Roman" w:hAnsi="Times New Roman" w:eastAsia="宋体" w:cs="Times New Roman"/>
      <w:szCs w:val="20"/>
    </w:rPr>
  </w:style>
  <w:style w:type="character" w:customStyle="1" w:styleId="38">
    <w:name w:val="批注文字 Char"/>
    <w:basedOn w:val="20"/>
    <w:link w:val="13"/>
    <w:qFormat/>
    <w:uiPriority w:val="0"/>
    <w:rPr>
      <w:rFonts w:ascii="Arial" w:hAnsi="Arial" w:eastAsia="宋体" w:cs="Times New Roman"/>
      <w:kern w:val="0"/>
      <w:szCs w:val="21"/>
    </w:rPr>
  </w:style>
  <w:style w:type="character" w:customStyle="1" w:styleId="39">
    <w:name w:val="批注主题 Char"/>
    <w:basedOn w:val="38"/>
    <w:link w:val="18"/>
    <w:semiHidden/>
    <w:qFormat/>
    <w:uiPriority w:val="99"/>
    <w:rPr>
      <w:rFonts w:ascii="Arial" w:hAnsi="Arial" w:eastAsia="宋体" w:cs="Times New Roman"/>
      <w:b/>
      <w:bCs/>
      <w:kern w:val="0"/>
      <w:szCs w:val="21"/>
    </w:rPr>
  </w:style>
  <w:style w:type="character" w:customStyle="1" w:styleId="40">
    <w:name w:val="批注框文本 Char"/>
    <w:basedOn w:val="20"/>
    <w:link w:val="14"/>
    <w:semiHidden/>
    <w:qFormat/>
    <w:uiPriority w:val="99"/>
    <w:rPr>
      <w:rFonts w:ascii="Arial" w:hAnsi="Arial" w:eastAsia="宋体" w:cs="Times New Roman"/>
      <w:kern w:val="0"/>
      <w:sz w:val="18"/>
      <w:szCs w:val="18"/>
    </w:rPr>
  </w:style>
  <w:style w:type="character" w:customStyle="1" w:styleId="41">
    <w:name w:val="正文文本 2 Char"/>
    <w:basedOn w:val="20"/>
    <w:link w:val="17"/>
    <w:qFormat/>
    <w:uiPriority w:val="0"/>
    <w:rPr>
      <w:rFonts w:ascii="Times New Roman" w:hAnsi="Times New Roman" w:eastAsia="仿宋_GB2312" w:cs="Times New Roman"/>
      <w:sz w:val="24"/>
      <w:szCs w:val="24"/>
    </w:rPr>
  </w:style>
  <w:style w:type="character" w:customStyle="1" w:styleId="42">
    <w:name w:val="标题 6 Char"/>
    <w:basedOn w:val="20"/>
    <w:link w:val="10"/>
    <w:semiHidden/>
    <w:qFormat/>
    <w:uiPriority w:val="9"/>
    <w:rPr>
      <w:rFonts w:asciiTheme="majorHAnsi" w:hAnsiTheme="majorHAnsi" w:eastAsiaTheme="majorEastAsia" w:cstheme="majorBidi"/>
      <w:b/>
      <w:bCs/>
      <w:kern w:val="0"/>
      <w:sz w:val="24"/>
      <w:szCs w:val="24"/>
    </w:rPr>
  </w:style>
  <w:style w:type="character" w:customStyle="1" w:styleId="43">
    <w:name w:val="标题 4 Char"/>
    <w:basedOn w:val="20"/>
    <w:link w:val="9"/>
    <w:semiHidden/>
    <w:qFormat/>
    <w:uiPriority w:val="9"/>
    <w:rPr>
      <w:rFonts w:asciiTheme="majorHAnsi" w:hAnsiTheme="majorHAnsi" w:eastAsiaTheme="majorEastAsia" w:cstheme="majorBidi"/>
      <w:b/>
      <w:bCs/>
      <w:kern w:val="0"/>
      <w:sz w:val="28"/>
      <w:szCs w:val="28"/>
    </w:rPr>
  </w:style>
  <w:style w:type="paragraph" w:customStyle="1" w:styleId="44">
    <w:name w:val="04"/>
    <w:basedOn w:val="1"/>
    <w:link w:val="45"/>
    <w:qFormat/>
    <w:uiPriority w:val="0"/>
    <w:pPr>
      <w:autoSpaceDE/>
      <w:autoSpaceDN/>
      <w:adjustRightInd/>
      <w:ind w:firstLine="200" w:firstLineChars="200"/>
      <w:jc w:val="both"/>
    </w:pPr>
    <w:rPr>
      <w:rFonts w:ascii="Times New Roman" w:hAnsi="Times New Roman"/>
      <w:bCs/>
      <w:kern w:val="44"/>
      <w:sz w:val="28"/>
      <w:szCs w:val="28"/>
      <w:lang w:val="zh-CN"/>
    </w:rPr>
  </w:style>
  <w:style w:type="character" w:customStyle="1" w:styleId="45">
    <w:name w:val="04 Char"/>
    <w:link w:val="44"/>
    <w:qFormat/>
    <w:uiPriority w:val="0"/>
    <w:rPr>
      <w:rFonts w:ascii="Times New Roman" w:hAnsi="Times New Roman" w:eastAsia="宋体" w:cs="Times New Roman"/>
      <w:bCs/>
      <w:kern w:val="44"/>
      <w:sz w:val="28"/>
      <w:szCs w:val="28"/>
      <w:lang w:val="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3629</Words>
  <Characters>3865</Characters>
  <Lines>29</Lines>
  <Paragraphs>8</Paragraphs>
  <TotalTime>4</TotalTime>
  <ScaleCrop>false</ScaleCrop>
  <LinksUpToDate>false</LinksUpToDate>
  <CharactersWithSpaces>3987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2020-05-14T08:01:00Z</dcterms:created>
  <dc:creator>卢可可(615007)</dc:creator>
  <cp:lastModifiedBy>黄海</cp:lastModifiedBy>
  <dcterms:modified xsi:type="dcterms:W3CDTF">2026-07-10T06:13:59Z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eyJoZGlkIjoiMDEzYTgzNTg1ZTZjNTJhZGU0NTFmN2I2MDQ1NWQ4ZWYiLCJ1c2VySWQiOiIxMzQ3MDU1OTYxIn0=</vt:lpwstr>
  </property>
  <property fmtid="{D5CDD505-2E9C-101B-9397-08002B2CF9AE}" pid="4" name="ICV">
    <vt:lpwstr>26ED01B4562F454397BB5F0B6482888E_13</vt:lpwstr>
  </property>
</Properties>
</file>