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line="360" w:lineRule="auto"/>
        <w:ind w:firstLine="643" w:firstLineChars="200"/>
        <w:jc w:val="center"/>
        <w:rPr>
          <w:rFonts w:ascii="仿宋" w:hAnsi="仿宋" w:eastAsia="仿宋" w:cs="仿宋"/>
          <w:b/>
          <w:bCs/>
          <w:sz w:val="32"/>
          <w:szCs w:val="32"/>
        </w:rPr>
      </w:pPr>
      <w:r>
        <w:rPr>
          <w:rFonts w:hint="eastAsia" w:ascii="仿宋" w:hAnsi="仿宋" w:eastAsia="仿宋" w:cs="仿宋"/>
          <w:b/>
          <w:bCs/>
          <w:sz w:val="32"/>
          <w:szCs w:val="32"/>
          <w:lang w:val="en-US" w:eastAsia="zh-CN"/>
        </w:rPr>
        <w:t>标2包1</w:t>
      </w:r>
      <w:r>
        <w:rPr>
          <w:rFonts w:hint="eastAsia" w:ascii="仿宋" w:hAnsi="仿宋" w:eastAsia="仿宋" w:cs="仿宋"/>
          <w:b/>
          <w:bCs/>
          <w:sz w:val="32"/>
          <w:szCs w:val="32"/>
        </w:rPr>
        <w:t>报价表</w:t>
      </w:r>
    </w:p>
    <w:p>
      <w:pPr>
        <w:pStyle w:val="5"/>
        <w:numPr>
          <w:ilvl w:val="0"/>
          <w:numId w:val="0"/>
        </w:numPr>
        <w:rPr>
          <w:rFonts w:ascii="仿宋" w:hAnsi="仿宋" w:cs="仿宋"/>
          <w:kern w:val="0"/>
          <w:sz w:val="24"/>
          <w:szCs w:val="24"/>
          <w:lang w:bidi="ar"/>
        </w:rPr>
      </w:pPr>
      <w:bookmarkStart w:id="0" w:name="_GoBack"/>
      <w:r>
        <w:rPr>
          <w:rFonts w:hint="eastAsia" w:ascii="仿宋" w:hAnsi="仿宋" w:cs="仿宋"/>
          <w:b w:val="0"/>
          <w:bCs w:val="0"/>
          <w:color w:val="auto"/>
          <w:sz w:val="24"/>
          <w:szCs w:val="24"/>
          <w:highlight w:val="none"/>
          <w:u w:val="none"/>
        </w:rPr>
        <w:t>适用标的：</w:t>
      </w:r>
      <w:r>
        <w:rPr>
          <w:rFonts w:hint="eastAsia" w:ascii="仿宋" w:hAnsi="仿宋" w:eastAsia="仿宋" w:cs="仿宋"/>
          <w:b w:val="0"/>
          <w:bCs w:val="0"/>
          <w:i w:val="0"/>
          <w:iCs w:val="0"/>
          <w:caps w:val="0"/>
          <w:color w:val="auto"/>
          <w:spacing w:val="0"/>
          <w:sz w:val="24"/>
          <w:szCs w:val="24"/>
          <w:highlight w:val="none"/>
          <w:u w:val="none"/>
          <w:shd w:val="clear"/>
        </w:rPr>
        <w:t>标02：南方电网澜湄国际能源有限责任公司2026-2028年第三方结算审查技术支持服务项目</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3091"/>
        <w:gridCol w:w="1656"/>
        <w:gridCol w:w="2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03" w:type="dxa"/>
            <w:vAlign w:val="center"/>
          </w:tcPr>
          <w:p>
            <w:pPr>
              <w:jc w:val="center"/>
              <w:rPr>
                <w:rFonts w:ascii="仿宋" w:hAnsi="仿宋" w:eastAsia="仿宋" w:cs="仿宋"/>
                <w:b/>
                <w:bCs/>
                <w:sz w:val="24"/>
              </w:rPr>
            </w:pPr>
            <w:r>
              <w:rPr>
                <w:rFonts w:hint="eastAsia" w:ascii="仿宋" w:hAnsi="仿宋" w:eastAsia="仿宋" w:cs="仿宋"/>
                <w:b/>
                <w:bCs/>
                <w:sz w:val="24"/>
              </w:rPr>
              <w:t>序号</w:t>
            </w:r>
          </w:p>
        </w:tc>
        <w:tc>
          <w:tcPr>
            <w:tcW w:w="3091" w:type="dxa"/>
            <w:vAlign w:val="center"/>
          </w:tcPr>
          <w:p>
            <w:pPr>
              <w:jc w:val="center"/>
              <w:rPr>
                <w:rFonts w:ascii="仿宋" w:hAnsi="仿宋" w:eastAsia="仿宋" w:cs="仿宋"/>
                <w:b/>
                <w:bCs/>
                <w:sz w:val="24"/>
              </w:rPr>
            </w:pPr>
            <w:r>
              <w:rPr>
                <w:rFonts w:hint="eastAsia" w:ascii="仿宋" w:hAnsi="仿宋" w:eastAsia="仿宋" w:cs="仿宋"/>
                <w:b/>
                <w:bCs/>
                <w:sz w:val="24"/>
              </w:rPr>
              <w:t>项目内容</w:t>
            </w:r>
          </w:p>
        </w:tc>
        <w:tc>
          <w:tcPr>
            <w:tcW w:w="1656" w:type="dxa"/>
            <w:vAlign w:val="center"/>
          </w:tcPr>
          <w:p>
            <w:pPr>
              <w:jc w:val="center"/>
              <w:rPr>
                <w:rFonts w:ascii="仿宋" w:hAnsi="仿宋" w:eastAsia="仿宋" w:cs="仿宋"/>
                <w:b/>
                <w:bCs/>
                <w:sz w:val="24"/>
              </w:rPr>
            </w:pPr>
            <w:r>
              <w:rPr>
                <w:rFonts w:hint="eastAsia" w:ascii="仿宋" w:hAnsi="仿宋" w:eastAsia="仿宋" w:cs="仿宋"/>
                <w:b/>
                <w:i w:val="0"/>
                <w:color w:val="auto"/>
                <w:kern w:val="0"/>
                <w:sz w:val="24"/>
                <w:szCs w:val="24"/>
                <w:highlight w:val="none"/>
                <w:u w:val="none"/>
                <w:lang w:val="en-US" w:eastAsia="zh-CN" w:bidi="ar"/>
              </w:rPr>
              <w:t>预估金额（万元）</w:t>
            </w:r>
          </w:p>
        </w:tc>
        <w:tc>
          <w:tcPr>
            <w:tcW w:w="2746" w:type="dxa"/>
            <w:vAlign w:val="center"/>
          </w:tcPr>
          <w:p>
            <w:pPr>
              <w:jc w:val="center"/>
              <w:rPr>
                <w:rFonts w:hint="eastAsia" w:ascii="仿宋" w:hAnsi="仿宋" w:eastAsia="仿宋" w:cs="仿宋"/>
                <w:b/>
                <w:color w:val="auto"/>
                <w:kern w:val="0"/>
                <w:sz w:val="24"/>
                <w:highlight w:val="none"/>
                <w:u w:val="none"/>
                <w:lang w:bidi="ar"/>
              </w:rPr>
            </w:pPr>
            <w:r>
              <w:rPr>
                <w:rFonts w:hint="eastAsia" w:ascii="仿宋" w:hAnsi="仿宋" w:eastAsia="仿宋" w:cs="仿宋"/>
                <w:b/>
                <w:color w:val="auto"/>
                <w:kern w:val="0"/>
                <w:sz w:val="24"/>
                <w:highlight w:val="none"/>
                <w:u w:val="none"/>
                <w:lang w:bidi="ar"/>
              </w:rPr>
              <w:t>下浮率</w:t>
            </w:r>
          </w:p>
          <w:p>
            <w:pPr>
              <w:jc w:val="center"/>
              <w:rPr>
                <w:rFonts w:hint="eastAsia" w:ascii="仿宋" w:hAnsi="仿宋" w:eastAsia="仿宋" w:cs="仿宋"/>
                <w:sz w:val="24"/>
              </w:rPr>
            </w:pPr>
            <w:r>
              <w:rPr>
                <w:rFonts w:hint="eastAsia" w:ascii="仿宋" w:hAnsi="仿宋" w:eastAsia="仿宋" w:cs="仿宋"/>
                <w:b/>
                <w:color w:val="auto"/>
                <w:kern w:val="0"/>
                <w:sz w:val="24"/>
                <w:highlight w:val="none"/>
                <w:u w:val="none"/>
                <w:lang w:bidi="ar"/>
              </w:rPr>
              <w:t>（0%至</w:t>
            </w:r>
            <w:r>
              <w:rPr>
                <w:rFonts w:hint="eastAsia" w:ascii="仿宋" w:hAnsi="仿宋" w:eastAsia="仿宋" w:cs="仿宋"/>
                <w:b/>
                <w:color w:val="auto"/>
                <w:kern w:val="0"/>
                <w:sz w:val="24"/>
                <w:highlight w:val="none"/>
                <w:u w:val="none"/>
                <w:lang w:val="en-US" w:eastAsia="zh-CN" w:bidi="ar"/>
              </w:rPr>
              <w:t>100</w:t>
            </w:r>
            <w:r>
              <w:rPr>
                <w:rFonts w:hint="eastAsia" w:ascii="仿宋" w:hAnsi="仿宋" w:eastAsia="仿宋" w:cs="仿宋"/>
                <w:b/>
                <w:color w:val="auto"/>
                <w:kern w:val="0"/>
                <w:sz w:val="24"/>
                <w:highlight w:val="none"/>
                <w:u w:val="none"/>
                <w:lang w:bidi="ar"/>
              </w:rPr>
              <w:t>%之间的数值）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03" w:type="dxa"/>
            <w:vAlign w:val="center"/>
          </w:tcPr>
          <w:p>
            <w:pPr>
              <w:jc w:val="center"/>
              <w:rPr>
                <w:rFonts w:ascii="仿宋" w:hAnsi="仿宋" w:eastAsia="仿宋" w:cs="仿宋"/>
                <w:sz w:val="24"/>
              </w:rPr>
            </w:pPr>
            <w:r>
              <w:rPr>
                <w:rFonts w:hint="eastAsia" w:ascii="仿宋" w:hAnsi="仿宋" w:eastAsia="仿宋" w:cs="仿宋"/>
                <w:sz w:val="24"/>
              </w:rPr>
              <w:t>1</w:t>
            </w:r>
          </w:p>
        </w:tc>
        <w:tc>
          <w:tcPr>
            <w:tcW w:w="3091" w:type="dxa"/>
            <w:vAlign w:val="center"/>
          </w:tcPr>
          <w:p>
            <w:pPr>
              <w:pStyle w:val="5"/>
              <w:numPr>
                <w:ilvl w:val="0"/>
                <w:numId w:val="0"/>
              </w:numPr>
              <w:rPr>
                <w:rFonts w:ascii="仿宋" w:hAnsi="仿宋" w:cs="仿宋"/>
                <w:sz w:val="24"/>
                <w:szCs w:val="24"/>
              </w:rPr>
            </w:pPr>
            <w:r>
              <w:rPr>
                <w:rFonts w:hint="eastAsia" w:ascii="仿宋" w:hAnsi="仿宋" w:eastAsia="仿宋" w:cs="仿宋"/>
                <w:b w:val="0"/>
                <w:bCs w:val="0"/>
                <w:i w:val="0"/>
                <w:iCs w:val="0"/>
                <w:caps w:val="0"/>
                <w:spacing w:val="0"/>
                <w:sz w:val="24"/>
                <w:szCs w:val="24"/>
                <w:shd w:val="clear"/>
              </w:rPr>
              <w:t>标02：南方电网澜湄国际能源有限责任公司2026-2028年第三方结算审查技术支持服务项目[包1]</w:t>
            </w:r>
          </w:p>
        </w:tc>
        <w:tc>
          <w:tcPr>
            <w:tcW w:w="1656" w:type="dxa"/>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41</w:t>
            </w:r>
          </w:p>
        </w:tc>
        <w:tc>
          <w:tcPr>
            <w:tcW w:w="2746" w:type="dxa"/>
            <w:vAlign w:val="center"/>
          </w:tcPr>
          <w:p>
            <w:pPr>
              <w:jc w:val="center"/>
              <w:rPr>
                <w:rFonts w:ascii="仿宋" w:hAnsi="仿宋" w:eastAsia="仿宋" w:cs="仿宋"/>
                <w:sz w:val="24"/>
              </w:rPr>
            </w:pPr>
          </w:p>
        </w:tc>
      </w:tr>
    </w:tbl>
    <w:p>
      <w:pPr>
        <w:pStyle w:val="2"/>
        <w:spacing w:before="156" w:after="156"/>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注：</w:t>
      </w:r>
    </w:p>
    <w:p>
      <w:pPr>
        <w:pStyle w:val="2"/>
        <w:spacing w:before="156" w:after="156"/>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预估金额为合同暂定结算金额。</w:t>
      </w:r>
    </w:p>
    <w:p>
      <w:pPr>
        <w:pStyle w:val="2"/>
        <w:keepNext w:val="0"/>
        <w:keepLines w:val="0"/>
        <w:pageBreakBefore w:val="0"/>
        <w:widowControl/>
        <w:kinsoku/>
        <w:wordWrap/>
        <w:overflowPunct/>
        <w:topLinePunct w:val="0"/>
        <w:autoSpaceDE/>
        <w:autoSpaceDN/>
        <w:bidi w:val="0"/>
        <w:adjustRightInd/>
        <w:snapToGrid/>
        <w:spacing w:before="156" w:beforeLines="-2147483648" w:after="156" w:afterLines="-2147483648" w:line="240" w:lineRule="auto"/>
        <w:textAlignment w:val="auto"/>
        <w:rPr>
          <w:rFonts w:hint="eastAsia" w:ascii="仿宋" w:hAnsi="仿宋" w:eastAsia="仿宋" w:cs="仿宋"/>
          <w:bCs/>
          <w:color w:val="auto"/>
          <w:sz w:val="24"/>
          <w:szCs w:val="24"/>
          <w:highlight w:val="yellow"/>
          <w:lang w:val="en-US" w:eastAsia="zh-CN"/>
        </w:rPr>
      </w:pPr>
      <w:r>
        <w:rPr>
          <w:rFonts w:hint="eastAsia" w:ascii="仿宋" w:hAnsi="仿宋" w:eastAsia="仿宋" w:cs="仿宋"/>
          <w:bCs/>
          <w:color w:val="auto"/>
          <w:sz w:val="24"/>
          <w:szCs w:val="24"/>
          <w:lang w:val="en-US" w:eastAsia="zh-CN"/>
        </w:rPr>
        <w:t>（2）合同结算金额=</w:t>
      </w:r>
      <w:r>
        <w:rPr>
          <w:rFonts w:hint="eastAsia" w:ascii="仿宋" w:hAnsi="仿宋" w:eastAsia="仿宋" w:cs="仿宋"/>
          <w:bCs/>
          <w:color w:val="auto"/>
          <w:sz w:val="24"/>
          <w:szCs w:val="24"/>
          <w:highlight w:val="none"/>
          <w:lang w:val="en-US" w:eastAsia="zh-CN"/>
        </w:rPr>
        <w:t>结算编审费*（1-下浮率）。</w:t>
      </w:r>
    </w:p>
    <w:p>
      <w:pPr>
        <w:pStyle w:val="2"/>
        <w:keepNext w:val="0"/>
        <w:keepLines w:val="0"/>
        <w:widowControl/>
        <w:suppressLineNumbers w:val="0"/>
        <w:spacing w:before="156" w:after="156"/>
        <w:jc w:val="left"/>
        <w:rPr>
          <w:rFonts w:hint="eastAsia" w:ascii="仿宋" w:hAnsi="仿宋" w:eastAsia="仿宋" w:cs="仿宋"/>
          <w:bCs/>
          <w:color w:val="auto"/>
        </w:rPr>
      </w:pPr>
      <w:r>
        <w:rPr>
          <w:rFonts w:hint="eastAsia" w:ascii="仿宋" w:hAnsi="仿宋" w:eastAsia="仿宋" w:cs="仿宋"/>
          <w:bCs/>
          <w:color w:val="auto"/>
          <w:kern w:val="0"/>
          <w:sz w:val="24"/>
          <w:szCs w:val="24"/>
          <w:lang w:val="en-US" w:eastAsia="zh-CN" w:bidi="ar"/>
        </w:rPr>
        <w:t>（3）如投标人报价下浮率超过10%，须提供有效的成本分析报告，成本分析报告需充分说明单价和费用的组成、降低成本的合理措施及在其他项目中应用过的经验，未提供成本分析报告视为原则性不响应采购文件要求，做否决其投标处理。</w:t>
      </w:r>
    </w:p>
    <w:p>
      <w:pPr>
        <w:pStyle w:val="2"/>
        <w:widowControl/>
        <w:spacing w:before="156" w:after="156" w:line="240" w:lineRule="auto"/>
        <w:rPr>
          <w:rFonts w:hint="eastAsia" w:ascii="仿宋" w:hAnsi="仿宋" w:eastAsia="仿宋" w:cs="仿宋"/>
          <w:bCs/>
          <w:color w:val="auto"/>
          <w:sz w:val="24"/>
          <w:szCs w:val="24"/>
          <w:lang w:val="en-US" w:eastAsia="zh-CN"/>
        </w:rPr>
      </w:pPr>
      <w:r>
        <w:rPr>
          <w:rFonts w:hint="eastAsia" w:ascii="仿宋" w:hAnsi="仿宋" w:eastAsia="仿宋" w:cs="仿宋"/>
          <w:b w:val="0"/>
          <w:bCs/>
          <w:color w:val="auto"/>
          <w:kern w:val="0"/>
          <w:sz w:val="24"/>
          <w:szCs w:val="24"/>
          <w:lang w:val="en-US" w:eastAsia="zh-CN" w:bidi="ar-SA"/>
        </w:rPr>
        <w:t>（4）单个</w:t>
      </w:r>
      <w:r>
        <w:rPr>
          <w:rFonts w:hint="eastAsia" w:ascii="仿宋" w:hAnsi="仿宋" w:eastAsia="仿宋" w:cs="仿宋"/>
          <w:bCs/>
          <w:color w:val="auto"/>
          <w:sz w:val="24"/>
          <w:szCs w:val="24"/>
          <w:lang w:val="en-US" w:eastAsia="zh-CN"/>
        </w:rPr>
        <w:t>项目结算编审费计费方式</w:t>
      </w:r>
      <w:r>
        <w:rPr>
          <w:rFonts w:hint="eastAsia" w:ascii="仿宋" w:hAnsi="仿宋" w:eastAsia="仿宋" w:cs="仿宋"/>
          <w:b w:val="0"/>
          <w:bCs/>
          <w:color w:val="auto"/>
          <w:kern w:val="0"/>
          <w:sz w:val="24"/>
          <w:szCs w:val="24"/>
          <w:lang w:val="en-US" w:eastAsia="zh-CN" w:bidi="ar-SA"/>
        </w:rPr>
        <w:t>：</w:t>
      </w:r>
    </w:p>
    <w:p>
      <w:pPr>
        <w:pStyle w:val="9"/>
        <w:keepNext w:val="0"/>
        <w:keepLines w:val="0"/>
        <w:pageBreakBefore w:val="0"/>
        <w:numPr>
          <w:ilvl w:val="0"/>
          <w:numId w:val="0"/>
        </w:numPr>
        <w:kinsoku/>
        <w:wordWrap/>
        <w:overflowPunct/>
        <w:topLinePunct w:val="0"/>
        <w:autoSpaceDE/>
        <w:autoSpaceDN/>
        <w:bidi w:val="0"/>
        <w:adjustRightInd/>
        <w:snapToGrid/>
        <w:spacing w:line="240" w:lineRule="auto"/>
        <w:ind w:leftChars="0" w:firstLine="480" w:firstLineChars="200"/>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按照《中国南方电网有限责任公司信息化项目预算编制与计算方法(2024年修订版)》中的标准计取。（①：计费额M（单个项目实际审核的结算金额）=建设费＋购置费＋租赁费＋运行维护费。注②：结算编审费率a取值见以下取费表。</w:t>
      </w:r>
    </w:p>
    <w:p>
      <w:pPr>
        <w:spacing w:before="65" w:line="227" w:lineRule="auto"/>
        <w:ind w:left="3430"/>
        <w:rPr>
          <w:rFonts w:ascii="宋体" w:hAnsi="宋体" w:eastAsia="宋体" w:cs="宋体"/>
          <w:sz w:val="20"/>
          <w:szCs w:val="20"/>
        </w:rPr>
      </w:pPr>
      <w:r>
        <w:rPr>
          <w:rFonts w:ascii="宋体" w:hAnsi="宋体" w:eastAsia="宋体" w:cs="宋体"/>
          <w:spacing w:val="6"/>
          <w:sz w:val="20"/>
          <w:szCs w:val="20"/>
        </w:rPr>
        <w:t>表</w:t>
      </w:r>
      <w:r>
        <w:rPr>
          <w:rFonts w:ascii="宋体" w:hAnsi="宋体" w:eastAsia="宋体" w:cs="宋体"/>
          <w:spacing w:val="3"/>
          <w:sz w:val="20"/>
          <w:szCs w:val="20"/>
        </w:rPr>
        <w:t>4-37基本费用取费表</w:t>
      </w:r>
    </w:p>
    <w:p>
      <w:pPr>
        <w:spacing w:line="17" w:lineRule="exact"/>
      </w:pPr>
    </w:p>
    <w:tbl>
      <w:tblPr>
        <w:tblStyle w:val="10"/>
        <w:tblW w:w="82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9"/>
        <w:gridCol w:w="2050"/>
        <w:gridCol w:w="564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599" w:type="dxa"/>
            <w:shd w:val="clear" w:color="auto" w:fill="F1F1F1"/>
            <w:noWrap w:val="0"/>
            <w:vAlign w:val="center"/>
          </w:tcPr>
          <w:p>
            <w:pPr>
              <w:snapToGrid w:val="0"/>
              <w:spacing w:before="154" w:line="240" w:lineRule="auto"/>
              <w:ind w:left="0" w:leftChars="0" w:right="0" w:rightChars="0" w:firstLine="0" w:firstLineChars="0"/>
              <w:jc w:val="center"/>
              <w:rPr>
                <w:rFonts w:ascii="宋体" w:hAnsi="宋体" w:eastAsia="宋体" w:cs="宋体"/>
                <w:b/>
                <w:sz w:val="20"/>
                <w:szCs w:val="20"/>
              </w:rPr>
            </w:pPr>
            <w:r>
              <w:rPr>
                <w:rFonts w:ascii="宋体" w:hAnsi="宋体" w:eastAsia="宋体" w:cs="宋体"/>
                <w:b/>
                <w:spacing w:val="5"/>
                <w:sz w:val="20"/>
                <w:szCs w:val="20"/>
              </w:rPr>
              <w:t>序号</w:t>
            </w:r>
          </w:p>
        </w:tc>
        <w:tc>
          <w:tcPr>
            <w:tcW w:w="2050" w:type="dxa"/>
            <w:shd w:val="clear" w:color="auto" w:fill="F1F1F1"/>
            <w:noWrap w:val="0"/>
            <w:vAlign w:val="center"/>
          </w:tcPr>
          <w:p>
            <w:pPr>
              <w:snapToGrid w:val="0"/>
              <w:spacing w:before="154" w:line="240" w:lineRule="auto"/>
              <w:ind w:left="0" w:leftChars="0" w:right="0" w:rightChars="0" w:firstLine="0" w:firstLineChars="0"/>
              <w:jc w:val="center"/>
              <w:rPr>
                <w:rFonts w:ascii="宋体" w:hAnsi="宋体" w:eastAsia="宋体" w:cs="宋体"/>
                <w:b/>
                <w:sz w:val="20"/>
                <w:szCs w:val="20"/>
              </w:rPr>
            </w:pPr>
            <w:r>
              <w:rPr>
                <w:rFonts w:ascii="宋体" w:hAnsi="宋体" w:eastAsia="宋体" w:cs="宋体"/>
                <w:b/>
                <w:spacing w:val="1"/>
                <w:sz w:val="20"/>
                <w:szCs w:val="20"/>
              </w:rPr>
              <w:t>计费额</w:t>
            </w:r>
            <w:r>
              <w:rPr>
                <w:rFonts w:ascii="宋体" w:hAnsi="宋体" w:eastAsia="宋体" w:cs="宋体"/>
                <w:b/>
                <w:sz w:val="20"/>
                <w:szCs w:val="20"/>
              </w:rPr>
              <w:t>M</w:t>
            </w:r>
            <w:r>
              <w:rPr>
                <w:rFonts w:ascii="宋体" w:hAnsi="宋体" w:eastAsia="宋体" w:cs="宋体"/>
                <w:b/>
                <w:spacing w:val="1"/>
                <w:sz w:val="20"/>
                <w:szCs w:val="20"/>
              </w:rPr>
              <w:t>(万元</w:t>
            </w:r>
            <w:r>
              <w:rPr>
                <w:rFonts w:ascii="宋体" w:hAnsi="宋体" w:eastAsia="宋体" w:cs="宋体"/>
                <w:b/>
                <w:sz w:val="20"/>
                <w:szCs w:val="20"/>
              </w:rPr>
              <w:t>)</w:t>
            </w:r>
          </w:p>
        </w:tc>
        <w:tc>
          <w:tcPr>
            <w:tcW w:w="5647" w:type="dxa"/>
            <w:shd w:val="clear" w:color="auto" w:fill="F1F1F1"/>
            <w:noWrap w:val="0"/>
            <w:vAlign w:val="center"/>
          </w:tcPr>
          <w:p>
            <w:pPr>
              <w:snapToGrid w:val="0"/>
              <w:spacing w:before="154" w:line="240" w:lineRule="auto"/>
              <w:ind w:left="0" w:leftChars="0" w:right="0" w:rightChars="0" w:firstLine="0" w:firstLineChars="0"/>
              <w:jc w:val="center"/>
              <w:rPr>
                <w:rFonts w:ascii="宋体" w:hAnsi="宋体" w:eastAsia="宋体" w:cs="宋体"/>
                <w:b/>
                <w:sz w:val="20"/>
                <w:szCs w:val="20"/>
              </w:rPr>
            </w:pPr>
            <w:r>
              <w:rPr>
                <w:rFonts w:ascii="宋体" w:hAnsi="宋体" w:eastAsia="宋体" w:cs="宋体"/>
                <w:b/>
                <w:spacing w:val="3"/>
                <w:sz w:val="20"/>
                <w:szCs w:val="20"/>
              </w:rPr>
              <w:t>结</w:t>
            </w:r>
            <w:r>
              <w:rPr>
                <w:rFonts w:ascii="宋体" w:hAnsi="宋体" w:eastAsia="宋体" w:cs="宋体"/>
                <w:b/>
                <w:spacing w:val="2"/>
                <w:sz w:val="20"/>
                <w:szCs w:val="20"/>
              </w:rPr>
              <w:t>算编审费率</w:t>
            </w:r>
            <w:r>
              <w:rPr>
                <w:rFonts w:ascii="宋体" w:hAnsi="宋体" w:eastAsia="宋体" w:cs="宋体"/>
                <w:b/>
                <w:sz w:val="20"/>
                <w:szCs w:val="20"/>
              </w:rPr>
              <w:t>a</w:t>
            </w:r>
            <w:r>
              <w:rPr>
                <w:rFonts w:ascii="宋体" w:hAnsi="宋体" w:eastAsia="宋体" w:cs="宋体"/>
                <w:b/>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0" w:hRule="atLeast"/>
          <w:jc w:val="center"/>
        </w:trPr>
        <w:tc>
          <w:tcPr>
            <w:tcW w:w="599" w:type="dxa"/>
            <w:noWrap w:val="0"/>
            <w:vAlign w:val="center"/>
          </w:tcPr>
          <w:p>
            <w:pPr>
              <w:snapToGrid w:val="0"/>
              <w:spacing w:before="242"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1</w:t>
            </w:r>
          </w:p>
        </w:tc>
        <w:tc>
          <w:tcPr>
            <w:tcW w:w="2050" w:type="dxa"/>
            <w:noWrap w:val="0"/>
            <w:vAlign w:val="center"/>
          </w:tcPr>
          <w:p>
            <w:pPr>
              <w:snapToGrid w:val="0"/>
              <w:spacing w:before="210"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position w:val="1"/>
                <w:sz w:val="20"/>
                <w:szCs w:val="20"/>
              </w:rPr>
              <w:t>M</w:t>
            </w:r>
            <w:r>
              <w:rPr>
                <w:rFonts w:ascii="宋体" w:hAnsi="宋体" w:eastAsia="宋体" w:cs="宋体"/>
                <w:spacing w:val="7"/>
                <w:position w:val="1"/>
                <w:sz w:val="20"/>
                <w:szCs w:val="20"/>
              </w:rPr>
              <w:t>≤100</w:t>
            </w:r>
          </w:p>
        </w:tc>
        <w:tc>
          <w:tcPr>
            <w:tcW w:w="5647" w:type="dxa"/>
            <w:noWrap w:val="0"/>
            <w:vAlign w:val="center"/>
          </w:tcPr>
          <w:p>
            <w:pPr>
              <w:snapToGrid w:val="0"/>
              <w:spacing w:before="210"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1"/>
                <w:sz w:val="20"/>
                <w:szCs w:val="20"/>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99" w:type="dxa"/>
            <w:noWrap w:val="0"/>
            <w:vAlign w:val="center"/>
          </w:tcPr>
          <w:p>
            <w:pPr>
              <w:snapToGrid w:val="0"/>
              <w:spacing w:before="241"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2</w:t>
            </w:r>
          </w:p>
        </w:tc>
        <w:tc>
          <w:tcPr>
            <w:tcW w:w="2050" w:type="dxa"/>
            <w:noWrap w:val="0"/>
            <w:vAlign w:val="center"/>
          </w:tcPr>
          <w:p>
            <w:pPr>
              <w:snapToGrid w:val="0"/>
              <w:spacing w:before="208"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4"/>
                <w:position w:val="1"/>
                <w:sz w:val="20"/>
                <w:szCs w:val="20"/>
              </w:rPr>
              <w:t>100＜</w:t>
            </w:r>
            <w:r>
              <w:rPr>
                <w:rFonts w:ascii="宋体" w:hAnsi="宋体" w:eastAsia="宋体" w:cs="宋体"/>
                <w:position w:val="1"/>
                <w:sz w:val="20"/>
                <w:szCs w:val="20"/>
              </w:rPr>
              <w:t>M</w:t>
            </w:r>
            <w:r>
              <w:rPr>
                <w:rFonts w:ascii="宋体" w:hAnsi="宋体" w:eastAsia="宋体" w:cs="宋体"/>
                <w:spacing w:val="4"/>
                <w:position w:val="1"/>
                <w:sz w:val="20"/>
                <w:szCs w:val="20"/>
              </w:rPr>
              <w:t>≤500</w:t>
            </w:r>
          </w:p>
        </w:tc>
        <w:tc>
          <w:tcPr>
            <w:tcW w:w="5647" w:type="dxa"/>
            <w:noWrap w:val="0"/>
            <w:vAlign w:val="center"/>
          </w:tcPr>
          <w:p>
            <w:pPr>
              <w:snapToGrid w:val="0"/>
              <w:spacing w:before="208"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4"/>
                <w:sz w:val="20"/>
                <w:szCs w:val="20"/>
              </w:rPr>
              <w:t>4</w:t>
            </w:r>
            <w:r>
              <w:rPr>
                <w:rFonts w:ascii="宋体" w:hAnsi="宋体" w:eastAsia="宋体" w:cs="宋体"/>
                <w:spacing w:val="3"/>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99" w:type="dxa"/>
            <w:noWrap w:val="0"/>
            <w:vAlign w:val="center"/>
          </w:tcPr>
          <w:p>
            <w:pPr>
              <w:snapToGrid w:val="0"/>
              <w:spacing w:before="243"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3</w:t>
            </w:r>
          </w:p>
        </w:tc>
        <w:tc>
          <w:tcPr>
            <w:tcW w:w="2050" w:type="dxa"/>
            <w:noWrap w:val="0"/>
            <w:vAlign w:val="center"/>
          </w:tcPr>
          <w:p>
            <w:pPr>
              <w:snapToGrid w:val="0"/>
              <w:spacing w:before="210"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8"/>
                <w:position w:val="1"/>
                <w:sz w:val="20"/>
                <w:szCs w:val="20"/>
              </w:rPr>
              <w:t>5</w:t>
            </w:r>
            <w:r>
              <w:rPr>
                <w:rFonts w:ascii="宋体" w:hAnsi="宋体" w:eastAsia="宋体" w:cs="宋体"/>
                <w:spacing w:val="5"/>
                <w:position w:val="1"/>
                <w:sz w:val="20"/>
                <w:szCs w:val="20"/>
              </w:rPr>
              <w:t>00＜</w:t>
            </w:r>
            <w:r>
              <w:rPr>
                <w:rFonts w:ascii="宋体" w:hAnsi="宋体" w:eastAsia="宋体" w:cs="宋体"/>
                <w:position w:val="1"/>
                <w:sz w:val="20"/>
                <w:szCs w:val="20"/>
              </w:rPr>
              <w:t>M</w:t>
            </w:r>
            <w:r>
              <w:rPr>
                <w:rFonts w:ascii="宋体" w:hAnsi="宋体" w:eastAsia="宋体" w:cs="宋体"/>
                <w:spacing w:val="5"/>
                <w:position w:val="1"/>
                <w:sz w:val="20"/>
                <w:szCs w:val="20"/>
              </w:rPr>
              <w:t>≤1000</w:t>
            </w:r>
          </w:p>
        </w:tc>
        <w:tc>
          <w:tcPr>
            <w:tcW w:w="5647" w:type="dxa"/>
            <w:noWrap w:val="0"/>
            <w:vAlign w:val="center"/>
          </w:tcPr>
          <w:p>
            <w:pPr>
              <w:snapToGrid w:val="0"/>
              <w:spacing w:before="210"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4"/>
                <w:position w:val="1"/>
                <w:sz w:val="20"/>
                <w:szCs w:val="20"/>
              </w:rPr>
              <w:t>3</w:t>
            </w:r>
            <w:r>
              <w:rPr>
                <w:rFonts w:ascii="宋体" w:hAnsi="宋体" w:eastAsia="宋体" w:cs="宋体"/>
                <w:spacing w:val="3"/>
                <w:position w:val="1"/>
                <w:sz w:val="20"/>
                <w:szCs w:val="20"/>
              </w:rPr>
              <w:t>.</w:t>
            </w:r>
            <w:r>
              <w:rPr>
                <w:rFonts w:ascii="宋体" w:hAnsi="宋体" w:eastAsia="宋体" w:cs="宋体"/>
                <w:spacing w:val="2"/>
                <w:position w:val="1"/>
                <w:sz w:val="20"/>
                <w:szCs w:val="20"/>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99" w:type="dxa"/>
            <w:noWrap w:val="0"/>
            <w:vAlign w:val="center"/>
          </w:tcPr>
          <w:p>
            <w:pPr>
              <w:snapToGrid w:val="0"/>
              <w:spacing w:before="244"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4</w:t>
            </w:r>
          </w:p>
        </w:tc>
        <w:tc>
          <w:tcPr>
            <w:tcW w:w="2050" w:type="dxa"/>
            <w:noWrap w:val="0"/>
            <w:vAlign w:val="center"/>
          </w:tcPr>
          <w:p>
            <w:pPr>
              <w:snapToGrid w:val="0"/>
              <w:spacing w:before="211"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7"/>
                <w:position w:val="1"/>
                <w:sz w:val="20"/>
                <w:szCs w:val="20"/>
              </w:rPr>
              <w:t>1</w:t>
            </w:r>
            <w:r>
              <w:rPr>
                <w:rFonts w:ascii="宋体" w:hAnsi="宋体" w:eastAsia="宋体" w:cs="宋体"/>
                <w:spacing w:val="4"/>
                <w:position w:val="1"/>
                <w:sz w:val="20"/>
                <w:szCs w:val="20"/>
              </w:rPr>
              <w:t>000＜</w:t>
            </w:r>
            <w:r>
              <w:rPr>
                <w:rFonts w:ascii="宋体" w:hAnsi="宋体" w:eastAsia="宋体" w:cs="宋体"/>
                <w:position w:val="1"/>
                <w:sz w:val="20"/>
                <w:szCs w:val="20"/>
              </w:rPr>
              <w:t>M</w:t>
            </w:r>
            <w:r>
              <w:rPr>
                <w:rFonts w:ascii="宋体" w:hAnsi="宋体" w:eastAsia="宋体" w:cs="宋体"/>
                <w:spacing w:val="4"/>
                <w:position w:val="1"/>
                <w:sz w:val="20"/>
                <w:szCs w:val="20"/>
              </w:rPr>
              <w:t>≤5000</w:t>
            </w:r>
          </w:p>
        </w:tc>
        <w:tc>
          <w:tcPr>
            <w:tcW w:w="5647" w:type="dxa"/>
            <w:noWrap w:val="0"/>
            <w:vAlign w:val="center"/>
          </w:tcPr>
          <w:p>
            <w:pPr>
              <w:snapToGrid w:val="0"/>
              <w:spacing w:before="211"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4"/>
                <w:position w:val="1"/>
                <w:sz w:val="20"/>
                <w:szCs w:val="20"/>
              </w:rPr>
              <w:t>3</w:t>
            </w:r>
            <w:r>
              <w:rPr>
                <w:rFonts w:ascii="宋体" w:hAnsi="宋体" w:eastAsia="宋体" w:cs="宋体"/>
                <w:spacing w:val="3"/>
                <w:position w:val="1"/>
                <w:sz w:val="20"/>
                <w:szCs w:val="20"/>
              </w:rPr>
              <w:t>.</w:t>
            </w:r>
            <w:r>
              <w:rPr>
                <w:rFonts w:ascii="宋体" w:hAnsi="宋体" w:eastAsia="宋体" w:cs="宋体"/>
                <w:spacing w:val="2"/>
                <w:position w:val="1"/>
                <w:sz w:val="20"/>
                <w:szCs w:val="20"/>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0" w:hRule="atLeast"/>
          <w:jc w:val="center"/>
        </w:trPr>
        <w:tc>
          <w:tcPr>
            <w:tcW w:w="599" w:type="dxa"/>
            <w:noWrap w:val="0"/>
            <w:vAlign w:val="center"/>
          </w:tcPr>
          <w:p>
            <w:pPr>
              <w:snapToGrid w:val="0"/>
              <w:spacing w:before="247"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5</w:t>
            </w:r>
          </w:p>
        </w:tc>
        <w:tc>
          <w:tcPr>
            <w:tcW w:w="2050" w:type="dxa"/>
            <w:noWrap w:val="0"/>
            <w:vAlign w:val="center"/>
          </w:tcPr>
          <w:p>
            <w:pPr>
              <w:snapToGrid w:val="0"/>
              <w:spacing w:before="213"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5"/>
                <w:position w:val="1"/>
                <w:sz w:val="20"/>
                <w:szCs w:val="20"/>
              </w:rPr>
              <w:t>5000＜</w:t>
            </w:r>
            <w:r>
              <w:rPr>
                <w:rFonts w:ascii="宋体" w:hAnsi="宋体" w:eastAsia="宋体" w:cs="宋体"/>
                <w:position w:val="1"/>
                <w:sz w:val="20"/>
                <w:szCs w:val="20"/>
              </w:rPr>
              <w:t>M</w:t>
            </w:r>
            <w:r>
              <w:rPr>
                <w:rFonts w:ascii="宋体" w:hAnsi="宋体" w:eastAsia="宋体" w:cs="宋体"/>
                <w:spacing w:val="5"/>
                <w:position w:val="1"/>
                <w:sz w:val="20"/>
                <w:szCs w:val="20"/>
              </w:rPr>
              <w:t>≤10000</w:t>
            </w:r>
          </w:p>
        </w:tc>
        <w:tc>
          <w:tcPr>
            <w:tcW w:w="5647" w:type="dxa"/>
            <w:noWrap w:val="0"/>
            <w:vAlign w:val="center"/>
          </w:tcPr>
          <w:p>
            <w:pPr>
              <w:snapToGrid w:val="0"/>
              <w:spacing w:before="213"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1"/>
                <w:sz w:val="20"/>
                <w:szCs w:val="20"/>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99" w:type="dxa"/>
            <w:noWrap w:val="0"/>
            <w:vAlign w:val="center"/>
          </w:tcPr>
          <w:p>
            <w:pPr>
              <w:snapToGrid w:val="0"/>
              <w:spacing w:before="245"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z w:val="20"/>
                <w:szCs w:val="20"/>
              </w:rPr>
              <w:t>6</w:t>
            </w:r>
          </w:p>
        </w:tc>
        <w:tc>
          <w:tcPr>
            <w:tcW w:w="2050" w:type="dxa"/>
            <w:noWrap w:val="0"/>
            <w:vAlign w:val="center"/>
          </w:tcPr>
          <w:p>
            <w:pPr>
              <w:snapToGrid w:val="0"/>
              <w:spacing w:before="211"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position w:val="1"/>
                <w:sz w:val="20"/>
                <w:szCs w:val="20"/>
              </w:rPr>
              <w:t>M</w:t>
            </w:r>
            <w:r>
              <w:rPr>
                <w:rFonts w:ascii="宋体" w:hAnsi="宋体" w:eastAsia="宋体" w:cs="宋体"/>
                <w:spacing w:val="7"/>
                <w:position w:val="1"/>
                <w:sz w:val="20"/>
                <w:szCs w:val="20"/>
              </w:rPr>
              <w:t>＞</w:t>
            </w:r>
            <w:r>
              <w:rPr>
                <w:rFonts w:ascii="宋体" w:hAnsi="宋体" w:eastAsia="宋体" w:cs="宋体"/>
                <w:spacing w:val="6"/>
                <w:position w:val="1"/>
                <w:sz w:val="20"/>
                <w:szCs w:val="20"/>
              </w:rPr>
              <w:t>10000</w:t>
            </w:r>
          </w:p>
        </w:tc>
        <w:tc>
          <w:tcPr>
            <w:tcW w:w="5647" w:type="dxa"/>
            <w:noWrap w:val="0"/>
            <w:vAlign w:val="center"/>
          </w:tcPr>
          <w:p>
            <w:pPr>
              <w:snapToGrid w:val="0"/>
              <w:spacing w:before="211" w:line="240" w:lineRule="auto"/>
              <w:ind w:left="0" w:leftChars="0" w:right="0" w:rightChars="0" w:firstLine="0" w:firstLineChars="0"/>
              <w:jc w:val="center"/>
              <w:rPr>
                <w:rFonts w:ascii="宋体" w:hAnsi="宋体" w:eastAsia="宋体" w:cs="宋体"/>
                <w:sz w:val="20"/>
                <w:szCs w:val="20"/>
              </w:rPr>
            </w:pPr>
            <w:r>
              <w:rPr>
                <w:rFonts w:ascii="宋体" w:hAnsi="宋体" w:eastAsia="宋体" w:cs="宋体"/>
                <w:spacing w:val="3"/>
                <w:position w:val="1"/>
                <w:sz w:val="20"/>
                <w:szCs w:val="20"/>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647" w:type="dxa"/>
            <w:gridSpan w:val="3"/>
            <w:noWrap w:val="0"/>
            <w:vAlign w:val="center"/>
          </w:tcPr>
          <w:p>
            <w:pPr>
              <w:snapToGrid w:val="0"/>
              <w:spacing w:before="105" w:line="240" w:lineRule="auto"/>
              <w:ind w:left="0" w:leftChars="0" w:right="0" w:rightChars="0" w:firstLine="0" w:firstLineChars="0"/>
              <w:jc w:val="left"/>
              <w:rPr>
                <w:rFonts w:ascii="宋体" w:hAnsi="宋体" w:eastAsia="宋体" w:cs="宋体"/>
                <w:sz w:val="17"/>
                <w:szCs w:val="17"/>
              </w:rPr>
            </w:pPr>
            <w:r>
              <w:rPr>
                <w:rFonts w:ascii="宋体" w:hAnsi="宋体" w:eastAsia="宋体" w:cs="宋体"/>
                <w:spacing w:val="12"/>
                <w:sz w:val="17"/>
                <w:szCs w:val="17"/>
              </w:rPr>
              <w:t>注</w:t>
            </w:r>
            <w:r>
              <w:rPr>
                <w:rFonts w:ascii="宋体" w:hAnsi="宋体" w:eastAsia="宋体" w:cs="宋体"/>
                <w:spacing w:val="6"/>
                <w:sz w:val="17"/>
                <w:szCs w:val="17"/>
              </w:rPr>
              <w:t>1：以上收费标准为最高收费标准委托双方可在最高收费标准范围内协商确定具体收费标准。</w:t>
            </w:r>
          </w:p>
          <w:p>
            <w:pPr>
              <w:snapToGrid w:val="0"/>
              <w:spacing w:before="136" w:line="360" w:lineRule="auto"/>
              <w:ind w:left="0" w:leftChars="0" w:right="0" w:rightChars="0" w:firstLine="0" w:firstLineChars="0"/>
              <w:jc w:val="left"/>
              <w:rPr>
                <w:rFonts w:ascii="宋体" w:hAnsi="宋体" w:eastAsia="宋体" w:cs="宋体"/>
                <w:sz w:val="17"/>
                <w:szCs w:val="17"/>
              </w:rPr>
            </w:pPr>
            <w:r>
              <w:rPr>
                <w:rFonts w:ascii="宋体" w:hAnsi="宋体" w:eastAsia="宋体" w:cs="宋体"/>
                <w:spacing w:val="-1"/>
                <w:sz w:val="17"/>
                <w:szCs w:val="17"/>
              </w:rPr>
              <w:t>注2：结算编审费不足5</w:t>
            </w:r>
            <w:r>
              <w:rPr>
                <w:rFonts w:ascii="宋体" w:hAnsi="宋体" w:eastAsia="宋体" w:cs="宋体"/>
                <w:sz w:val="17"/>
                <w:szCs w:val="17"/>
              </w:rPr>
              <w:t>000元的按5000元收取。</w:t>
            </w:r>
          </w:p>
        </w:tc>
      </w:tr>
    </w:tbl>
    <w:p/>
    <w:p>
      <w:pPr>
        <w:adjustRightInd w:val="0"/>
        <w:snapToGrid w:val="0"/>
        <w:spacing w:before="156" w:beforeLines="50" w:line="360" w:lineRule="auto"/>
        <w:jc w:val="both"/>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南方电网定额〔2024〕10号关于结算编审费取费规定</w:t>
      </w:r>
    </w:p>
    <w:p/>
    <w:p/>
    <w:p>
      <w:r>
        <w:drawing>
          <wp:inline distT="0" distB="0" distL="114300" distR="114300">
            <wp:extent cx="4800600" cy="75247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00600" cy="752475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F50FF"/>
    <w:multiLevelType w:val="multilevel"/>
    <w:tmpl w:val="843F50FF"/>
    <w:lvl w:ilvl="0" w:tentative="0">
      <w:start w:val="1"/>
      <w:numFmt w:val="decimal"/>
      <w:lvlText w:val="%1"/>
      <w:lvlJc w:val="left"/>
      <w:pPr>
        <w:ind w:left="432" w:hanging="432"/>
      </w:pPr>
      <w:rPr>
        <w:rFonts w:hint="eastAsia"/>
      </w:rPr>
    </w:lvl>
    <w:lvl w:ilvl="1" w:tentative="0">
      <w:start w:val="1"/>
      <w:numFmt w:val="decimal"/>
      <w:lvlText w:val="%1.%2"/>
      <w:lvlJc w:val="left"/>
      <w:pPr>
        <w:ind w:left="1358" w:hanging="576"/>
      </w:pPr>
      <w:rPr>
        <w:rFonts w:hint="eastAsia"/>
      </w:rPr>
    </w:lvl>
    <w:lvl w:ilvl="2" w:tentative="0">
      <w:start w:val="1"/>
      <w:numFmt w:val="decimal"/>
      <w:pStyle w:val="5"/>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C8C61504"/>
    <w:multiLevelType w:val="multilevel"/>
    <w:tmpl w:val="C8C61504"/>
    <w:lvl w:ilvl="0" w:tentative="0">
      <w:start w:val="1"/>
      <w:numFmt w:val="decimal"/>
      <w:lvlText w:val="%1"/>
      <w:lvlJc w:val="left"/>
      <w:pPr>
        <w:ind w:left="432" w:hanging="432"/>
      </w:pPr>
    </w:lvl>
    <w:lvl w:ilvl="1" w:tentative="0">
      <w:start w:val="1"/>
      <w:numFmt w:val="decimal"/>
      <w:pStyle w:val="4"/>
      <w:suff w:val="nothing"/>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B0F"/>
    <w:rsid w:val="004F0B0F"/>
    <w:rsid w:val="00AD0785"/>
    <w:rsid w:val="00C710D5"/>
    <w:rsid w:val="04D7796D"/>
    <w:rsid w:val="0E347FDD"/>
    <w:rsid w:val="15A85349"/>
    <w:rsid w:val="1DD911E1"/>
    <w:rsid w:val="577C07D6"/>
    <w:rsid w:val="5E5F208F"/>
    <w:rsid w:val="637E354B"/>
    <w:rsid w:val="72B75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numPr>
        <w:ilvl w:val="1"/>
        <w:numId w:val="1"/>
      </w:numPr>
      <w:spacing w:before="31" w:after="31"/>
      <w:ind w:left="576" w:hanging="576" w:firstLineChars="0"/>
      <w:outlineLvl w:val="1"/>
    </w:pPr>
    <w:rPr>
      <w:rFonts w:ascii="宋体" w:hAnsi="宋体"/>
      <w:b/>
      <w:bCs/>
      <w:kern w:val="44"/>
      <w:sz w:val="36"/>
      <w:szCs w:val="36"/>
    </w:rPr>
  </w:style>
  <w:style w:type="paragraph" w:styleId="5">
    <w:name w:val="heading 3"/>
    <w:basedOn w:val="1"/>
    <w:next w:val="1"/>
    <w:qFormat/>
    <w:uiPriority w:val="0"/>
    <w:pPr>
      <w:keepNext/>
      <w:keepLines/>
      <w:numPr>
        <w:ilvl w:val="2"/>
        <w:numId w:val="2"/>
      </w:numPr>
      <w:adjustRightInd w:val="0"/>
      <w:snapToGrid w:val="0"/>
      <w:spacing w:line="360" w:lineRule="auto"/>
      <w:ind w:left="0" w:firstLine="643" w:firstLineChars="200"/>
      <w:outlineLvl w:val="2"/>
    </w:pPr>
    <w:rPr>
      <w:rFonts w:ascii="Times New Roman" w:hAnsi="Times New Roman" w:eastAsia="仿宋"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10"/>
    <w:pPr>
      <w:spacing w:before="240" w:after="60"/>
      <w:jc w:val="center"/>
      <w:outlineLvl w:val="0"/>
    </w:pPr>
    <w:rPr>
      <w:rFonts w:ascii="Cambria" w:hAnsi="Cambria" w:eastAsia="宋体" w:cs="Times New Roman"/>
      <w:b/>
      <w:bCs/>
      <w:sz w:val="32"/>
      <w:szCs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绿盟科技）"/>
    <w:qFormat/>
    <w:uiPriority w:val="0"/>
    <w:pPr>
      <w:spacing w:line="300" w:lineRule="auto"/>
    </w:pPr>
    <w:rPr>
      <w:rFonts w:ascii="Arial" w:hAnsi="Arial" w:eastAsia="宋体" w:cs="Times New Roman"/>
      <w:szCs w:val="21"/>
      <w:lang w:val="en-US" w:eastAsia="zh-CN" w:bidi="ar-SA"/>
    </w:rPr>
  </w:style>
  <w:style w:type="table" w:customStyle="1" w:styleId="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164</Words>
  <Characters>188</Characters>
  <Lines>1</Lines>
  <Paragraphs>1</Paragraphs>
  <TotalTime>4</TotalTime>
  <ScaleCrop>false</ScaleCrop>
  <LinksUpToDate>false</LinksUpToDate>
  <CharactersWithSpaces>188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2012-06-22T17:41:00Z</dcterms:created>
  <dc:creator>yndw</dc:creator>
  <cp:lastModifiedBy>曹先蓉</cp:lastModifiedBy>
  <dcterms:modified xsi:type="dcterms:W3CDTF">2026-07-13T09:52:59Z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D135626688A848A7B5591DAA89673D93</vt:lpwstr>
  </property>
  <property fmtid="{D5CDD505-2E9C-101B-9397-08002B2CF9AE}" pid="4" name="KSOTemplateDocerSaveRecord">
    <vt:lpwstr>eyJoZGlkIjoiNGRkN2ZmYzdiNTVhYzRkZjdiOWI0ODhmNzM0NWVkNWMiLCJ1c2VySWQiOiIxNjc1NTk1Nzk0In0=</vt:lpwstr>
  </property>
</Properties>
</file>