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ascii="宋体" w:hAnsi="宋体" w:eastAsia="宋体"/>
          <w:b/>
          <w:i w:val="0"/>
          <w:caps w:val="0"/>
          <w:color w:val="000000"/>
          <w:spacing w:val="0"/>
          <w:w w:val="100"/>
          <w:sz w:val="52"/>
          <w:szCs w:val="22"/>
          <w:lang w:val="en-US" w:eastAsia="zh-CN" w:bidi="ar-SA"/>
        </w:rPr>
      </w:pPr>
    </w:p>
    <w:p>
      <w:pPr>
        <w:pStyle w:val="10"/>
        <w:widowControl/>
        <w:snapToGrid w:val="0"/>
        <w:spacing w:before="0" w:beforeAutospacing="0" w:after="0" w:afterAutospacing="0" w:line="700" w:lineRule="exact"/>
        <w:ind w:right="140"/>
        <w:jc w:val="center"/>
        <w:textAlignment w:val="baseline"/>
        <w:rPr>
          <w:rStyle w:val="11"/>
          <w:rFonts w:hint="eastAsia" w:ascii="方正小标宋_GBK" w:hAnsi="方正小标宋_GBK" w:eastAsia="方正小标宋_GBK" w:cs="方正小标宋_GBK"/>
          <w:b/>
          <w:i w:val="0"/>
          <w:caps w:val="0"/>
          <w:spacing w:val="0"/>
          <w:w w:val="100"/>
          <w:sz w:val="44"/>
          <w:szCs w:val="44"/>
          <w:lang w:val="en-US" w:eastAsia="zh-CN" w:bidi="ar-SA"/>
        </w:rPr>
      </w:pPr>
      <w:r>
        <w:rPr>
          <w:rStyle w:val="11"/>
          <w:rFonts w:hint="eastAsia" w:ascii="方正小标宋_GBK" w:hAnsi="方正小标宋_GBK" w:eastAsia="方正小标宋_GBK" w:cs="方正小标宋_GBK"/>
          <w:b/>
          <w:i w:val="0"/>
          <w:caps w:val="0"/>
          <w:color w:val="000000"/>
          <w:spacing w:val="0"/>
          <w:w w:val="100"/>
          <w:sz w:val="44"/>
          <w:szCs w:val="44"/>
          <w:lang w:val="en-US" w:eastAsia="zh-CN" w:bidi="ar-SA"/>
        </w:rPr>
        <w:t>特种运输设备维保技术规范书</w:t>
      </w: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hint="eastAsia" w:ascii="方正仿宋_GB2312" w:hAnsi="方正仿宋_GB2312" w:eastAsia="方正仿宋_GB2312" w:cs="方正仿宋_GB2312"/>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auto"/>
        <w:jc w:val="center"/>
        <w:textAlignment w:val="baseline"/>
        <w:rPr>
          <w:rStyle w:val="11"/>
          <w:rFonts w:ascii="宋体" w:hAnsi="宋体"/>
          <w:b/>
          <w:i w:val="0"/>
          <w:caps w:val="0"/>
          <w:color w:val="000000"/>
          <w:spacing w:val="0"/>
          <w:w w:val="100"/>
          <w:kern w:val="0"/>
          <w:sz w:val="48"/>
          <w:szCs w:val="48"/>
          <w:u w:val="single" w:color="000000"/>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exact"/>
        <w:jc w:val="center"/>
        <w:textAlignment w:val="baseline"/>
        <w:rPr>
          <w:rStyle w:val="11"/>
          <w:rFonts w:ascii="宋体" w:hAnsi="宋体"/>
          <w:b w:val="0"/>
          <w:i w:val="0"/>
          <w:caps w:val="0"/>
          <w:spacing w:val="0"/>
          <w:w w:val="100"/>
          <w:kern w:val="2"/>
          <w:sz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snapToGrid w:val="0"/>
        <w:spacing w:before="0" w:beforeAutospacing="0" w:after="0" w:afterAutospacing="0" w:line="240" w:lineRule="auto"/>
        <w:jc w:val="both"/>
        <w:textAlignment w:val="baseline"/>
        <w:rPr>
          <w:rStyle w:val="11"/>
          <w:rFonts w:eastAsia="楷体_GB2312"/>
          <w:b w:val="0"/>
          <w:i w:val="0"/>
          <w:caps w:val="0"/>
          <w:spacing w:val="0"/>
          <w:w w:val="100"/>
          <w:kern w:val="2"/>
          <w:sz w:val="40"/>
          <w:szCs w:val="32"/>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8"/>
          <w:rFonts w:cs="Times New Roman"/>
          <w:b w:val="0"/>
          <w:bCs/>
          <w:i w:val="0"/>
          <w:caps/>
          <w:color w:val="0000FF"/>
          <w:spacing w:val="0"/>
          <w:w w:val="100"/>
          <w:kern w:val="2"/>
          <w:sz w:val="28"/>
          <w:szCs w:val="28"/>
          <w:u w:val="single" w:color="0000FF"/>
          <w:lang w:val="en-US" w:eastAsia="zh-CN" w:bidi="ar-SA"/>
        </w:rPr>
      </w:pPr>
    </w:p>
    <w:p>
      <w:pPr>
        <w:pStyle w:val="9"/>
        <w:widowControl/>
        <w:tabs>
          <w:tab w:val="right" w:leader="dot" w:pos="8296"/>
        </w:tabs>
        <w:snapToGrid w:val="0"/>
        <w:spacing w:before="120" w:beforeAutospacing="0" w:after="120" w:afterAutospacing="0" w:line="360" w:lineRule="auto"/>
        <w:jc w:val="left"/>
        <w:textAlignment w:val="baseline"/>
        <w:rPr>
          <w:rStyle w:val="11"/>
          <w:rFonts w:ascii="仿宋_GB2312" w:eastAsia="仿宋_GB2312"/>
          <w:b/>
          <w:i w:val="0"/>
          <w:caps w:val="0"/>
          <w:spacing w:val="0"/>
          <w:w w:val="100"/>
          <w:kern w:val="2"/>
          <w:sz w:val="30"/>
          <w:szCs w:val="28"/>
          <w:lang w:val="en-US" w:eastAsia="zh-CN" w:bidi="ar-SA"/>
        </w:rPr>
      </w:pPr>
    </w:p>
    <w:p>
      <w:pPr>
        <w:snapToGrid w:val="0"/>
        <w:spacing w:before="0" w:beforeAutospacing="0" w:after="0" w:afterAutospacing="0" w:line="360" w:lineRule="auto"/>
        <w:ind w:firstLine="640" w:firstLineChars="200"/>
        <w:jc w:val="center"/>
        <w:textAlignment w:val="baseline"/>
        <w:rPr>
          <w:rStyle w:val="11"/>
          <w:rFonts w:hint="eastAsia" w:ascii="仿宋_GB2312" w:eastAsia="仿宋_GB2312"/>
          <w:b w:val="0"/>
          <w:i w:val="0"/>
          <w:caps w:val="0"/>
          <w:spacing w:val="0"/>
          <w:w w:val="100"/>
          <w:kern w:val="2"/>
          <w:sz w:val="32"/>
          <w:szCs w:val="32"/>
          <w:lang w:val="en-US" w:eastAsia="zh-CN" w:bidi="ar-SA"/>
        </w:rPr>
      </w:pPr>
      <w:r>
        <w:rPr>
          <w:rStyle w:val="11"/>
          <w:rFonts w:hint="eastAsia" w:ascii="仿宋_GB2312" w:eastAsia="仿宋_GB2312"/>
          <w:b w:val="0"/>
          <w:i w:val="0"/>
          <w:caps w:val="0"/>
          <w:spacing w:val="0"/>
          <w:w w:val="100"/>
          <w:kern w:val="2"/>
          <w:sz w:val="32"/>
          <w:szCs w:val="32"/>
          <w:lang w:val="en-US" w:eastAsia="zh-CN" w:bidi="ar-SA"/>
        </w:rPr>
        <w:t>2026年06月</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szCs w:val="28"/>
          <w:lang w:val="en-US" w:eastAsia="zh-CN" w:bidi="ar-SA"/>
        </w:rPr>
      </w:pPr>
      <w:r>
        <w:rPr>
          <w:rStyle w:val="11"/>
          <w:rFonts w:ascii="仿宋_GB2312" w:eastAsia="仿宋_GB2312"/>
          <w:b/>
          <w:i w:val="0"/>
          <w:caps w:val="0"/>
          <w:spacing w:val="0"/>
          <w:w w:val="100"/>
          <w:kern w:val="2"/>
          <w:sz w:val="28"/>
          <w:szCs w:val="28"/>
          <w:lang w:val="en-US" w:eastAsia="zh-CN" w:bidi="ar-SA"/>
        </w:rPr>
        <w:br w:type="page"/>
      </w:r>
      <w:r>
        <w:rPr>
          <w:rStyle w:val="11"/>
          <w:rFonts w:ascii="仿宋_GB2312" w:eastAsia="仿宋_GB2312"/>
          <w:b/>
          <w:i w:val="0"/>
          <w:caps w:val="0"/>
          <w:spacing w:val="0"/>
          <w:w w:val="100"/>
          <w:kern w:val="2"/>
          <w:sz w:val="28"/>
          <w:szCs w:val="28"/>
          <w:lang w:val="en-US" w:eastAsia="zh-CN" w:bidi="ar-SA"/>
        </w:rPr>
        <w:t>一、总则</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（一）本技术条件规定了</w:t>
      </w:r>
      <w:r>
        <w:rPr>
          <w:rStyle w:val="11"/>
          <w:rFonts w:hint="eastAsia" w:ascii="仿宋_GB2312" w:eastAsia="仿宋_GB2312"/>
          <w:b w:val="0"/>
          <w:i w:val="0"/>
          <w:caps w:val="0"/>
          <w:spacing w:val="0"/>
          <w:w w:val="100"/>
          <w:kern w:val="2"/>
          <w:sz w:val="28"/>
          <w:szCs w:val="28"/>
          <w:lang w:val="en-US" w:eastAsia="zh-CN" w:bidi="ar-SA"/>
        </w:rPr>
        <w:t>内燃叉车、蓄电池叉车、堆垛机、单梁起重机、手动液压叉车等设备维修维保的使用条件、技术参数、性能、结构、</w:t>
      </w:r>
      <w:r>
        <w:rPr>
          <w:rStyle w:val="11"/>
          <w:rFonts w:ascii="仿宋_GB2312" w:eastAsia="仿宋_GB2312"/>
          <w:b w:val="0"/>
          <w:i w:val="0"/>
          <w:caps w:val="0"/>
          <w:spacing w:val="0"/>
          <w:w w:val="100"/>
          <w:kern w:val="2"/>
          <w:sz w:val="28"/>
          <w:szCs w:val="28"/>
          <w:lang w:val="en-US" w:eastAsia="zh-CN" w:bidi="ar-SA"/>
        </w:rPr>
        <w:t>技术要求、验收等内容。</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本招标文件提出的是最低限度的技术要求，并未对一切技术细节作出规定，也未充分引述有关标准和规范的条文，投标人应提供符合本采购标准规范引用标准的最新版本和本招标文件技术要求的全新产品。如果所引用的标准之间不一致或本招标文件所使用的标准与投标人所执行的标准不一致时，按要求较高的标准执行。</w:t>
      </w:r>
    </w:p>
    <w:p>
      <w:pPr>
        <w:snapToGrid w:val="0"/>
        <w:spacing w:before="0" w:beforeAutospacing="0" w:after="0" w:afterAutospacing="0" w:line="360" w:lineRule="auto"/>
        <w:ind w:firstLine="562" w:firstLineChars="200"/>
        <w:jc w:val="both"/>
        <w:textAlignment w:val="baseline"/>
        <w:rPr>
          <w:rStyle w:val="11"/>
          <w:rFonts w:ascii="仿宋_GB2312" w:hAnsi="宋体" w:eastAsia="仿宋_GB2312"/>
          <w:b/>
          <w:i w:val="0"/>
          <w:caps w:val="0"/>
          <w:spacing w:val="0"/>
          <w:w w:val="100"/>
          <w:kern w:val="2"/>
          <w:sz w:val="28"/>
          <w:szCs w:val="28"/>
          <w:lang w:val="en-US" w:eastAsia="zh-CN" w:bidi="ar-SA"/>
        </w:rPr>
      </w:pPr>
      <w:r>
        <w:rPr>
          <w:rStyle w:val="11"/>
          <w:rFonts w:hint="eastAsia" w:ascii="仿宋_GB2312" w:hAnsi="宋体" w:eastAsia="仿宋_GB2312"/>
          <w:b/>
          <w:i w:val="0"/>
          <w:caps w:val="0"/>
          <w:spacing w:val="0"/>
          <w:w w:val="100"/>
          <w:kern w:val="2"/>
          <w:sz w:val="28"/>
          <w:szCs w:val="28"/>
          <w:lang w:val="en-US" w:eastAsia="zh-CN" w:bidi="ar-SA"/>
        </w:rPr>
        <w:t>二</w:t>
      </w:r>
      <w:r>
        <w:rPr>
          <w:rStyle w:val="11"/>
          <w:rFonts w:ascii="仿宋_GB2312" w:hAnsi="宋体" w:eastAsia="仿宋_GB2312"/>
          <w:b/>
          <w:i w:val="0"/>
          <w:caps w:val="0"/>
          <w:spacing w:val="0"/>
          <w:w w:val="100"/>
          <w:kern w:val="2"/>
          <w:sz w:val="28"/>
          <w:szCs w:val="28"/>
          <w:lang w:val="en-US" w:eastAsia="zh-CN" w:bidi="ar-SA"/>
        </w:rPr>
        <w:t>、应遵循的标准和规范</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如果供方有自已的企业标准或规范，应提供标准代号及其有关内容，并须经需方同意后方可采用，但原则上采用更高要求的标准。</w:t>
      </w:r>
    </w:p>
    <w:p>
      <w:pPr>
        <w:snapToGrid w:val="0"/>
        <w:spacing w:before="0" w:beforeAutospacing="0" w:after="0" w:afterAutospacing="0" w:line="360" w:lineRule="auto"/>
        <w:ind w:firstLine="274" w:firstLineChars="98"/>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投标方提供的产品应满足本技术条件书规定的技术参数和要求及以下标准。</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GB/T 36507-2023 工业车辆使用、操作与维护安全规范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43756-2024 叉车设计规范</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t>GB/T 5141-2005 平衡重式叉车 稳定性试验</w:t>
      </w:r>
    </w:p>
    <w:p>
      <w:pPr>
        <w:numPr>
          <w:ilvl w:val="0"/>
          <w:numId w:val="1"/>
        </w:numPr>
        <w:snapToGrid w:val="0"/>
        <w:spacing w:before="0" w:beforeAutospacing="0" w:after="0" w:afterAutospacing="0" w:line="360" w:lineRule="auto"/>
        <w:ind w:firstLine="560" w:firstLineChars="200"/>
        <w:jc w:val="both"/>
        <w:textAlignment w:val="baseline"/>
        <w:rPr>
          <w:rStyle w:val="11"/>
          <w:rFonts w:hint="eastAsia" w:ascii="仿宋_GB2312" w:eastAsia="仿宋_GB2312" w:cs="Times New Roman"/>
          <w:b w:val="0"/>
          <w:i w:val="0"/>
          <w:caps w:val="0"/>
          <w:spacing w:val="0"/>
          <w:w w:val="100"/>
          <w:kern w:val="2"/>
          <w:sz w:val="28"/>
          <w:szCs w:val="28"/>
          <w:lang w:val="en-US" w:eastAsia="zh-CN" w:bidi="ar-SA"/>
        </w:rPr>
      </w:pPr>
      <w:r>
        <w:rPr>
          <w:rStyle w:val="11"/>
          <w:rFonts w:hint="eastAsia" w:ascii="仿宋_GB2312" w:eastAsia="仿宋_GB2312" w:cs="Times New Roman"/>
          <w:b w:val="0"/>
          <w:i w:val="0"/>
          <w:caps w:val="0"/>
          <w:spacing w:val="0"/>
          <w:w w:val="100"/>
          <w:kern w:val="2"/>
          <w:sz w:val="28"/>
          <w:szCs w:val="28"/>
          <w:lang w:val="en-US" w:eastAsia="zh-CN" w:bidi="ar-SA"/>
        </w:rPr>
        <w:fldChar w:fldCharType="begin"/>
      </w:r>
      <w:r>
        <w:rPr>
          <w:rStyle w:val="11"/>
          <w:rFonts w:hint="eastAsia" w:ascii="仿宋_GB2312" w:eastAsia="仿宋_GB2312" w:cs="Times New Roman"/>
          <w:b w:val="0"/>
          <w:i w:val="0"/>
          <w:caps w:val="0"/>
          <w:spacing w:val="0"/>
          <w:w w:val="100"/>
          <w:kern w:val="2"/>
          <w:sz w:val="28"/>
          <w:szCs w:val="28"/>
          <w:lang w:val="en-US" w:eastAsia="zh-CN" w:bidi="ar-SA"/>
        </w:rPr>
        <w:instrText xml:space="preserve"> HYPERLINK "https://std.samr.gov.cn/gb/search/gbDetailed?id=173829859CFC1AA5E06397BE0A0AA311" \t "https://std.samr.gov.cn/search/_blank" </w:instrText>
      </w:r>
      <w:r>
        <w:rPr>
          <w:rStyle w:val="11"/>
          <w:rFonts w:hint="eastAsia" w:ascii="仿宋_GB2312" w:eastAsia="仿宋_GB2312" w:cs="Times New Roman"/>
          <w:b w:val="0"/>
          <w:i w:val="0"/>
          <w:caps w:val="0"/>
          <w:spacing w:val="0"/>
          <w:w w:val="100"/>
          <w:kern w:val="2"/>
          <w:sz w:val="28"/>
          <w:szCs w:val="28"/>
          <w:lang w:val="en-US" w:eastAsia="zh-CN" w:bidi="ar-SA"/>
        </w:rPr>
        <w:fldChar w:fldCharType="separate"/>
      </w:r>
      <w:r>
        <w:rPr>
          <w:rStyle w:val="11"/>
          <w:rFonts w:hint="default" w:ascii="仿宋_GB2312" w:eastAsia="仿宋_GB2312" w:cs="Times New Roman"/>
          <w:b w:val="0"/>
          <w:i w:val="0"/>
          <w:caps w:val="0"/>
          <w:spacing w:val="0"/>
          <w:w w:val="100"/>
          <w:kern w:val="2"/>
          <w:sz w:val="28"/>
          <w:szCs w:val="28"/>
          <w:lang w:val="en-US" w:eastAsia="zh-CN" w:bidi="ar-SA"/>
        </w:rPr>
        <w:t>GB/T 43909-2024</w:t>
      </w:r>
      <w:r>
        <w:rPr>
          <w:rStyle w:val="11"/>
          <w:rFonts w:hint="eastAsia" w:ascii="仿宋_GB2312" w:eastAsia="仿宋_GB2312" w:cs="Times New Roman"/>
          <w:b w:val="0"/>
          <w:i w:val="0"/>
          <w:caps w:val="0"/>
          <w:spacing w:val="0"/>
          <w:w w:val="100"/>
          <w:kern w:val="2"/>
          <w:sz w:val="28"/>
          <w:szCs w:val="28"/>
          <w:lang w:val="en-US" w:eastAsia="zh-CN" w:bidi="ar-SA"/>
        </w:rPr>
        <w:t xml:space="preserve"> </w:t>
      </w:r>
      <w:r>
        <w:rPr>
          <w:rStyle w:val="11"/>
          <w:rFonts w:hint="default" w:ascii="仿宋_GB2312" w:eastAsia="仿宋_GB2312" w:cs="Times New Roman"/>
          <w:b w:val="0"/>
          <w:i w:val="0"/>
          <w:caps w:val="0"/>
          <w:spacing w:val="0"/>
          <w:w w:val="100"/>
          <w:kern w:val="2"/>
          <w:sz w:val="28"/>
          <w:szCs w:val="28"/>
          <w:lang w:val="en-US" w:eastAsia="zh-CN" w:bidi="ar-SA"/>
        </w:rPr>
        <w:t>叉车属具 安全要求</w:t>
      </w:r>
      <w:r>
        <w:rPr>
          <w:rStyle w:val="11"/>
          <w:rFonts w:hint="default" w:ascii="仿宋_GB2312" w:eastAsia="仿宋_GB2312" w:cs="Times New Roman"/>
          <w:b w:val="0"/>
          <w:i w:val="0"/>
          <w:caps w:val="0"/>
          <w:spacing w:val="0"/>
          <w:w w:val="100"/>
          <w:kern w:val="2"/>
          <w:sz w:val="28"/>
          <w:szCs w:val="28"/>
          <w:lang w:val="en-US" w:eastAsia="zh-CN" w:bidi="ar-SA"/>
        </w:rPr>
        <w:fldChar w:fldCharType="end"/>
      </w:r>
    </w:p>
    <w:p>
      <w:pPr>
        <w:snapToGrid w:val="0"/>
        <w:spacing w:before="0" w:beforeAutospacing="0" w:after="0" w:afterAutospacing="0" w:line="360" w:lineRule="auto"/>
        <w:ind w:firstLine="562" w:firstLineChars="200"/>
        <w:jc w:val="both"/>
        <w:textAlignment w:val="baseline"/>
        <w:rPr>
          <w:rStyle w:val="11"/>
          <w:rFonts w:hint="eastAsia" w:ascii="Times New Roman" w:hAnsi="Times New Roman" w:eastAsia="仿宋_GB2312"/>
          <w:b w:val="0"/>
          <w:i w:val="0"/>
          <w:caps w:val="0"/>
          <w:spacing w:val="0"/>
          <w:w w:val="100"/>
          <w:kern w:val="2"/>
          <w:sz w:val="24"/>
          <w:lang w:val="en-US" w:eastAsia="zh-CN" w:bidi="ar-SA"/>
        </w:rPr>
      </w:pPr>
      <w:r>
        <w:rPr>
          <w:rStyle w:val="11"/>
          <w:rFonts w:hint="eastAsia" w:ascii="仿宋_GB2312" w:eastAsia="仿宋_GB2312"/>
          <w:b/>
          <w:i w:val="0"/>
          <w:caps w:val="0"/>
          <w:spacing w:val="0"/>
          <w:w w:val="100"/>
          <w:kern w:val="2"/>
          <w:sz w:val="28"/>
          <w:lang w:val="en-US" w:eastAsia="zh-CN" w:bidi="ar-SA"/>
        </w:rPr>
        <w:t>三</w:t>
      </w:r>
      <w:r>
        <w:rPr>
          <w:rStyle w:val="11"/>
          <w:rFonts w:ascii="仿宋_GB2312" w:eastAsia="仿宋_GB2312"/>
          <w:b/>
          <w:i w:val="0"/>
          <w:caps w:val="0"/>
          <w:spacing w:val="0"/>
          <w:w w:val="100"/>
          <w:kern w:val="2"/>
          <w:sz w:val="28"/>
          <w:lang w:val="en-US" w:eastAsia="zh-CN" w:bidi="ar-SA"/>
        </w:rPr>
        <w:t>、</w:t>
      </w:r>
      <w:r>
        <w:rPr>
          <w:rStyle w:val="11"/>
          <w:rFonts w:hint="eastAsia" w:ascii="仿宋_GB2312" w:eastAsia="仿宋_GB2312"/>
          <w:b/>
          <w:i w:val="0"/>
          <w:caps w:val="0"/>
          <w:spacing w:val="0"/>
          <w:w w:val="100"/>
          <w:kern w:val="2"/>
          <w:sz w:val="28"/>
          <w:lang w:val="en-US" w:eastAsia="zh-CN" w:bidi="ar-SA"/>
        </w:rPr>
        <w:t>服务范围</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对来宾供电局周转仓3台内燃叉车（产品型号</w:t>
      </w:r>
      <w:r>
        <w:rPr>
          <w:rStyle w:val="11"/>
          <w:rFonts w:hint="eastAsia" w:ascii="仿宋_GB2312" w:eastAsia="仿宋_GB2312"/>
          <w:b w:val="0"/>
          <w:i w:val="0"/>
          <w:caps w:val="0"/>
          <w:color w:val="auto"/>
          <w:spacing w:val="0"/>
          <w:w w:val="100"/>
          <w:kern w:val="2"/>
          <w:sz w:val="28"/>
          <w:szCs w:val="28"/>
          <w:lang w:val="en-US" w:eastAsia="zh-CN" w:bidi="ar-SA"/>
        </w:rPr>
        <w:t>CPCD）、3台蓄电池叉车（</w:t>
      </w:r>
      <w:r>
        <w:rPr>
          <w:rStyle w:val="11"/>
          <w:rFonts w:hint="eastAsia" w:ascii="仿宋_GB2312" w:eastAsia="仿宋_GB2312"/>
          <w:b w:val="0"/>
          <w:i w:val="0"/>
          <w:caps w:val="0"/>
          <w:spacing w:val="0"/>
          <w:w w:val="100"/>
          <w:kern w:val="2"/>
          <w:sz w:val="28"/>
          <w:szCs w:val="28"/>
          <w:lang w:val="en-US" w:eastAsia="zh-CN" w:bidi="ar-SA"/>
        </w:rPr>
        <w:t>产品型号CPD）、1台单梁起重机、1台</w:t>
      </w:r>
      <w:r>
        <w:rPr>
          <w:rStyle w:val="11"/>
          <w:rFonts w:hint="eastAsia" w:ascii="仿宋_GB2312" w:eastAsia="仿宋_GB2312"/>
          <w:b w:val="0"/>
          <w:i w:val="0"/>
          <w:caps w:val="0"/>
          <w:color w:val="auto"/>
          <w:spacing w:val="0"/>
          <w:w w:val="100"/>
          <w:kern w:val="2"/>
          <w:sz w:val="28"/>
          <w:szCs w:val="28"/>
          <w:lang w:val="en-US" w:eastAsia="zh-CN" w:bidi="ar-SA"/>
        </w:rPr>
        <w:t>堆垛机（规格型号CDD型2T）等设备，</w:t>
      </w:r>
      <w:r>
        <w:rPr>
          <w:rStyle w:val="11"/>
          <w:rFonts w:hint="eastAsia" w:ascii="仿宋_GB2312" w:eastAsia="仿宋_GB2312"/>
          <w:b w:val="0"/>
          <w:i w:val="0"/>
          <w:caps w:val="0"/>
          <w:spacing w:val="0"/>
          <w:w w:val="100"/>
          <w:kern w:val="2"/>
          <w:sz w:val="28"/>
          <w:szCs w:val="28"/>
          <w:lang w:val="en-US" w:eastAsia="zh-CN" w:bidi="ar-SA"/>
        </w:rPr>
        <w:t>每年需按季度开展维保。内容主要包括对动力系统、传动系统、起升系统、液压系统、转向系统、制动系统、电气系统、操纵系统等进行定检维护保养，保证设备各功能正常运行</w:t>
      </w:r>
      <w:r>
        <w:rPr>
          <w:rStyle w:val="11"/>
          <w:rFonts w:ascii="仿宋_GB2312" w:eastAsia="仿宋_GB2312"/>
          <w:b w:val="0"/>
          <w:i w:val="0"/>
          <w:caps w:val="0"/>
          <w:spacing w:val="0"/>
          <w:w w:val="100"/>
          <w:kern w:val="2"/>
          <w:sz w:val="28"/>
          <w:szCs w:val="28"/>
          <w:lang w:val="en-US" w:eastAsia="zh-CN" w:bidi="ar-SA"/>
        </w:rPr>
        <w:t>；</w:t>
      </w:r>
      <w:r>
        <w:rPr>
          <w:rStyle w:val="11"/>
          <w:rFonts w:hint="eastAsia" w:ascii="仿宋_GB2312" w:eastAsia="仿宋_GB2312"/>
          <w:b w:val="0"/>
          <w:i w:val="0"/>
          <w:caps w:val="0"/>
          <w:spacing w:val="0"/>
          <w:w w:val="100"/>
          <w:kern w:val="2"/>
          <w:sz w:val="28"/>
          <w:szCs w:val="28"/>
          <w:lang w:val="en-US" w:eastAsia="zh-CN" w:bidi="ar-SA"/>
        </w:rPr>
        <w:t>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2. 对来宾供电局周转仓2台手动液压叉车、2台搬运车进行维保，每年需按季度开展维保。维保内容主要包括对手动液压叉车（蓄电池）、搬运车(蓄电池）等部件进行定检维护保养，保证电动各功能正常运行。如在维护保养过程中需更换零配件材料，所更换配件材料在配件报价单内的，经项目负责人同意后更换，总费用=维保费用+更换配件费，如所更换配件不在配件报价单内，需双方签订补充协议签字确认后予以更换及结算。</w:t>
      </w: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四</w:t>
      </w:r>
      <w:r>
        <w:rPr>
          <w:rStyle w:val="11"/>
          <w:rFonts w:ascii="仿宋_GB2312" w:eastAsia="仿宋_GB2312"/>
          <w:b/>
          <w:i w:val="0"/>
          <w:caps w:val="0"/>
          <w:spacing w:val="0"/>
          <w:w w:val="100"/>
          <w:kern w:val="2"/>
          <w:sz w:val="28"/>
          <w:lang w:val="en-US" w:eastAsia="zh-CN" w:bidi="ar-SA"/>
        </w:rPr>
        <w:t>、总体要求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（一）总体目标</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按照</w:t>
      </w:r>
      <w:r>
        <w:rPr>
          <w:rStyle w:val="11"/>
          <w:rFonts w:hint="eastAsia" w:ascii="仿宋_GB2312" w:eastAsia="仿宋_GB2312"/>
          <w:b w:val="0"/>
          <w:i w:val="0"/>
          <w:caps w:val="0"/>
          <w:spacing w:val="0"/>
          <w:w w:val="100"/>
          <w:kern w:val="2"/>
          <w:sz w:val="28"/>
          <w:szCs w:val="28"/>
          <w:lang w:val="en-US" w:eastAsia="zh-CN" w:bidi="ar-SA"/>
        </w:rPr>
        <w:t>行业</w:t>
      </w:r>
      <w:r>
        <w:rPr>
          <w:rStyle w:val="11"/>
          <w:rFonts w:ascii="仿宋_GB2312" w:eastAsia="仿宋_GB2312"/>
          <w:b w:val="0"/>
          <w:i w:val="0"/>
          <w:caps w:val="0"/>
          <w:spacing w:val="0"/>
          <w:w w:val="100"/>
          <w:kern w:val="2"/>
          <w:sz w:val="28"/>
          <w:szCs w:val="28"/>
          <w:lang w:val="en-US" w:eastAsia="zh-CN" w:bidi="ar-SA"/>
        </w:rPr>
        <w:t>标准</w:t>
      </w:r>
      <w:r>
        <w:rPr>
          <w:rStyle w:val="11"/>
          <w:rFonts w:hint="eastAsia" w:ascii="仿宋_GB2312" w:eastAsia="仿宋_GB2312"/>
          <w:b w:val="0"/>
          <w:i w:val="0"/>
          <w:caps w:val="0"/>
          <w:spacing w:val="0"/>
          <w:w w:val="100"/>
          <w:kern w:val="2"/>
          <w:sz w:val="28"/>
          <w:szCs w:val="28"/>
          <w:lang w:val="en-US" w:eastAsia="zh-CN" w:bidi="ar-SA"/>
        </w:rPr>
        <w:t>对内燃叉车、</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电动单梁起重机、堆垛机、手动液压叉车、托盘搬运车等设备开展</w:t>
      </w:r>
      <w:r>
        <w:rPr>
          <w:rStyle w:val="11"/>
          <w:rFonts w:ascii="仿宋_GB2312" w:eastAsia="仿宋_GB2312"/>
          <w:b w:val="0"/>
          <w:i w:val="0"/>
          <w:caps w:val="0"/>
          <w:spacing w:val="0"/>
          <w:w w:val="100"/>
          <w:kern w:val="2"/>
          <w:sz w:val="28"/>
          <w:szCs w:val="28"/>
          <w:lang w:val="en-US" w:eastAsia="zh-CN" w:bidi="ar-SA"/>
        </w:rPr>
        <w:t>维</w:t>
      </w:r>
      <w:r>
        <w:rPr>
          <w:rStyle w:val="11"/>
          <w:rFonts w:hint="eastAsia" w:ascii="仿宋_GB2312" w:eastAsia="仿宋_GB2312"/>
          <w:b w:val="0"/>
          <w:i w:val="0"/>
          <w:caps w:val="0"/>
          <w:spacing w:val="0"/>
          <w:w w:val="100"/>
          <w:kern w:val="2"/>
          <w:sz w:val="28"/>
          <w:szCs w:val="28"/>
          <w:lang w:val="en-US" w:eastAsia="zh-CN" w:bidi="ar-SA"/>
        </w:rPr>
        <w:t>保、维修</w:t>
      </w:r>
      <w:r>
        <w:rPr>
          <w:rStyle w:val="11"/>
          <w:rFonts w:ascii="仿宋_GB2312" w:eastAsia="仿宋_GB2312"/>
          <w:b w:val="0"/>
          <w:i w:val="0"/>
          <w:caps w:val="0"/>
          <w:spacing w:val="0"/>
          <w:w w:val="100"/>
          <w:kern w:val="2"/>
          <w:sz w:val="28"/>
          <w:szCs w:val="28"/>
          <w:lang w:val="en-US" w:eastAsia="zh-CN" w:bidi="ar-SA"/>
        </w:rPr>
        <w:t>，严格工艺流程，控制维护成本，监督维护过程，使维护后的车辆各系统运行安全可靠。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（二）总体要求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对</w:t>
      </w:r>
      <w:r>
        <w:rPr>
          <w:rStyle w:val="11"/>
          <w:rFonts w:hint="eastAsia" w:ascii="仿宋_GB2312" w:eastAsia="仿宋_GB2312"/>
          <w:b w:val="0"/>
          <w:i w:val="0"/>
          <w:caps w:val="0"/>
          <w:spacing w:val="0"/>
          <w:w w:val="100"/>
          <w:kern w:val="2"/>
          <w:sz w:val="28"/>
          <w:szCs w:val="28"/>
          <w:lang w:val="en-US" w:eastAsia="zh-CN" w:bidi="ar-SA"/>
        </w:rPr>
        <w:t>维保设备</w:t>
      </w:r>
      <w:r>
        <w:rPr>
          <w:rStyle w:val="11"/>
          <w:rFonts w:ascii="仿宋_GB2312" w:eastAsia="仿宋_GB2312"/>
          <w:b w:val="0"/>
          <w:i w:val="0"/>
          <w:caps w:val="0"/>
          <w:spacing w:val="0"/>
          <w:w w:val="100"/>
          <w:kern w:val="2"/>
          <w:sz w:val="28"/>
          <w:szCs w:val="28"/>
          <w:lang w:val="en-US" w:eastAsia="zh-CN" w:bidi="ar-SA"/>
        </w:rPr>
        <w:t>一切可疑点均应进行仔细检查，对于检查部位还应充分尊重生产厂商的建议，经过检查测试后，判断设备是否存在缺陷和故障。</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（三）一般要求</w:t>
      </w: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1. </w:t>
      </w:r>
      <w:r>
        <w:rPr>
          <w:rStyle w:val="11"/>
          <w:rFonts w:hint="eastAsia" w:ascii="仿宋_GB2312" w:eastAsia="仿宋_GB2312"/>
          <w:b w:val="0"/>
          <w:i w:val="0"/>
          <w:caps w:val="0"/>
          <w:spacing w:val="0"/>
          <w:w w:val="100"/>
          <w:kern w:val="2"/>
          <w:sz w:val="28"/>
          <w:szCs w:val="28"/>
          <w:lang w:val="en-US" w:eastAsia="zh-CN" w:bidi="ar-SA"/>
        </w:rPr>
        <w:t>内燃叉车维保项目如下，按要求对下表所列项目开展检查保养。</w:t>
      </w:r>
    </w:p>
    <w:tbl>
      <w:tblPr>
        <w:tblStyle w:val="6"/>
        <w:tblW w:w="906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80"/>
        <w:gridCol w:w="3413"/>
        <w:gridCol w:w="2880"/>
        <w:gridCol w:w="16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1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8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空气滤清器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清洁</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传动轴（中间传动轴）</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lang w:eastAsia="zh-CN"/>
              </w:rPr>
            </w:pPr>
            <w:r>
              <w:rPr>
                <w:rFonts w:hint="eastAsia" w:ascii="宋体" w:hAnsi="宋体" w:eastAsia="宋体" w:cs="宋体"/>
                <w:i w:val="0"/>
                <w:color w:val="000000"/>
                <w:sz w:val="21"/>
                <w:szCs w:val="21"/>
                <w:u w:val="none"/>
              </w:rPr>
              <w:t>转向油</w:t>
            </w:r>
            <w:r>
              <w:rPr>
                <w:rFonts w:hint="eastAsia" w:ascii="宋体" w:hAnsi="宋体" w:cs="宋体"/>
                <w:i w:val="0"/>
                <w:color w:val="000000"/>
                <w:sz w:val="21"/>
                <w:szCs w:val="21"/>
                <w:u w:val="none"/>
                <w:lang w:eastAsia="zh-CN"/>
              </w:rPr>
              <w:t>缸</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eastAsia="zh-CN"/>
              </w:rPr>
              <w:t>紧固、润滑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制动液量</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添加制动液</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液压工作系统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lang w:eastAsia="zh-CN"/>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、更换</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机油滤清器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燃油滤清器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气缸压力</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测试</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13</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气门间隙</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14</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喷油器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清洗</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校验</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15</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冷却系统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清洗</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16</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发动机座与发动油底壳螺栓</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17</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手制动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 xml:space="preserve">调整  </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18</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脚制动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19</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变速箱 变矩器</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测量</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清洗滤网</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20</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cs="宋体"/>
                <w:i w:val="0"/>
                <w:color w:val="000000"/>
                <w:sz w:val="21"/>
                <w:szCs w:val="21"/>
                <w:u w:val="none"/>
                <w:lang w:val="en-US" w:eastAsia="zh-CN"/>
              </w:rPr>
              <w:t>发动机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21</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起动机</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 清洁</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22</w:t>
            </w:r>
          </w:p>
        </w:tc>
        <w:tc>
          <w:tcPr>
            <w:tcW w:w="34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cs="宋体"/>
                <w:i w:val="0"/>
                <w:color w:val="000000"/>
                <w:sz w:val="21"/>
                <w:szCs w:val="21"/>
                <w:u w:val="none"/>
                <w:lang w:val="en-US" w:eastAsia="zh-CN"/>
              </w:rPr>
              <w:t>23</w:t>
            </w:r>
          </w:p>
        </w:tc>
        <w:tc>
          <w:tcPr>
            <w:tcW w:w="6293"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其他（车辆外观）</w:t>
            </w:r>
          </w:p>
        </w:tc>
        <w:tc>
          <w:tcPr>
            <w:tcW w:w="16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 xml:space="preserve">2. </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堆垛机、手动液压叉车、搬运车等设备维保项目如下，按要求对下表所列项目开展检查保养。</w:t>
      </w:r>
    </w:p>
    <w:tbl>
      <w:tblPr>
        <w:tblStyle w:val="6"/>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cs="宋体"/>
                <w:i w:val="0"/>
                <w:color w:val="000000"/>
                <w:kern w:val="0"/>
                <w:sz w:val="21"/>
                <w:szCs w:val="21"/>
                <w:u w:val="none"/>
                <w:lang w:val="en-US" w:eastAsia="zh-CN" w:bidi="ar"/>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val="en-US" w:eastAsia="zh-CN"/>
              </w:rPr>
              <w:t>车身、底盘</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sz w:val="21"/>
                <w:szCs w:val="21"/>
                <w:u w:val="none"/>
                <w:lang w:eastAsia="zh-CN"/>
              </w:rPr>
              <w:t>清洁、润滑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操纵系统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default"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传动装置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起升系统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制动系统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驱动系统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cs="宋体"/>
                <w:i w:val="0"/>
                <w:color w:val="000000"/>
                <w:kern w:val="2"/>
                <w:sz w:val="21"/>
                <w:szCs w:val="21"/>
                <w:u w:val="none"/>
                <w:lang w:val="en-US" w:eastAsia="zh-CN" w:bidi="ar-SA"/>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车轮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充气</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9</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蓄电池</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清洁</w:t>
            </w:r>
            <w:r>
              <w:rPr>
                <w:rFonts w:hint="eastAsia" w:ascii="宋体" w:hAnsi="宋体" w:cs="宋体"/>
                <w:i w:val="0"/>
                <w:color w:val="000000"/>
                <w:sz w:val="21"/>
                <w:szCs w:val="21"/>
                <w:u w:val="none"/>
                <w:lang w:eastAsia="zh-CN"/>
              </w:rPr>
              <w:t>、更换</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10</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门架和提升托架、链条</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top"/>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紧固</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 xml:space="preserve">刮水器、喇叭、灯光、报警器、仪表 </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jc w:val="center"/>
              <w:rPr>
                <w:rFonts w:hint="eastAsia" w:ascii="宋体" w:hAnsi="宋体" w:eastAsia="宋体" w:cs="宋体"/>
                <w:i w:val="0"/>
                <w:color w:val="000000"/>
                <w:kern w:val="2"/>
                <w:sz w:val="21"/>
                <w:szCs w:val="21"/>
                <w:u w:val="none"/>
                <w:lang w:val="en-US" w:eastAsia="zh-CN" w:bidi="ar-SA"/>
              </w:rPr>
            </w:pPr>
            <w:r>
              <w:rPr>
                <w:rFonts w:hint="eastAsia" w:ascii="宋体" w:hAnsi="宋体" w:eastAsia="宋体" w:cs="宋体"/>
                <w:i w:val="0"/>
                <w:color w:val="000000"/>
                <w:sz w:val="21"/>
                <w:szCs w:val="21"/>
                <w:u w:val="none"/>
              </w:rPr>
              <w:t>检查</w:t>
            </w:r>
            <w:r>
              <w:rPr>
                <w:rFonts w:hint="eastAsia" w:ascii="宋体" w:hAnsi="宋体" w:cs="宋体"/>
                <w:i w:val="0"/>
                <w:color w:val="000000"/>
                <w:sz w:val="21"/>
                <w:szCs w:val="21"/>
                <w:u w:val="none"/>
                <w:lang w:eastAsia="zh-CN"/>
              </w:rPr>
              <w:t>、</w:t>
            </w:r>
            <w:r>
              <w:rPr>
                <w:rFonts w:hint="eastAsia" w:ascii="宋体" w:hAnsi="宋体" w:eastAsia="宋体" w:cs="宋体"/>
                <w:i w:val="0"/>
                <w:color w:val="000000"/>
                <w:sz w:val="21"/>
                <w:szCs w:val="21"/>
                <w:u w:val="none"/>
              </w:rPr>
              <w:t>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12</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22"/>
                <w:szCs w:val="22"/>
                <w:u w:val="none"/>
                <w:lang w:val="en-US" w:eastAsia="zh-CN" w:bidi="ar"/>
              </w:rPr>
              <w:t>其他（外观）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u w:val="none"/>
                <w:lang w:val="en-US" w:eastAsia="zh-CN" w:bidi="ar"/>
              </w:rPr>
            </w:pPr>
            <w:r>
              <w:rPr>
                <w:rFonts w:hint="eastAsia" w:ascii="宋体" w:hAnsi="宋体" w:cs="宋体"/>
                <w:i w:val="0"/>
                <w:color w:val="000000"/>
                <w:kern w:val="0"/>
                <w:sz w:val="21"/>
                <w:szCs w:val="21"/>
                <w:u w:val="none"/>
                <w:lang w:val="en-US" w:eastAsia="zh-CN" w:bidi="ar"/>
              </w:rPr>
              <w:t>项</w:t>
            </w:r>
          </w:p>
        </w:tc>
      </w:tr>
    </w:tbl>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p>
    <w:p>
      <w:pPr>
        <w:snapToGrid w:val="0"/>
        <w:spacing w:before="0" w:beforeAutospacing="0" w:after="0" w:afterAutospacing="0" w:line="360" w:lineRule="auto"/>
        <w:ind w:firstLine="560" w:firstLineChars="200"/>
        <w:jc w:val="both"/>
        <w:textAlignment w:val="baseline"/>
        <w:rPr>
          <w:rStyle w:val="11"/>
          <w:rFonts w:hint="eastAsia" w:ascii="仿宋_GB2312" w:eastAsia="仿宋_GB2312"/>
          <w:b w:val="0"/>
          <w:i w:val="0"/>
          <w:caps w:val="0"/>
          <w:spacing w:val="0"/>
          <w:w w:val="100"/>
          <w:kern w:val="2"/>
          <w:sz w:val="28"/>
          <w:szCs w:val="28"/>
          <w:lang w:val="en-US" w:eastAsia="zh-CN" w:bidi="ar-SA"/>
        </w:rPr>
      </w:pPr>
      <w:r>
        <w:rPr>
          <w:rStyle w:val="11"/>
          <w:rFonts w:hint="eastAsia" w:ascii="仿宋_GB2312" w:eastAsia="仿宋_GB2312"/>
          <w:b w:val="0"/>
          <w:i w:val="0"/>
          <w:caps w:val="0"/>
          <w:spacing w:val="0"/>
          <w:w w:val="100"/>
          <w:kern w:val="2"/>
          <w:sz w:val="28"/>
          <w:szCs w:val="28"/>
          <w:lang w:val="en-US" w:eastAsia="zh-CN" w:bidi="ar-SA"/>
        </w:rPr>
        <w:t>3. 电动单梁起重机维保项目如下，按要求对下表所列项目开展检查保养。</w:t>
      </w:r>
    </w:p>
    <w:tbl>
      <w:tblPr>
        <w:tblStyle w:val="6"/>
        <w:tblW w:w="90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49"/>
        <w:gridCol w:w="3444"/>
        <w:gridCol w:w="2880"/>
        <w:gridCol w:w="1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序号</w:t>
            </w:r>
          </w:p>
        </w:tc>
        <w:tc>
          <w:tcPr>
            <w:tcW w:w="344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cs="宋体"/>
                <w:b/>
                <w:i w:val="0"/>
                <w:color w:val="000000"/>
                <w:kern w:val="0"/>
                <w:sz w:val="20"/>
                <w:szCs w:val="20"/>
                <w:u w:val="none"/>
                <w:lang w:val="en-US" w:eastAsia="zh-CN" w:bidi="ar"/>
              </w:rPr>
              <w:t>保养</w:t>
            </w:r>
            <w:r>
              <w:rPr>
                <w:rFonts w:hint="eastAsia" w:ascii="宋体" w:hAnsi="宋体" w:eastAsia="宋体" w:cs="宋体"/>
                <w:b/>
                <w:i w:val="0"/>
                <w:color w:val="000000"/>
                <w:kern w:val="0"/>
                <w:sz w:val="20"/>
                <w:szCs w:val="20"/>
                <w:u w:val="none"/>
                <w:lang w:val="en-US" w:eastAsia="zh-CN" w:bidi="ar"/>
              </w:rPr>
              <w:t>项目</w:t>
            </w:r>
          </w:p>
        </w:tc>
        <w:tc>
          <w:tcPr>
            <w:tcW w:w="288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项目内容</w:t>
            </w:r>
          </w:p>
        </w:tc>
        <w:tc>
          <w:tcPr>
            <w:tcW w:w="16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lang w:val="en-US" w:eastAsia="zh-CN"/>
              </w:rPr>
              <w:t>1</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制动装置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eastAsia="zh-CN"/>
              </w:rPr>
              <w:t>检查、</w:t>
            </w:r>
            <w:r>
              <w:rPr>
                <w:rFonts w:hint="eastAsia" w:ascii="宋体" w:hAnsi="宋体" w:eastAsia="宋体" w:cs="宋体"/>
                <w:i w:val="0"/>
                <w:color w:val="000000"/>
                <w:sz w:val="21"/>
                <w:szCs w:val="21"/>
                <w:u w:val="none"/>
                <w:lang w:val="en-US" w:eastAsia="zh-CN"/>
              </w:rPr>
              <w:t>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2</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吊钩及其闭锁装置、吊钩螺母及其放松装置</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检查、调整</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3</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联轴品</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4</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钢丝绳磨损和绳端固定</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检查、润滑</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5</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吊辅具的损伤</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检查、更换</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6</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rPr>
              <w:t>大车、小车系统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检查、调整、更换</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7</w:t>
            </w:r>
          </w:p>
        </w:tc>
        <w:tc>
          <w:tcPr>
            <w:tcW w:w="344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rPr>
              <w:t>控制器、信号系统</w:t>
            </w:r>
          </w:p>
        </w:tc>
        <w:tc>
          <w:tcPr>
            <w:tcW w:w="28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top"/>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rPr>
              <w:t>检查</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10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8</w:t>
            </w:r>
          </w:p>
        </w:tc>
        <w:tc>
          <w:tcPr>
            <w:tcW w:w="632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bottom"/>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其他（外观）</w:t>
            </w:r>
          </w:p>
        </w:tc>
        <w:tc>
          <w:tcPr>
            <w:tcW w:w="16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项</w:t>
            </w:r>
          </w:p>
        </w:tc>
      </w:tr>
    </w:tbl>
    <w:p>
      <w:pPr>
        <w:snapToGrid w:val="0"/>
        <w:spacing w:before="0" w:beforeAutospacing="0" w:after="0" w:afterAutospacing="0" w:line="360" w:lineRule="auto"/>
        <w:ind w:firstLine="562" w:firstLineChars="200"/>
        <w:jc w:val="both"/>
        <w:textAlignment w:val="baseline"/>
        <w:rPr>
          <w:rStyle w:val="11"/>
          <w:rFonts w:hint="eastAsia" w:ascii="仿宋_GB2312" w:eastAsia="仿宋_GB2312"/>
          <w:b/>
          <w:i w:val="0"/>
          <w:caps w:val="0"/>
          <w:spacing w:val="0"/>
          <w:w w:val="100"/>
          <w:kern w:val="2"/>
          <w:sz w:val="28"/>
          <w:lang w:val="en-US" w:eastAsia="zh-CN" w:bidi="ar-SA"/>
        </w:rPr>
      </w:pPr>
    </w:p>
    <w:p>
      <w:pPr>
        <w:snapToGrid w:val="0"/>
        <w:spacing w:before="0" w:beforeAutospacing="0" w:after="0" w:afterAutospacing="0" w:line="360" w:lineRule="auto"/>
        <w:ind w:firstLine="562" w:firstLineChars="200"/>
        <w:jc w:val="both"/>
        <w:textAlignment w:val="baseline"/>
        <w:rPr>
          <w:rStyle w:val="11"/>
          <w:rFonts w:ascii="仿宋_GB2312" w:eastAsia="仿宋_GB2312"/>
          <w:b/>
          <w:i w:val="0"/>
          <w:caps w:val="0"/>
          <w:spacing w:val="0"/>
          <w:w w:val="100"/>
          <w:kern w:val="2"/>
          <w:sz w:val="28"/>
          <w:lang w:val="en-US" w:eastAsia="zh-CN" w:bidi="ar-SA"/>
        </w:rPr>
      </w:pPr>
      <w:r>
        <w:rPr>
          <w:rStyle w:val="11"/>
          <w:rFonts w:hint="eastAsia" w:ascii="仿宋_GB2312" w:eastAsia="仿宋_GB2312"/>
          <w:b/>
          <w:i w:val="0"/>
          <w:caps w:val="0"/>
          <w:spacing w:val="0"/>
          <w:w w:val="100"/>
          <w:kern w:val="2"/>
          <w:sz w:val="28"/>
          <w:lang w:val="en-US" w:eastAsia="zh-CN" w:bidi="ar-SA"/>
        </w:rPr>
        <w:t>五</w:t>
      </w:r>
      <w:r>
        <w:rPr>
          <w:rStyle w:val="11"/>
          <w:rFonts w:ascii="仿宋_GB2312" w:eastAsia="仿宋_GB2312"/>
          <w:b/>
          <w:i w:val="0"/>
          <w:caps w:val="0"/>
          <w:spacing w:val="0"/>
          <w:w w:val="100"/>
          <w:kern w:val="2"/>
          <w:sz w:val="28"/>
          <w:lang w:val="en-US" w:eastAsia="zh-CN" w:bidi="ar-SA"/>
        </w:rPr>
        <w:t>、质量保证</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维护后的</w:t>
      </w:r>
      <w:r>
        <w:rPr>
          <w:rStyle w:val="11"/>
          <w:rFonts w:hint="eastAsia" w:ascii="仿宋_GB2312" w:eastAsia="仿宋_GB2312"/>
          <w:b w:val="0"/>
          <w:i w:val="0"/>
          <w:caps w:val="0"/>
          <w:spacing w:val="0"/>
          <w:w w:val="100"/>
          <w:kern w:val="2"/>
          <w:sz w:val="28"/>
          <w:szCs w:val="28"/>
          <w:lang w:val="en-US" w:eastAsia="zh-CN" w:bidi="ar-SA"/>
        </w:rPr>
        <w:t>内燃叉车、</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堆垛机、电动单梁起重机、手动液压叉车、搬运车等设备</w:t>
      </w:r>
      <w:r>
        <w:rPr>
          <w:rStyle w:val="11"/>
          <w:rFonts w:ascii="仿宋_GB2312" w:eastAsia="仿宋_GB2312"/>
          <w:b w:val="0"/>
          <w:i w:val="0"/>
          <w:caps w:val="0"/>
          <w:spacing w:val="0"/>
          <w:w w:val="100"/>
          <w:kern w:val="2"/>
          <w:sz w:val="28"/>
          <w:szCs w:val="28"/>
          <w:lang w:val="en-US" w:eastAsia="zh-CN" w:bidi="ar-SA"/>
        </w:rPr>
        <w:t>运行系统应安全可靠，满足引用标准要求，具备</w:t>
      </w:r>
      <w:r>
        <w:rPr>
          <w:rStyle w:val="11"/>
          <w:rFonts w:hint="eastAsia" w:ascii="仿宋_GB2312" w:eastAsia="仿宋_GB2312"/>
          <w:b w:val="0"/>
          <w:i w:val="0"/>
          <w:caps w:val="0"/>
          <w:spacing w:val="0"/>
          <w:w w:val="100"/>
          <w:kern w:val="2"/>
          <w:sz w:val="28"/>
          <w:szCs w:val="28"/>
          <w:lang w:val="en-US" w:eastAsia="zh-CN" w:bidi="ar-SA"/>
        </w:rPr>
        <w:t>额定载荷下正常作业能力</w:t>
      </w:r>
      <w:r>
        <w:rPr>
          <w:rStyle w:val="11"/>
          <w:rFonts w:ascii="仿宋_GB2312" w:eastAsia="仿宋_GB2312"/>
          <w:b w:val="0"/>
          <w:i w:val="0"/>
          <w:caps w:val="0"/>
          <w:spacing w:val="0"/>
          <w:w w:val="100"/>
          <w:kern w:val="2"/>
          <w:sz w:val="28"/>
          <w:szCs w:val="28"/>
          <w:lang w:val="en-US" w:eastAsia="zh-CN" w:bidi="ar-SA"/>
        </w:rPr>
        <w:t>。</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（一）质量保证期为投入运行后6个月，质保期内由于维护厂商的原因（选材不当、设计错误、制造不良、组装不好等），设备出现缺陷和损坏时，维护方应免费到现场修理或更换。</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（二）维护方保证其提供的产品是全新的、未使用过的，并符合招标文件规定的质量、规格和性能。维护方保证其产品在正确安装、正常操作和保养的情况下，运行安全、可靠。</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三）在合同规定的质量保证期内，维护方对由于设计、制造、运输和材料的缺陷等原因而造成产品的任何破坏、缺陷或故障，由维护方收到书面通知后，应及时免费负责修理或更换有缺陷的产品，以达到技术条件规定的要求。</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（四）由于维护方提供部件（系统）质量造成的一切损失概由维护方负责。</w:t>
      </w:r>
    </w:p>
    <w:p>
      <w:pPr>
        <w:snapToGrid w:val="0"/>
        <w:spacing w:before="0" w:beforeAutospacing="0" w:after="0" w:afterAutospacing="0" w:line="360" w:lineRule="auto"/>
        <w:ind w:firstLine="602" w:firstLineChars="200"/>
        <w:jc w:val="both"/>
        <w:textAlignment w:val="baseline"/>
        <w:rPr>
          <w:rStyle w:val="11"/>
          <w:rFonts w:hint="eastAsia"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六、服务要求</w:t>
      </w:r>
    </w:p>
    <w:p>
      <w:pPr>
        <w:snapToGrid w:val="0"/>
        <w:spacing w:before="0" w:beforeAutospacing="0" w:after="0" w:afterAutospacing="0" w:line="360" w:lineRule="auto"/>
        <w:ind w:firstLine="560" w:firstLineChars="200"/>
        <w:jc w:val="both"/>
        <w:textAlignment w:val="baseline"/>
        <w:rPr>
          <w:rStyle w:val="11"/>
          <w:rFonts w:hint="eastAsia" w:ascii="仿宋_GB2312" w:hAnsi="Times New Roman" w:eastAsia="仿宋_GB2312"/>
          <w:b w:val="0"/>
          <w:i w:val="0"/>
          <w:caps w:val="0"/>
          <w:spacing w:val="0"/>
          <w:w w:val="100"/>
          <w:kern w:val="2"/>
          <w:sz w:val="28"/>
          <w:szCs w:val="28"/>
          <w:lang w:val="en-US" w:eastAsia="zh-CN" w:bidi="ar-SA"/>
        </w:rPr>
      </w:pPr>
      <w:r>
        <w:rPr>
          <w:rStyle w:val="11"/>
          <w:rFonts w:hint="eastAsia" w:ascii="仿宋_GB2312" w:hAnsi="Times New Roman" w:eastAsia="仿宋_GB2312"/>
          <w:b w:val="0"/>
          <w:i w:val="0"/>
          <w:caps w:val="0"/>
          <w:spacing w:val="0"/>
          <w:w w:val="100"/>
          <w:kern w:val="2"/>
          <w:sz w:val="28"/>
          <w:szCs w:val="28"/>
          <w:lang w:val="en-US" w:eastAsia="zh-CN" w:bidi="ar-SA"/>
        </w:rPr>
        <w:t>对来宾供电局周转仓3台内燃叉车、3台</w:t>
      </w:r>
      <w:r>
        <w:rPr>
          <w:rStyle w:val="11"/>
          <w:rFonts w:hint="eastAsia" w:ascii="仿宋_GB2312" w:eastAsia="仿宋_GB2312"/>
          <w:b w:val="0"/>
          <w:i w:val="0"/>
          <w:caps w:val="0"/>
          <w:color w:val="auto"/>
          <w:spacing w:val="0"/>
          <w:w w:val="100"/>
          <w:kern w:val="2"/>
          <w:sz w:val="28"/>
          <w:szCs w:val="28"/>
          <w:lang w:val="en-US" w:eastAsia="zh-CN" w:bidi="ar-SA"/>
        </w:rPr>
        <w:t>蓄电池叉车、</w:t>
      </w:r>
      <w:r>
        <w:rPr>
          <w:rStyle w:val="11"/>
          <w:rFonts w:hint="eastAsia" w:ascii="仿宋_GB2312" w:eastAsia="仿宋_GB2312"/>
          <w:b w:val="0"/>
          <w:i w:val="0"/>
          <w:caps w:val="0"/>
          <w:spacing w:val="0"/>
          <w:w w:val="100"/>
          <w:kern w:val="2"/>
          <w:sz w:val="28"/>
          <w:szCs w:val="28"/>
          <w:lang w:val="en-US" w:eastAsia="zh-CN" w:bidi="ar-SA"/>
        </w:rPr>
        <w:t>电动单梁起重机、</w:t>
      </w:r>
      <w:r>
        <w:rPr>
          <w:rStyle w:val="11"/>
          <w:rFonts w:hint="eastAsia" w:ascii="仿宋_GB2312" w:eastAsia="仿宋_GB2312"/>
          <w:b w:val="0"/>
          <w:i w:val="0"/>
          <w:caps w:val="0"/>
          <w:color w:val="auto"/>
          <w:spacing w:val="0"/>
          <w:w w:val="100"/>
          <w:kern w:val="2"/>
          <w:sz w:val="28"/>
          <w:szCs w:val="28"/>
          <w:lang w:val="en-US" w:eastAsia="zh-CN" w:bidi="ar-SA"/>
        </w:rPr>
        <w:t>1台</w:t>
      </w:r>
      <w:r>
        <w:rPr>
          <w:rStyle w:val="11"/>
          <w:rFonts w:hint="eastAsia" w:ascii="仿宋_GB2312" w:eastAsia="仿宋_GB2312"/>
          <w:b w:val="0"/>
          <w:i w:val="0"/>
          <w:caps w:val="0"/>
          <w:spacing w:val="0"/>
          <w:w w:val="100"/>
          <w:kern w:val="2"/>
          <w:sz w:val="28"/>
          <w:szCs w:val="28"/>
          <w:lang w:val="en-US" w:eastAsia="zh-CN" w:bidi="ar-SA"/>
        </w:rPr>
        <w:t>堆垛机、4台手动液压叉车、2台搬运车</w:t>
      </w:r>
      <w:r>
        <w:rPr>
          <w:rStyle w:val="11"/>
          <w:rFonts w:hint="eastAsia" w:ascii="仿宋_GB2312" w:hAnsi="Times New Roman" w:eastAsia="仿宋_GB2312"/>
          <w:b w:val="0"/>
          <w:i w:val="0"/>
          <w:caps w:val="0"/>
          <w:spacing w:val="0"/>
          <w:w w:val="100"/>
          <w:kern w:val="2"/>
          <w:sz w:val="28"/>
          <w:szCs w:val="28"/>
          <w:lang w:val="en-US" w:eastAsia="zh-CN" w:bidi="ar-SA"/>
        </w:rPr>
        <w:t>进行维保、维修，</w:t>
      </w:r>
      <w:r>
        <w:rPr>
          <w:rStyle w:val="11"/>
          <w:rFonts w:hint="eastAsia" w:ascii="仿宋_GB2312" w:eastAsia="仿宋_GB2312"/>
          <w:b w:val="0"/>
          <w:i w:val="0"/>
          <w:caps w:val="0"/>
          <w:spacing w:val="0"/>
          <w:w w:val="100"/>
          <w:kern w:val="2"/>
          <w:sz w:val="28"/>
          <w:szCs w:val="28"/>
          <w:lang w:val="en-US" w:eastAsia="zh-CN" w:bidi="ar-SA"/>
        </w:rPr>
        <w:t>服务期限至2027年6月30日，每季度开展一次（以实际开展业务进行结算）。</w:t>
      </w:r>
      <w:r>
        <w:rPr>
          <w:rStyle w:val="11"/>
          <w:rFonts w:hint="eastAsia" w:ascii="仿宋_GB2312" w:hAnsi="Times New Roman" w:eastAsia="仿宋_GB2312"/>
          <w:b w:val="0"/>
          <w:i w:val="0"/>
          <w:caps w:val="0"/>
          <w:spacing w:val="0"/>
          <w:w w:val="100"/>
          <w:kern w:val="2"/>
          <w:sz w:val="28"/>
          <w:szCs w:val="28"/>
          <w:lang w:val="en-US" w:eastAsia="zh-CN" w:bidi="ar-SA"/>
        </w:rPr>
        <w:t>根据国家标准及该设备相关技术规范的内容及要求进行</w:t>
      </w:r>
      <w:bookmarkStart w:id="0" w:name="_GoBack"/>
      <w:r>
        <w:rPr>
          <w:rStyle w:val="11"/>
          <w:rFonts w:hint="eastAsia" w:ascii="仿宋_GB2312" w:hAnsi="Times New Roman" w:eastAsia="仿宋_GB2312"/>
          <w:b w:val="0"/>
          <w:i w:val="0"/>
          <w:caps w:val="0"/>
          <w:spacing w:val="0"/>
          <w:w w:val="100"/>
          <w:kern w:val="2"/>
          <w:sz w:val="28"/>
          <w:szCs w:val="28"/>
          <w:lang w:val="en-US" w:eastAsia="zh-CN" w:bidi="ar-SA"/>
        </w:rPr>
        <w:t>调</w:t>
      </w:r>
      <w:bookmarkEnd w:id="0"/>
      <w:r>
        <w:rPr>
          <w:rStyle w:val="11"/>
          <w:rFonts w:hint="eastAsia" w:ascii="仿宋_GB2312" w:hAnsi="Times New Roman" w:eastAsia="仿宋_GB2312"/>
          <w:b w:val="0"/>
          <w:i w:val="0"/>
          <w:caps w:val="0"/>
          <w:spacing w:val="0"/>
          <w:w w:val="100"/>
          <w:kern w:val="2"/>
          <w:sz w:val="28"/>
          <w:szCs w:val="28"/>
          <w:lang w:val="en-US" w:eastAsia="zh-CN" w:bidi="ar-SA"/>
        </w:rPr>
        <w:t>整、检查、润滑、清洁等保养工作，以使设备正常运行。</w:t>
      </w:r>
    </w:p>
    <w:p>
      <w:pPr>
        <w:snapToGrid w:val="0"/>
        <w:spacing w:before="0" w:beforeAutospacing="0" w:after="0" w:afterAutospacing="0" w:line="360" w:lineRule="auto"/>
        <w:ind w:firstLine="602" w:firstLineChars="2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hint="eastAsia" w:ascii="仿宋_GB2312" w:hAnsi="楷体" w:eastAsia="仿宋_GB2312"/>
          <w:b/>
          <w:i w:val="0"/>
          <w:caps w:val="0"/>
          <w:spacing w:val="0"/>
          <w:w w:val="100"/>
          <w:kern w:val="2"/>
          <w:sz w:val="30"/>
          <w:szCs w:val="30"/>
          <w:lang w:val="en-US" w:eastAsia="zh-CN" w:bidi="ar-SA"/>
        </w:rPr>
        <w:t>七</w:t>
      </w:r>
      <w:r>
        <w:rPr>
          <w:rStyle w:val="11"/>
          <w:rFonts w:ascii="仿宋_GB2312" w:eastAsia="仿宋_GB2312"/>
          <w:b w:val="0"/>
          <w:i w:val="0"/>
          <w:caps w:val="0"/>
          <w:spacing w:val="0"/>
          <w:w w:val="100"/>
          <w:kern w:val="2"/>
          <w:sz w:val="28"/>
          <w:szCs w:val="28"/>
          <w:lang w:val="en-US" w:eastAsia="zh-CN" w:bidi="ar-SA"/>
        </w:rPr>
        <w:t>、</w:t>
      </w:r>
      <w:r>
        <w:rPr>
          <w:rStyle w:val="11"/>
          <w:rFonts w:ascii="仿宋_GB2312" w:hAnsi="楷体" w:eastAsia="仿宋_GB2312"/>
          <w:b/>
          <w:i w:val="0"/>
          <w:caps w:val="0"/>
          <w:spacing w:val="0"/>
          <w:w w:val="100"/>
          <w:kern w:val="2"/>
          <w:sz w:val="30"/>
          <w:szCs w:val="30"/>
          <w:lang w:val="en-US" w:eastAsia="zh-CN" w:bidi="ar-SA"/>
        </w:rPr>
        <w:t>技术偏差</w:t>
      </w:r>
    </w:p>
    <w:p>
      <w:pPr>
        <w:snapToGrid w:val="0"/>
        <w:spacing w:before="0" w:beforeAutospacing="0" w:after="0" w:afterAutospacing="0" w:line="360" w:lineRule="auto"/>
        <w:ind w:firstLine="560" w:firstLineChars="200"/>
        <w:jc w:val="both"/>
        <w:textAlignment w:val="baseline"/>
        <w:rPr>
          <w:rStyle w:val="11"/>
          <w:rFonts w:ascii="仿宋_GB2312" w:eastAsia="仿宋_GB2312"/>
          <w:b w:val="0"/>
          <w:i w:val="0"/>
          <w:caps w:val="0"/>
          <w:spacing w:val="0"/>
          <w:w w:val="100"/>
          <w:kern w:val="2"/>
          <w:sz w:val="28"/>
          <w:szCs w:val="28"/>
          <w:lang w:val="en-US" w:eastAsia="zh-CN" w:bidi="ar-SA"/>
        </w:rPr>
      </w:pPr>
      <w:r>
        <w:rPr>
          <w:rStyle w:val="11"/>
          <w:rFonts w:ascii="仿宋_GB2312" w:eastAsia="仿宋_GB2312"/>
          <w:b w:val="0"/>
          <w:i w:val="0"/>
          <w:caps w:val="0"/>
          <w:spacing w:val="0"/>
          <w:w w:val="100"/>
          <w:kern w:val="2"/>
          <w:sz w:val="28"/>
          <w:szCs w:val="28"/>
          <w:lang w:val="en-US" w:eastAsia="zh-CN" w:bidi="ar-SA"/>
        </w:rPr>
        <w:t>投标人提供的产品技术规范应与本招标文件中规定的要求一致。若有差异投标人应如实、认真地逐项在技术差异表中列出；若无以书面形式对本采购标准规范的条文提出差异，则视为完全满足本技术规范的要求，且在技术差异表中填写“无差异”。</w:t>
      </w: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p>
    <w:p>
      <w:pPr>
        <w:snapToGrid w:val="0"/>
        <w:spacing w:before="0" w:beforeAutospacing="0" w:after="0" w:afterAutospacing="0" w:line="240" w:lineRule="auto"/>
        <w:ind w:firstLine="3313" w:firstLineChars="1100"/>
        <w:jc w:val="both"/>
        <w:textAlignment w:val="baseline"/>
        <w:rPr>
          <w:rStyle w:val="11"/>
          <w:rFonts w:ascii="仿宋_GB2312" w:hAnsi="楷体" w:eastAsia="仿宋_GB2312"/>
          <w:b/>
          <w:i w:val="0"/>
          <w:caps w:val="0"/>
          <w:spacing w:val="0"/>
          <w:w w:val="100"/>
          <w:kern w:val="2"/>
          <w:sz w:val="30"/>
          <w:szCs w:val="30"/>
          <w:lang w:val="en-US" w:eastAsia="zh-CN" w:bidi="ar-SA"/>
        </w:rPr>
      </w:pPr>
      <w:r>
        <w:rPr>
          <w:rStyle w:val="11"/>
          <w:rFonts w:ascii="仿宋_GB2312" w:hAnsi="楷体" w:eastAsia="仿宋_GB2312"/>
          <w:b/>
          <w:i w:val="0"/>
          <w:caps w:val="0"/>
          <w:spacing w:val="0"/>
          <w:w w:val="100"/>
          <w:kern w:val="2"/>
          <w:sz w:val="30"/>
          <w:szCs w:val="30"/>
          <w:lang w:val="en-US" w:eastAsia="zh-CN" w:bidi="ar-SA"/>
        </w:rPr>
        <w:t>技术偏差表</w:t>
      </w:r>
    </w:p>
    <w:p>
      <w:pPr>
        <w:snapToGrid w:val="0"/>
        <w:spacing w:before="0" w:beforeAutospacing="0" w:after="0" w:afterAutospacing="0" w:line="240" w:lineRule="auto"/>
        <w:jc w:val="both"/>
        <w:textAlignment w:val="baseline"/>
        <w:rPr>
          <w:rStyle w:val="11"/>
          <w:rFonts w:ascii="仿宋_GB2312" w:hAnsi="楷体" w:eastAsia="仿宋_GB2312"/>
          <w:b w:val="0"/>
          <w:i w:val="0"/>
          <w:caps w:val="0"/>
          <w:spacing w:val="0"/>
          <w:w w:val="100"/>
          <w:kern w:val="2"/>
          <w:sz w:val="21"/>
          <w:szCs w:val="21"/>
          <w:lang w:val="en-US" w:eastAsia="zh-CN" w:bidi="ar-SA"/>
        </w:rPr>
      </w:pP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00"/>
        <w:gridCol w:w="1800"/>
        <w:gridCol w:w="1800"/>
        <w:gridCol w:w="1800"/>
        <w:gridCol w:w="1800"/>
        <w:gridCol w:w="71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trHeight w:val="484" w:hRule="atLeast"/>
          <w:jc w:val="center"/>
        </w:trPr>
        <w:tc>
          <w:tcPr>
            <w:tcW w:w="900"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序号</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谈判文件要求(不得修改)</w:t>
            </w:r>
          </w:p>
        </w:tc>
        <w:tc>
          <w:tcPr>
            <w:tcW w:w="3600" w:type="dxa"/>
            <w:gridSpan w:val="2"/>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投标人偏离内容</w:t>
            </w:r>
          </w:p>
        </w:tc>
        <w:tc>
          <w:tcPr>
            <w:tcW w:w="716" w:type="dxa"/>
            <w:vMerge w:val="restart"/>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484" w:hRule="atLeast"/>
          <w:jc w:val="center"/>
        </w:trPr>
        <w:tc>
          <w:tcPr>
            <w:tcW w:w="900"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章节、条款号</w:t>
            </w: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r>
              <w:rPr>
                <w:rStyle w:val="11"/>
                <w:rFonts w:ascii="仿宋_GB2312" w:hAnsi="楷体" w:eastAsia="仿宋_GB2312"/>
                <w:b w:val="0"/>
                <w:i w:val="0"/>
                <w:caps w:val="0"/>
                <w:spacing w:val="0"/>
                <w:w w:val="100"/>
                <w:kern w:val="2"/>
                <w:sz w:val="21"/>
                <w:szCs w:val="21"/>
                <w:lang w:val="en-US" w:eastAsia="zh-CN" w:bidi="ar-SA"/>
              </w:rPr>
              <w:t>条款内容描述</w:t>
            </w:r>
          </w:p>
        </w:tc>
        <w:tc>
          <w:tcPr>
            <w:tcW w:w="716" w:type="dxa"/>
            <w:vMerge w:val="continue"/>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仿宋_GB2312" w:hAnsi="楷体" w:eastAsia="仿宋_GB2312"/>
                <w:b w:val="0"/>
                <w:i w:val="0"/>
                <w:caps w:val="0"/>
                <w:spacing w:val="0"/>
                <w:w w:val="100"/>
                <w:kern w:val="2"/>
                <w:sz w:val="21"/>
                <w:szCs w:val="21"/>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800" w:hRule="atLeast"/>
          <w:jc w:val="center"/>
        </w:trPr>
        <w:tc>
          <w:tcPr>
            <w:tcW w:w="9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1800"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c>
          <w:tcPr>
            <w:tcW w:w="716" w:type="dxa"/>
            <w:tcBorders>
              <w:top w:val="single" w:color="000000" w:sz="6" w:space="0"/>
              <w:left w:val="single" w:color="000000" w:sz="6" w:space="0"/>
              <w:bottom w:val="single" w:color="000000" w:sz="6" w:space="0"/>
              <w:right w:val="single" w:color="000000" w:sz="6" w:space="0"/>
            </w:tcBorders>
            <w:noWrap w:val="0"/>
            <w:vAlign w:val="center"/>
          </w:tcPr>
          <w:p>
            <w:pPr>
              <w:snapToGrid w:val="0"/>
              <w:spacing w:before="0" w:beforeAutospacing="0" w:after="0" w:afterAutospacing="0" w:line="240" w:lineRule="auto"/>
              <w:jc w:val="center"/>
              <w:textAlignment w:val="baseline"/>
              <w:rPr>
                <w:rStyle w:val="11"/>
                <w:rFonts w:ascii="楷体" w:hAnsi="楷体" w:eastAsia="楷体"/>
                <w:b w:val="0"/>
                <w:i w:val="0"/>
                <w:caps w:val="0"/>
                <w:spacing w:val="0"/>
                <w:w w:val="100"/>
                <w:kern w:val="2"/>
                <w:sz w:val="21"/>
                <w:szCs w:val="21"/>
                <w:lang w:val="en-US" w:eastAsia="zh-CN" w:bidi="ar-SA"/>
              </w:rPr>
            </w:pPr>
          </w:p>
        </w:tc>
      </w:tr>
    </w:tbl>
    <w:p>
      <w:pPr>
        <w:rPr>
          <w:rFonts w:hint="eastAsia"/>
          <w:lang w:val="en-US" w:eastAsia="zh-CN"/>
        </w:rPr>
      </w:pPr>
    </w:p>
    <w:sectPr>
      <w:footerReference r:id="rId4" w:type="first"/>
      <w:footerReference r:id="rId3" w:type="default"/>
      <w:pgSz w:w="11907" w:h="16840"/>
      <w:pgMar w:top="1418" w:right="1418" w:bottom="1418" w:left="1701" w:header="851" w:footer="992" w:gutter="0"/>
      <w:lnNumType w:countBy="0"/>
      <w:pgNumType w:start="1"/>
      <w:cols w:space="720" w:num="1"/>
      <w:titlePg/>
      <w:docGrid w:linePitch="381"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A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56811962-1133-46BD-9073-41288712DA57}"/>
  </w:font>
  <w:font w:name="方正小标宋_GBK">
    <w:panose1 w:val="03000509000000000000"/>
    <w:charset w:val="86"/>
    <w:family w:val="auto"/>
    <w:pitch w:val="default"/>
    <w:sig w:usb0="00000001" w:usb1="080E0000" w:usb2="00000000" w:usb3="00000000" w:csb0="00040000" w:csb1="00000000"/>
    <w:embedRegular r:id="rId2" w:fontKey="{74A689D8-DA12-4F53-B913-CCF728B3D7BB}"/>
  </w:font>
  <w:font w:name="方正仿宋_GB2312">
    <w:panose1 w:val="02000000000000000000"/>
    <w:charset w:val="86"/>
    <w:family w:val="auto"/>
    <w:pitch w:val="default"/>
    <w:sig w:usb0="A00002BF" w:usb1="184F6CFA" w:usb2="00000012" w:usb3="00000000" w:csb0="00040001" w:csb1="00000000"/>
    <w:embedRegular r:id="rId3" w:fontKey="{643D0CFA-78B0-46DB-A733-38CBAEB2FCE5}"/>
  </w:font>
  <w:font w:name="楷体_GB2312">
    <w:panose1 w:val="02010609030101010101"/>
    <w:charset w:val="86"/>
    <w:family w:val="modern"/>
    <w:pitch w:val="default"/>
    <w:sig w:usb0="00000001" w:usb1="080E0000" w:usb2="00000000" w:usb3="00000000" w:csb0="00040000" w:csb1="00000000"/>
    <w:embedRegular r:id="rId4" w:fontKey="{6CC9808A-C7CC-4756-B760-1852D079DC14}"/>
  </w:font>
  <w:font w:name="仿宋_GB2312">
    <w:panose1 w:val="02010609030101010101"/>
    <w:charset w:val="86"/>
    <w:family w:val="modern"/>
    <w:pitch w:val="default"/>
    <w:sig w:usb0="00000001" w:usb1="080E0000" w:usb2="00000000" w:usb3="00000000" w:csb0="00040000" w:csb1="00000000"/>
    <w:embedRegular r:id="rId5" w:fontKey="{2F4FC2C4-A702-41E7-BE5C-BF92ECA26E26}"/>
  </w:font>
  <w:font w:name="楷体">
    <w:panose1 w:val="02010609060101010101"/>
    <w:charset w:val="86"/>
    <w:family w:val="modern"/>
    <w:pitch w:val="default"/>
    <w:sig w:usb0="800002BF" w:usb1="38CF7CFA" w:usb2="00000016" w:usb3="00000000" w:csb0="00040001" w:csb1="00000000"/>
    <w:embedRegular r:id="rId6" w:fontKey="{6A6B7649-A466-497D-99F5-0D9DB82719F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snapToGrid w:val="0"/>
      <w:jc w:val="center"/>
      <w:textAlignment w:val="baseline"/>
      <w:rPr>
        <w:rStyle w:val="11"/>
        <w:kern w:val="2"/>
        <w:sz w:val="18"/>
        <w:lang w:val="en-US" w:eastAsia="zh-CN" w:bidi="ar-SA"/>
      </w:rPr>
    </w:pPr>
  </w:p>
  <w:p>
    <w:pPr>
      <w:pStyle w:val="4"/>
      <w:widowControl/>
      <w:snapToGrid w:val="0"/>
      <w:jc w:val="left"/>
      <w:textAlignment w:val="baseline"/>
      <w:rPr>
        <w:rStyle w:val="11"/>
        <w:kern w:val="2"/>
        <w:sz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6A8CA8"/>
    <w:multiLevelType w:val="singleLevel"/>
    <w:tmpl w:val="976A8CA8"/>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D4F18"/>
    <w:rsid w:val="0C2E1467"/>
    <w:rsid w:val="0D244519"/>
    <w:rsid w:val="0D3D36B5"/>
    <w:rsid w:val="0D44642E"/>
    <w:rsid w:val="0DFC7A6B"/>
    <w:rsid w:val="0F5C5A01"/>
    <w:rsid w:val="135D2596"/>
    <w:rsid w:val="15971C90"/>
    <w:rsid w:val="1A78612C"/>
    <w:rsid w:val="1E695897"/>
    <w:rsid w:val="1E862216"/>
    <w:rsid w:val="1F822666"/>
    <w:rsid w:val="21760BB0"/>
    <w:rsid w:val="242D3C66"/>
    <w:rsid w:val="24450A07"/>
    <w:rsid w:val="25964FE9"/>
    <w:rsid w:val="280E50B4"/>
    <w:rsid w:val="31D324E0"/>
    <w:rsid w:val="36D24972"/>
    <w:rsid w:val="36EE4505"/>
    <w:rsid w:val="375E1A65"/>
    <w:rsid w:val="39012819"/>
    <w:rsid w:val="3B9052B1"/>
    <w:rsid w:val="3E3E013F"/>
    <w:rsid w:val="4037237F"/>
    <w:rsid w:val="42EE55F9"/>
    <w:rsid w:val="442C7808"/>
    <w:rsid w:val="46BE7BA2"/>
    <w:rsid w:val="489E6141"/>
    <w:rsid w:val="4C6767A7"/>
    <w:rsid w:val="4D4F2324"/>
    <w:rsid w:val="4EA5561D"/>
    <w:rsid w:val="5128451E"/>
    <w:rsid w:val="520F17B1"/>
    <w:rsid w:val="52F42672"/>
    <w:rsid w:val="534B1B26"/>
    <w:rsid w:val="57E30118"/>
    <w:rsid w:val="5AB4673D"/>
    <w:rsid w:val="5B3F3353"/>
    <w:rsid w:val="5FCD7E30"/>
    <w:rsid w:val="60A770F1"/>
    <w:rsid w:val="61F3516C"/>
    <w:rsid w:val="69AB3337"/>
    <w:rsid w:val="6D77520E"/>
    <w:rsid w:val="757E7A22"/>
    <w:rsid w:val="760B7E98"/>
    <w:rsid w:val="79F13912"/>
    <w:rsid w:val="7B6A4BAE"/>
    <w:rsid w:val="7C1E7D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line="240" w:lineRule="auto"/>
      <w:ind w:left="420" w:leftChars="200"/>
    </w:pPr>
    <w:rPr>
      <w:rFonts w:cs="Times New Roman"/>
    </w:rPr>
  </w:style>
  <w:style w:type="paragraph" w:styleId="4">
    <w:name w:val="footer"/>
    <w:basedOn w:val="1"/>
    <w:qFormat/>
    <w:uiPriority w:val="0"/>
    <w:pPr>
      <w:tabs>
        <w:tab w:val="center" w:pos="4153"/>
        <w:tab w:val="right" w:pos="8306"/>
      </w:tabs>
      <w:snapToGrid w:val="0"/>
      <w:jc w:val="left"/>
      <w:textAlignment w:val="baseline"/>
    </w:pPr>
    <w:rPr>
      <w:kern w:val="2"/>
      <w:sz w:val="18"/>
      <w:lang w:val="en-US" w:eastAsia="zh-CN"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8">
    <w:name w:val="Hyperlink"/>
    <w:qFormat/>
    <w:uiPriority w:val="0"/>
    <w:rPr>
      <w:color w:val="0000FF"/>
      <w:u w:val="single"/>
    </w:rPr>
  </w:style>
  <w:style w:type="paragraph" w:customStyle="1" w:styleId="9">
    <w:name w:val="TOC1"/>
    <w:basedOn w:val="1"/>
    <w:next w:val="1"/>
    <w:qFormat/>
    <w:uiPriority w:val="0"/>
    <w:pPr>
      <w:tabs>
        <w:tab w:val="right" w:leader="dot" w:pos="8778"/>
      </w:tabs>
      <w:spacing w:line="276" w:lineRule="auto"/>
      <w:jc w:val="center"/>
      <w:textAlignment w:val="baseline"/>
    </w:pPr>
    <w:rPr>
      <w:kern w:val="2"/>
      <w:sz w:val="30"/>
      <w:szCs w:val="30"/>
      <w:lang w:val="en-US" w:eastAsia="zh-CN" w:bidi="ar-SA"/>
    </w:rPr>
  </w:style>
  <w:style w:type="paragraph" w:customStyle="1" w:styleId="10">
    <w:name w:val="UserStyle_72"/>
    <w:qFormat/>
    <w:uiPriority w:val="0"/>
    <w:pPr>
      <w:widowControl/>
      <w:textAlignment w:val="baseline"/>
    </w:pPr>
    <w:rPr>
      <w:rFonts w:ascii="Times New Roman" w:hAnsi="Times New Roman" w:eastAsia="Times New Roman" w:cs="Times New Roman"/>
      <w:sz w:val="22"/>
      <w:lang w:val="en-US" w:eastAsia="zh-CN" w:bidi="ar-SA"/>
    </w:rPr>
  </w:style>
  <w:style w:type="character" w:customStyle="1" w:styleId="11">
    <w:name w:val="NormalCharacter"/>
    <w:qFormat/>
    <w:uiPriority w:val="0"/>
    <w:rPr>
      <w:rFonts w:ascii="Calibri" w:hAnsi="Calibri" w:eastAsia="宋体" w:cs="Times New Roman"/>
      <w:kern w:val="2"/>
      <w:sz w:val="21"/>
      <w:szCs w:val="24"/>
      <w:lang w:val="en-US" w:eastAsia="zh-CN" w:bidi="ar-SA"/>
    </w:rPr>
  </w:style>
  <w:style w:type="character" w:customStyle="1" w:styleId="12">
    <w:name w:val="font01"/>
    <w:basedOn w:val="7"/>
    <w:qFormat/>
    <w:uiPriority w:val="0"/>
    <w:rPr>
      <w:rFonts w:hint="eastAsia" w:ascii="宋体" w:hAnsi="宋体" w:eastAsia="宋体" w:cs="宋体"/>
      <w:color w:val="000000"/>
      <w:sz w:val="18"/>
      <w:szCs w:val="18"/>
      <w:u w:val="none"/>
    </w:rPr>
  </w:style>
  <w:style w:type="character" w:customStyle="1" w:styleId="13">
    <w:name w:val="font61"/>
    <w:basedOn w:val="7"/>
    <w:qFormat/>
    <w:uiPriority w:val="0"/>
    <w:rPr>
      <w:rFonts w:ascii="Arial" w:hAnsi="Arial" w:cs="Arial"/>
      <w:color w:val="000000"/>
      <w:sz w:val="18"/>
      <w:szCs w:val="18"/>
      <w:u w:val="none"/>
    </w:rPr>
  </w:style>
  <w:style w:type="character" w:customStyle="1" w:styleId="14">
    <w:name w:val="font51"/>
    <w:basedOn w:val="7"/>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王树辉</cp:lastModifiedBy>
  <dcterms:modified xsi:type="dcterms:W3CDTF">2026-07-07T01:51:29Z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4C75832371234111BFB1345B05506D05</vt:lpwstr>
  </property>
</Properties>
</file>