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outlineLvl w:val="0"/>
        <w:rPr>
          <w:rFonts w:hint="eastAsia"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南网产业发展集团网络安全运行调度</w:t>
      </w:r>
      <w:r>
        <w:rPr>
          <w:rFonts w:hint="eastAsia" w:ascii="宋体" w:hAnsi="宋体" w:eastAsia="宋体" w:cs="宋体"/>
          <w:b/>
          <w:sz w:val="44"/>
          <w:szCs w:val="44"/>
          <w:lang w:val="en-US" w:eastAsia="zh-CN"/>
        </w:rPr>
        <w:t>控制</w:t>
      </w:r>
      <w:r>
        <w:rPr>
          <w:rFonts w:hint="eastAsia" w:ascii="宋体" w:hAnsi="宋体" w:eastAsia="宋体" w:cs="宋体"/>
          <w:b/>
          <w:sz w:val="44"/>
          <w:szCs w:val="44"/>
        </w:rPr>
        <w:t>室</w:t>
      </w:r>
    </w:p>
    <w:p>
      <w:pPr>
        <w:jc w:val="center"/>
        <w:outlineLvl w:val="0"/>
        <w:rPr>
          <w:rFonts w:ascii="宋体" w:hAnsi="宋体" w:eastAsia="宋体" w:cs="宋体"/>
          <w:b/>
          <w:sz w:val="44"/>
          <w:szCs w:val="44"/>
        </w:rPr>
      </w:pPr>
      <w:r>
        <w:rPr>
          <w:rFonts w:hint="eastAsia" w:ascii="宋体" w:hAnsi="宋体" w:eastAsia="宋体" w:cs="宋体"/>
          <w:b/>
          <w:sz w:val="44"/>
          <w:szCs w:val="44"/>
        </w:rPr>
        <w:t>建设项目可行性研究报告编制项目</w:t>
      </w:r>
    </w:p>
    <w:p>
      <w:pPr>
        <w:pStyle w:val="4"/>
      </w:pPr>
    </w:p>
    <w:p>
      <w:pPr>
        <w:pStyle w:val="5"/>
        <w:numPr>
          <w:ilvl w:val="0"/>
          <w:numId w:val="1"/>
        </w:numPr>
        <w:spacing w:line="560" w:lineRule="exact"/>
        <w:ind w:firstLineChars="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项目背景</w:t>
      </w:r>
    </w:p>
    <w:p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ind w:firstLine="640" w:firstLineChars="200"/>
        <w:jc w:val="left"/>
        <w:textAlignment w:val="auto"/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南网产业发展集团启动网络安全运行管控模式调整，计划实施全集团统一的集中管控体系，全面开展全集团网络安全技术管控、安全监测和运行管控工作，统筹整合资源、统一操作标准、强化安全管控，提升集团网络安全威胁监测、预警、处置能力。为保障统一集中管控体系顺利落地执行，需配置网络安全运行调度控制室，涉及新增建筑面积的功能空间建设及配套设备搭建，为网络安全集中管控提供物理载体与基础支撑，因此现开展南网产业发展集团网络安全运行调度控制室建设项目</w:t>
      </w:r>
      <w:bookmarkStart w:id="0" w:name="_GoBack"/>
      <w:bookmarkEnd w:id="0"/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可行性研究报告编制</w:t>
      </w:r>
      <w:r>
        <w:rPr>
          <w:rFonts w:hint="eastAsia" w:asciiTheme="minorEastAsia" w:hAnsiTheme="minorEastAsia" w:cstheme="minorEastAsia"/>
          <w:sz w:val="32"/>
          <w:szCs w:val="32"/>
          <w:lang w:eastAsia="zh-CN"/>
        </w:rPr>
        <w:t>。</w:t>
      </w:r>
    </w:p>
    <w:p>
      <w:pPr>
        <w:spacing w:line="560" w:lineRule="exact"/>
        <w:ind w:firstLine="640" w:firstLineChars="20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二、投标方基本要求</w:t>
      </w:r>
    </w:p>
    <w:p>
      <w:pPr>
        <w:spacing w:line="560" w:lineRule="exact"/>
        <w:ind w:firstLine="640" w:firstLineChars="200"/>
        <w:outlineLvl w:val="0"/>
        <w:rPr>
          <w:rFonts w:hint="eastAsia" w:asciiTheme="minorEastAsia" w:hAnsi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cstheme="minorEastAsia"/>
          <w:sz w:val="32"/>
          <w:szCs w:val="32"/>
        </w:rPr>
        <w:t>1.具有独立法人资格，持有合法有效的企业法人营业执照，具备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具备有效的乙级及以上工程咨询单位资信证书（专业须为电力或电子、信息工程专业），或已在全国投资项目在线审批监管平台完成咨询业务备案公示（专业须为电力或电子、信息工程专业）。</w:t>
      </w:r>
    </w:p>
    <w:p>
      <w:pPr>
        <w:spacing w:line="560" w:lineRule="exact"/>
        <w:ind w:firstLine="640" w:firstLineChars="200"/>
        <w:outlineLvl w:val="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2.近3年的经营活动中没有重大违法记录，不存在财产被查封、冻结或接管、被宣告破产以及任何其他可能影响投标资格的情形。</w:t>
      </w:r>
    </w:p>
    <w:p>
      <w:pPr>
        <w:spacing w:line="560" w:lineRule="exact"/>
        <w:ind w:firstLine="640" w:firstLineChars="20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三、投标方负责人员要求</w:t>
      </w:r>
    </w:p>
    <w:p>
      <w:pPr>
        <w:spacing w:line="560" w:lineRule="exact"/>
        <w:ind w:firstLine="640" w:firstLineChars="200"/>
        <w:outlineLvl w:val="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提供可行性研究报告以及经费评审服务同类项目业绩合同不少于（含）3份。</w:t>
      </w:r>
    </w:p>
    <w:p>
      <w:pPr>
        <w:spacing w:line="560" w:lineRule="exact"/>
        <w:ind w:firstLine="640" w:firstLineChars="200"/>
        <w:outlineLvl w:val="0"/>
        <w:rPr>
          <w:rFonts w:ascii="黑体" w:hAnsi="黑体" w:eastAsia="黑体" w:cs="黑体"/>
          <w:bCs/>
          <w:sz w:val="32"/>
          <w:szCs w:val="32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>四、投标方服务能力要求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应具备分析和解决问题的能力，并具备较完整的内部管理体系，主要包括但不限于：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（1）确定项目经理，负责可行性研究报告以及经费评审相关工作事宜的沟通、联系与推动，组织专业人员形成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评审</w:t>
      </w:r>
      <w:r>
        <w:rPr>
          <w:rFonts w:hint="eastAsia" w:asciiTheme="minorEastAsia" w:hAnsiTheme="minorEastAsia" w:cstheme="minorEastAsia"/>
          <w:sz w:val="32"/>
          <w:szCs w:val="32"/>
        </w:rPr>
        <w:t>小组，制定详细的</w:t>
      </w:r>
      <w:r>
        <w:rPr>
          <w:rFonts w:hint="eastAsia" w:asciiTheme="minorEastAsia" w:hAnsiTheme="minorEastAsia" w:cstheme="minorEastAsia"/>
          <w:sz w:val="32"/>
          <w:szCs w:val="32"/>
          <w:lang w:val="en-US" w:eastAsia="zh-CN"/>
        </w:rPr>
        <w:t>评审</w:t>
      </w:r>
      <w:r>
        <w:rPr>
          <w:rFonts w:hint="eastAsia" w:asciiTheme="minorEastAsia" w:hAnsiTheme="minorEastAsia" w:cstheme="minorEastAsia"/>
          <w:sz w:val="32"/>
          <w:szCs w:val="32"/>
        </w:rPr>
        <w:t>工作执行计划并安排实施；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（2）成立专属团队，并确保该小组成员具有提供相关服务的能力，并保证团队负责人及成员稳定；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asciiTheme="minorEastAsia" w:hAnsiTheme="minorEastAsia" w:cstheme="minorEastAsia"/>
          <w:sz w:val="32"/>
          <w:szCs w:val="32"/>
        </w:rPr>
      </w:pPr>
      <w:r>
        <w:rPr>
          <w:rFonts w:hint="eastAsia" w:asciiTheme="minorEastAsia" w:hAnsiTheme="minorEastAsia" w:cstheme="minorEastAsia"/>
          <w:sz w:val="32"/>
          <w:szCs w:val="32"/>
        </w:rPr>
        <w:t>（3）应当独立完成相关工作，不得向任何第三方分包或转包；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hint="eastAsia" w:asciiTheme="minorEastAsia" w:hAnsiTheme="minorEastAsia" w:eastAsiaTheme="minorEastAsia" w:cstheme="minorEastAsia"/>
          <w:sz w:val="32"/>
          <w:szCs w:val="32"/>
          <w:lang w:eastAsia="zh-CN"/>
        </w:rPr>
      </w:pPr>
      <w:r>
        <w:rPr>
          <w:rFonts w:hint="eastAsia" w:asciiTheme="minorEastAsia" w:hAnsiTheme="minorEastAsia" w:cstheme="minorEastAsia"/>
          <w:sz w:val="32"/>
          <w:szCs w:val="32"/>
        </w:rPr>
        <w:t>（4）建立关于遵循法律法规要求、保密承诺和顾客知识产权保护等方面的规则</w:t>
      </w:r>
      <w:r>
        <w:rPr>
          <w:rFonts w:hint="eastAsia" w:asciiTheme="minorEastAsia" w:hAnsiTheme="minorEastAsia" w:cstheme="minorEastAsia"/>
          <w:sz w:val="32"/>
          <w:szCs w:val="32"/>
          <w:lang w:eastAsia="zh-CN"/>
        </w:rPr>
        <w:t>。</w:t>
      </w:r>
    </w:p>
    <w:p>
      <w:pPr>
        <w:pStyle w:val="4"/>
        <w:spacing w:before="0" w:beforeAutospacing="0" w:after="0" w:afterAutospacing="0" w:line="560" w:lineRule="exact"/>
        <w:ind w:left="0" w:leftChars="0" w:firstLine="640" w:firstLineChars="200"/>
        <w:rPr>
          <w:rFonts w:asciiTheme="minorEastAsia" w:hAnsiTheme="minorEastAsia" w:cstheme="minorEastAsia"/>
          <w:sz w:val="32"/>
          <w:szCs w:val="32"/>
        </w:rPr>
      </w:pPr>
    </w:p>
    <w:p>
      <w:pPr>
        <w:pStyle w:val="4"/>
        <w:ind w:left="0" w:leftChars="0"/>
      </w:pPr>
    </w:p>
    <w:p/>
    <w:sectPr>
      <w:pgSz w:w="11906" w:h="16838"/>
      <w:pgMar w:top="1440" w:right="1080" w:bottom="1440" w:left="10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FAB4729"/>
    <w:multiLevelType w:val="multilevel"/>
    <w:tmpl w:val="6FAB4729"/>
    <w:lvl w:ilvl="0" w:tentative="0">
      <w:start w:val="1"/>
      <w:numFmt w:val="japaneseCounting"/>
      <w:lvlText w:val="%1、"/>
      <w:lvlJc w:val="left"/>
      <w:pPr>
        <w:ind w:left="1288" w:hanging="648"/>
      </w:pPr>
      <w:rPr>
        <w:rFonts w:hint="default"/>
      </w:rPr>
    </w:lvl>
    <w:lvl w:ilvl="1" w:tentative="0">
      <w:start w:val="1"/>
      <w:numFmt w:val="lowerLetter"/>
      <w:lvlText w:val="%2)"/>
      <w:lvlJc w:val="left"/>
      <w:pPr>
        <w:ind w:left="1520" w:hanging="440"/>
      </w:pPr>
    </w:lvl>
    <w:lvl w:ilvl="2" w:tentative="0">
      <w:start w:val="1"/>
      <w:numFmt w:val="lowerRoman"/>
      <w:lvlText w:val="%3."/>
      <w:lvlJc w:val="right"/>
      <w:pPr>
        <w:ind w:left="1960" w:hanging="440"/>
      </w:pPr>
    </w:lvl>
    <w:lvl w:ilvl="3" w:tentative="0">
      <w:start w:val="1"/>
      <w:numFmt w:val="decimal"/>
      <w:lvlText w:val="%4."/>
      <w:lvlJc w:val="left"/>
      <w:pPr>
        <w:ind w:left="2400" w:hanging="440"/>
      </w:pPr>
    </w:lvl>
    <w:lvl w:ilvl="4" w:tentative="0">
      <w:start w:val="1"/>
      <w:numFmt w:val="lowerLetter"/>
      <w:lvlText w:val="%5)"/>
      <w:lvlJc w:val="left"/>
      <w:pPr>
        <w:ind w:left="2840" w:hanging="440"/>
      </w:pPr>
    </w:lvl>
    <w:lvl w:ilvl="5" w:tentative="0">
      <w:start w:val="1"/>
      <w:numFmt w:val="lowerRoman"/>
      <w:lvlText w:val="%6."/>
      <w:lvlJc w:val="right"/>
      <w:pPr>
        <w:ind w:left="3280" w:hanging="440"/>
      </w:pPr>
    </w:lvl>
    <w:lvl w:ilvl="6" w:tentative="0">
      <w:start w:val="1"/>
      <w:numFmt w:val="decimal"/>
      <w:lvlText w:val="%7."/>
      <w:lvlJc w:val="left"/>
      <w:pPr>
        <w:ind w:left="3720" w:hanging="440"/>
      </w:pPr>
    </w:lvl>
    <w:lvl w:ilvl="7" w:tentative="0">
      <w:start w:val="1"/>
      <w:numFmt w:val="lowerLetter"/>
      <w:lvlText w:val="%8)"/>
      <w:lvlJc w:val="left"/>
      <w:pPr>
        <w:ind w:left="4160" w:hanging="440"/>
      </w:pPr>
    </w:lvl>
    <w:lvl w:ilvl="8" w:tentative="0">
      <w:start w:val="1"/>
      <w:numFmt w:val="lowerRoman"/>
      <w:lvlText w:val="%9."/>
      <w:lvlJc w:val="right"/>
      <w:pPr>
        <w:ind w:left="4600" w:hanging="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E332ADA"/>
    <w:rsid w:val="00332082"/>
    <w:rsid w:val="003854F2"/>
    <w:rsid w:val="0046004C"/>
    <w:rsid w:val="004B025A"/>
    <w:rsid w:val="005E2354"/>
    <w:rsid w:val="00662495"/>
    <w:rsid w:val="006E0FC2"/>
    <w:rsid w:val="0094213B"/>
    <w:rsid w:val="00AC5840"/>
    <w:rsid w:val="00EF7080"/>
    <w:rsid w:val="01CC0F01"/>
    <w:rsid w:val="04706FFA"/>
    <w:rsid w:val="07254947"/>
    <w:rsid w:val="0CE458D6"/>
    <w:rsid w:val="0F1208E5"/>
    <w:rsid w:val="14A02B65"/>
    <w:rsid w:val="1E332ADA"/>
    <w:rsid w:val="20150212"/>
    <w:rsid w:val="239F31AD"/>
    <w:rsid w:val="25731D7F"/>
    <w:rsid w:val="265F25D3"/>
    <w:rsid w:val="2B0402E6"/>
    <w:rsid w:val="2D72425D"/>
    <w:rsid w:val="31487EAB"/>
    <w:rsid w:val="32A523FF"/>
    <w:rsid w:val="34E75213"/>
    <w:rsid w:val="369C19A7"/>
    <w:rsid w:val="3D024A68"/>
    <w:rsid w:val="54AB681F"/>
    <w:rsid w:val="55315B32"/>
    <w:rsid w:val="5B8F58D4"/>
    <w:rsid w:val="61981990"/>
    <w:rsid w:val="62753E79"/>
    <w:rsid w:val="62CC7DA0"/>
    <w:rsid w:val="78BB6EEB"/>
    <w:rsid w:val="7AF52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lang w:val="en-US" w:eastAsia="zh-CN" w:bidi="ar-SA"/>
    </w:rPr>
  </w:style>
  <w:style w:type="character" w:default="1" w:styleId="3">
    <w:name w:val="Default Paragraph Font"/>
    <w:semiHidden/>
    <w:unhideWhenUsed/>
    <w:qFormat/>
    <w:uiPriority w:val="1"/>
  </w:style>
  <w:style w:type="table" w:default="1" w:styleId="2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目录 21"/>
    <w:basedOn w:val="1"/>
    <w:next w:val="1"/>
    <w:qFormat/>
    <w:uiPriority w:val="0"/>
    <w:pPr>
      <w:spacing w:before="100" w:beforeAutospacing="1" w:after="100" w:afterAutospacing="1"/>
      <w:ind w:left="420" w:leftChars="200"/>
    </w:pPr>
  </w:style>
  <w:style w:type="paragraph" w:styleId="5">
    <w:name w:val="List Paragraph"/>
    <w:basedOn w:val="1"/>
    <w:unhideWhenUsed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643</Words>
  <Characters>645</Characters>
  <Lines>1</Lines>
  <Paragraphs>1</Paragraphs>
  <TotalTime>1</TotalTime>
  <ScaleCrop>false</ScaleCrop>
  <LinksUpToDate>false</LinksUpToDate>
  <CharactersWithSpaces>645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2024-04-15T06:24:00Z</dcterms:created>
  <dc:creator>Administrator</dc:creator>
  <cp:lastModifiedBy>陈英达</cp:lastModifiedBy>
  <dcterms:modified xsi:type="dcterms:W3CDTF">2026-07-14T03:52:06Z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CCE6D34917324EEBBB7E2FA45E9245FA</vt:lpwstr>
  </property>
  <property fmtid="{D5CDD505-2E9C-101B-9397-08002B2CF9AE}" pid="4" name="KSOTemplateDocerSaveRecord">
    <vt:lpwstr>eyJoZGlkIjoiMGQwZjNjMmM1MTMwZDU4N2U1YmE4ZDQ5MzcyMDcwY2UiLCJ1c2VySWQiOiI1NzQ1NzU3MzEifQ==</vt:lpwstr>
  </property>
</Properties>
</file>