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微软雅黑"/>
          <w:b/>
          <w:sz w:val="36"/>
          <w:szCs w:val="36"/>
          <w:lang w:eastAsia="zh-CN"/>
        </w:rPr>
      </w:pPr>
    </w:p>
    <w:p>
      <w:pPr>
        <w:spacing w:line="360" w:lineRule="auto"/>
        <w:jc w:val="center"/>
        <w:rPr>
          <w:rFonts w:hint="eastAsia" w:ascii="宋体" w:hAnsi="宋体" w:eastAsia="宋体" w:cs="微软雅黑"/>
          <w:b/>
          <w:sz w:val="36"/>
          <w:szCs w:val="36"/>
          <w:lang w:eastAsia="zh-CN"/>
        </w:rPr>
      </w:pPr>
    </w:p>
    <w:p>
      <w:pPr>
        <w:spacing w:line="360" w:lineRule="auto"/>
        <w:jc w:val="center"/>
        <w:rPr>
          <w:rFonts w:hint="eastAsia" w:ascii="宋体" w:hAnsi="宋体" w:eastAsia="宋体" w:cs="微软雅黑"/>
          <w:b/>
          <w:color w:val="auto"/>
          <w:sz w:val="36"/>
          <w:szCs w:val="36"/>
          <w:lang w:eastAsia="zh-CN"/>
        </w:rPr>
      </w:pPr>
    </w:p>
    <w:p>
      <w:pPr>
        <w:spacing w:line="360" w:lineRule="auto"/>
        <w:jc w:val="center"/>
        <w:rPr>
          <w:rFonts w:hint="eastAsia" w:ascii="宋体" w:hAnsi="宋体" w:eastAsia="宋体" w:cs="微软雅黑"/>
          <w:b/>
          <w:color w:val="auto"/>
          <w:sz w:val="36"/>
          <w:szCs w:val="36"/>
          <w:lang w:eastAsia="zh-CN"/>
        </w:rPr>
      </w:pPr>
    </w:p>
    <w:p>
      <w:pPr>
        <w:spacing w:line="360" w:lineRule="auto"/>
        <w:jc w:val="center"/>
        <w:rPr>
          <w:rFonts w:hint="eastAsia" w:ascii="宋体" w:hAnsi="宋体" w:eastAsia="宋体" w:cs="微软雅黑"/>
          <w:b/>
          <w:color w:val="auto"/>
          <w:sz w:val="36"/>
          <w:szCs w:val="36"/>
          <w:lang w:eastAsia="zh-CN"/>
        </w:rPr>
      </w:pPr>
    </w:p>
    <w:p>
      <w:pPr>
        <w:spacing w:line="360" w:lineRule="auto"/>
        <w:ind w:firstLine="360" w:firstLineChars="100"/>
        <w:rPr>
          <w:rFonts w:ascii="宋体" w:hAnsi="宋体" w:eastAsia="宋体"/>
          <w:b/>
          <w:color w:val="auto"/>
          <w:szCs w:val="21"/>
        </w:rPr>
      </w:pPr>
      <w:r>
        <w:rPr>
          <w:rFonts w:hint="eastAsia" w:ascii="宋体" w:hAnsi="宋体" w:eastAsia="宋体" w:cs="微软雅黑"/>
          <w:b/>
          <w:color w:val="auto"/>
          <w:sz w:val="36"/>
          <w:szCs w:val="36"/>
        </w:rPr>
        <w:t>柳州供电局2026年220kV退运主变转运技术服务项目</w:t>
      </w: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rPr>
          <w:rFonts w:ascii="宋体" w:hAnsi="宋体" w:eastAsia="宋体"/>
          <w:b/>
          <w:color w:val="auto"/>
          <w:szCs w:val="21"/>
        </w:rPr>
      </w:pPr>
    </w:p>
    <w:p>
      <w:pPr>
        <w:spacing w:line="360" w:lineRule="auto"/>
        <w:jc w:val="center"/>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广西电网有限责任公司柳州供电局</w:t>
      </w:r>
    </w:p>
    <w:p>
      <w:pPr>
        <w:spacing w:line="360" w:lineRule="auto"/>
        <w:jc w:val="center"/>
        <w:rPr>
          <w:rFonts w:ascii="宋体" w:hAnsi="宋体" w:eastAsia="宋体"/>
          <w:b/>
          <w:color w:val="auto"/>
          <w:szCs w:val="21"/>
        </w:rPr>
      </w:pPr>
      <w:r>
        <w:rPr>
          <w:rFonts w:hint="eastAsia" w:ascii="宋体" w:hAnsi="宋体" w:eastAsia="宋体" w:cs="微软雅黑"/>
          <w:b/>
          <w:color w:val="auto"/>
          <w:szCs w:val="21"/>
          <w:lang w:val="en-US" w:eastAsia="zh-CN"/>
        </w:rPr>
        <w:t>2026</w:t>
      </w:r>
      <w:r>
        <w:rPr>
          <w:rFonts w:hint="eastAsia" w:ascii="宋体" w:hAnsi="宋体" w:eastAsia="宋体" w:cs="微软雅黑"/>
          <w:b/>
          <w:color w:val="auto"/>
          <w:szCs w:val="21"/>
        </w:rPr>
        <w:t>年</w:t>
      </w:r>
      <w:r>
        <w:rPr>
          <w:rFonts w:hint="eastAsia" w:ascii="宋体" w:hAnsi="宋体" w:eastAsia="宋体" w:cs="微软雅黑"/>
          <w:b/>
          <w:color w:val="auto"/>
          <w:szCs w:val="21"/>
          <w:lang w:val="en-US" w:eastAsia="zh-CN"/>
        </w:rPr>
        <w:t>5</w:t>
      </w:r>
      <w:r>
        <w:rPr>
          <w:rFonts w:hint="eastAsia" w:ascii="宋体" w:hAnsi="宋体" w:eastAsia="宋体" w:cs="微软雅黑"/>
          <w:b/>
          <w:color w:val="auto"/>
          <w:szCs w:val="21"/>
        </w:rPr>
        <w:t>月</w:t>
      </w:r>
    </w:p>
    <w:p>
      <w:pPr>
        <w:widowControl/>
        <w:spacing w:line="360" w:lineRule="auto"/>
        <w:jc w:val="left"/>
        <w:rPr>
          <w:rFonts w:ascii="宋体" w:hAnsi="宋体" w:eastAsia="宋体"/>
          <w:b/>
          <w:color w:val="auto"/>
          <w:szCs w:val="21"/>
        </w:rPr>
        <w:sectPr>
          <w:headerReference r:id="rId3" w:type="default"/>
          <w:type w:val="continuous"/>
          <w:pgSz w:w="11906" w:h="16838"/>
          <w:pgMar w:top="1440" w:right="1200" w:bottom="1040" w:left="1200" w:header="851" w:footer="992" w:gutter="0"/>
          <w:cols w:space="720" w:num="1"/>
          <w:docGrid w:type="linesAndChars" w:linePitch="312" w:charSpace="0"/>
        </w:sectPr>
      </w:pPr>
    </w:p>
    <w:p>
      <w:pPr>
        <w:spacing w:line="360" w:lineRule="auto"/>
        <w:outlineLvl w:val="0"/>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1  总则</w:t>
      </w:r>
    </w:p>
    <w:p>
      <w:pPr>
        <w:spacing w:line="360" w:lineRule="auto"/>
        <w:jc w:val="left"/>
        <w:outlineLvl w:val="0"/>
        <w:rPr>
          <w:rFonts w:ascii="宋体" w:hAnsi="宋体" w:eastAsia="宋体"/>
          <w:color w:val="auto"/>
          <w:szCs w:val="21"/>
        </w:rPr>
      </w:pPr>
      <w:r>
        <w:rPr>
          <w:rFonts w:hint="eastAsia" w:ascii="宋体" w:hAnsi="宋体" w:eastAsia="宋体"/>
          <w:color w:val="auto"/>
          <w:szCs w:val="21"/>
        </w:rPr>
        <w:t>1.1</w:t>
      </w:r>
      <w:r>
        <w:rPr>
          <w:rFonts w:hint="eastAsia" w:ascii="宋体" w:hAnsi="宋体" w:eastAsia="宋体" w:cs="微软雅黑"/>
          <w:color w:val="auto"/>
          <w:szCs w:val="21"/>
        </w:rPr>
        <w:t>本技术规范书的使用范围，仅限于</w:t>
      </w:r>
      <w:r>
        <w:rPr>
          <w:rFonts w:hint="eastAsia" w:ascii="宋体" w:hAnsi="宋体" w:eastAsia="宋体" w:cs="微软雅黑"/>
          <w:color w:val="auto"/>
          <w:szCs w:val="21"/>
          <w:lang w:eastAsia="zh-CN"/>
        </w:rPr>
        <w:t>“220kV退运主变转运</w:t>
      </w:r>
      <w:r>
        <w:rPr>
          <w:rFonts w:hint="eastAsia" w:ascii="宋体" w:hAnsi="宋体" w:eastAsia="宋体" w:cs="微软雅黑"/>
          <w:color w:val="auto"/>
          <w:szCs w:val="21"/>
          <w:highlight w:val="none"/>
          <w:u w:val="none"/>
          <w:lang w:val="en-US" w:eastAsia="zh-CN"/>
        </w:rPr>
        <w:t>”项目</w:t>
      </w:r>
      <w:r>
        <w:rPr>
          <w:rFonts w:hint="eastAsia" w:ascii="宋体" w:hAnsi="宋体" w:eastAsia="宋体" w:cs="微软雅黑"/>
          <w:color w:val="auto"/>
          <w:szCs w:val="21"/>
        </w:rPr>
        <w:t>技术服务。</w:t>
      </w:r>
    </w:p>
    <w:p>
      <w:pPr>
        <w:spacing w:line="360" w:lineRule="auto"/>
        <w:rPr>
          <w:rFonts w:ascii="宋体" w:hAnsi="宋体" w:eastAsia="宋体"/>
          <w:color w:val="auto"/>
          <w:szCs w:val="21"/>
        </w:rPr>
      </w:pPr>
      <w:r>
        <w:rPr>
          <w:rFonts w:hint="eastAsia" w:ascii="宋体" w:hAnsi="宋体" w:eastAsia="宋体"/>
          <w:color w:val="auto"/>
          <w:szCs w:val="21"/>
        </w:rPr>
        <w:t>1.2</w:t>
      </w:r>
      <w:r>
        <w:rPr>
          <w:rFonts w:hint="eastAsia" w:ascii="宋体" w:hAnsi="宋体" w:eastAsia="宋体" w:cs="微软雅黑"/>
          <w:color w:val="auto"/>
          <w:szCs w:val="21"/>
        </w:rPr>
        <w:t>本技术规范书提出的是最低限度的技术要求，并未对一切技术细节做出规定，也未充分引述有关标准和规范的条文，乙方应保证提供符合国家有关最新行业标准的优质</w:t>
      </w:r>
      <w:r>
        <w:rPr>
          <w:rFonts w:hint="eastAsia" w:ascii="宋体" w:hAnsi="宋体" w:eastAsia="宋体" w:cs="微软雅黑"/>
          <w:color w:val="auto"/>
          <w:szCs w:val="21"/>
          <w:lang w:eastAsia="zh-CN"/>
        </w:rPr>
        <w:t>服务</w:t>
      </w:r>
      <w:r>
        <w:rPr>
          <w:rFonts w:hint="eastAsia" w:ascii="宋体" w:hAnsi="宋体" w:eastAsia="宋体" w:cs="微软雅黑"/>
          <w:color w:val="auto"/>
          <w:szCs w:val="21"/>
        </w:rPr>
        <w:t>，并符合本技术规范书。</w:t>
      </w:r>
    </w:p>
    <w:p>
      <w:pPr>
        <w:spacing w:line="360" w:lineRule="auto"/>
        <w:rPr>
          <w:rFonts w:ascii="宋体" w:hAnsi="宋体" w:eastAsia="宋体"/>
          <w:color w:val="auto"/>
          <w:szCs w:val="21"/>
        </w:rPr>
      </w:pPr>
      <w:r>
        <w:rPr>
          <w:rFonts w:hint="eastAsia" w:ascii="宋体" w:hAnsi="宋体" w:eastAsia="宋体"/>
          <w:color w:val="auto"/>
          <w:szCs w:val="21"/>
        </w:rPr>
        <w:t>1.3</w:t>
      </w:r>
      <w:r>
        <w:rPr>
          <w:rFonts w:hint="eastAsia" w:ascii="宋体" w:hAnsi="宋体" w:eastAsia="宋体" w:cs="微软雅黑"/>
          <w:color w:val="auto"/>
          <w:szCs w:val="21"/>
        </w:rPr>
        <w:t>如投标方未以书面形式对本技术规范书的条文明确提出异议，则卖方提供的产品应完全满足本技术规范书的要求。</w:t>
      </w:r>
      <w:bookmarkStart w:id="0" w:name="_GoBack"/>
      <w:bookmarkEnd w:id="0"/>
    </w:p>
    <w:p>
      <w:pPr>
        <w:spacing w:line="360" w:lineRule="auto"/>
        <w:rPr>
          <w:rFonts w:ascii="宋体" w:hAnsi="宋体" w:eastAsia="宋体"/>
          <w:color w:val="auto"/>
          <w:szCs w:val="21"/>
        </w:rPr>
      </w:pPr>
      <w:r>
        <w:rPr>
          <w:rFonts w:hint="eastAsia" w:ascii="宋体" w:hAnsi="宋体" w:eastAsia="宋体"/>
          <w:color w:val="auto"/>
          <w:szCs w:val="21"/>
        </w:rPr>
        <w:t>1.4</w:t>
      </w:r>
      <w:r>
        <w:rPr>
          <w:rFonts w:hint="eastAsia" w:ascii="宋体" w:hAnsi="宋体" w:eastAsia="宋体" w:cs="微软雅黑"/>
          <w:color w:val="auto"/>
          <w:szCs w:val="21"/>
        </w:rPr>
        <w:t>在签订合同之后，招标方有权提出因规范标准和规程发生变化而产生的一些补充要求，具体项目由双方共同商定。</w:t>
      </w:r>
    </w:p>
    <w:p>
      <w:pPr>
        <w:spacing w:line="360" w:lineRule="auto"/>
        <w:rPr>
          <w:rFonts w:ascii="宋体" w:hAnsi="宋体" w:eastAsia="宋体"/>
          <w:color w:val="auto"/>
          <w:szCs w:val="21"/>
        </w:rPr>
      </w:pPr>
      <w:r>
        <w:rPr>
          <w:rFonts w:hint="eastAsia" w:ascii="宋体" w:hAnsi="宋体" w:eastAsia="宋体"/>
          <w:color w:val="auto"/>
          <w:szCs w:val="21"/>
        </w:rPr>
        <w:t xml:space="preserve">1.5 </w:t>
      </w:r>
      <w:r>
        <w:rPr>
          <w:rFonts w:hint="eastAsia" w:ascii="宋体" w:hAnsi="宋体" w:eastAsia="宋体" w:cs="微软雅黑"/>
          <w:color w:val="auto"/>
          <w:szCs w:val="21"/>
        </w:rPr>
        <w:t>本技术规范书所使用的标准如遇与投标方所执行的标准发生矛盾时，按其中要求较高标准执行。</w:t>
      </w:r>
    </w:p>
    <w:p>
      <w:pPr>
        <w:spacing w:line="360" w:lineRule="auto"/>
        <w:rPr>
          <w:rFonts w:ascii="宋体" w:hAnsi="宋体" w:eastAsia="宋体"/>
          <w:color w:val="auto"/>
          <w:szCs w:val="21"/>
        </w:rPr>
      </w:pPr>
      <w:r>
        <w:rPr>
          <w:rFonts w:hint="eastAsia" w:ascii="宋体" w:hAnsi="宋体" w:eastAsia="宋体"/>
          <w:color w:val="auto"/>
          <w:szCs w:val="21"/>
        </w:rPr>
        <w:t xml:space="preserve">1.6 </w:t>
      </w:r>
      <w:r>
        <w:rPr>
          <w:rFonts w:hint="eastAsia" w:ascii="宋体" w:hAnsi="宋体" w:eastAsia="宋体" w:cs="微软雅黑"/>
          <w:color w:val="auto"/>
          <w:szCs w:val="21"/>
        </w:rPr>
        <w:t>本技术规范书的条款为合同的附件，与合同正文具有同等效力。</w:t>
      </w:r>
    </w:p>
    <w:p>
      <w:pPr>
        <w:spacing w:line="360" w:lineRule="auto"/>
        <w:outlineLvl w:val="0"/>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2  项目概况与采购范围</w:t>
      </w:r>
    </w:p>
    <w:p>
      <w:pPr>
        <w:keepNext w:val="0"/>
        <w:keepLines w:val="0"/>
        <w:pageBreakBefore w:val="0"/>
        <w:widowControl w:val="0"/>
        <w:kinsoku/>
        <w:wordWrap/>
        <w:overflowPunct/>
        <w:topLinePunct w:val="0"/>
        <w:bidi w:val="0"/>
        <w:snapToGrid/>
        <w:spacing w:line="500" w:lineRule="exact"/>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val="en-US" w:eastAsia="zh-CN"/>
        </w:rPr>
        <w:t>（1）</w:t>
      </w:r>
      <w:r>
        <w:rPr>
          <w:rFonts w:hint="eastAsia" w:ascii="宋体" w:hAnsi="宋体" w:eastAsia="宋体" w:cs="黑体"/>
          <w:color w:val="auto"/>
          <w:szCs w:val="21"/>
          <w:highlight w:val="none"/>
          <w:lang w:eastAsia="zh-CN"/>
        </w:rPr>
        <w:t>项目名称：220kV退运主变转运项目</w:t>
      </w:r>
    </w:p>
    <w:p>
      <w:pPr>
        <w:keepNext w:val="0"/>
        <w:keepLines w:val="0"/>
        <w:pageBreakBefore w:val="0"/>
        <w:widowControl w:val="0"/>
        <w:kinsoku/>
        <w:wordWrap/>
        <w:overflowPunct/>
        <w:topLinePunct w:val="0"/>
        <w:bidi w:val="0"/>
        <w:snapToGrid/>
        <w:spacing w:line="500" w:lineRule="exact"/>
        <w:rPr>
          <w:rFonts w:ascii="宋体" w:hAnsi="宋体" w:eastAsia="宋体" w:cs="黑体"/>
          <w:b/>
          <w:color w:val="auto"/>
          <w:kern w:val="0"/>
          <w:sz w:val="32"/>
          <w:szCs w:val="32"/>
          <w:highlight w:val="none"/>
        </w:rPr>
      </w:pPr>
      <w:r>
        <w:rPr>
          <w:rFonts w:hint="eastAsia" w:ascii="宋体" w:hAnsi="宋体" w:eastAsia="宋体" w:cs="黑体"/>
          <w:color w:val="auto"/>
          <w:szCs w:val="21"/>
          <w:highlight w:val="none"/>
          <w:lang w:val="en-US" w:eastAsia="zh-CN"/>
        </w:rPr>
        <w:t>（2）项目编码：040200MS62230500</w:t>
      </w:r>
    </w:p>
    <w:p>
      <w:pPr>
        <w:keepNext w:val="0"/>
        <w:keepLines w:val="0"/>
        <w:pageBreakBefore w:val="0"/>
        <w:widowControl w:val="0"/>
        <w:kinsoku/>
        <w:wordWrap/>
        <w:overflowPunct/>
        <w:topLinePunct w:val="0"/>
        <w:bidi w:val="0"/>
        <w:snapToGrid/>
        <w:spacing w:line="500" w:lineRule="exact"/>
        <w:rPr>
          <w:rFonts w:hint="eastAsia" w:ascii="宋体" w:hAnsi="宋体" w:eastAsia="宋体" w:cs="黑体"/>
          <w:color w:val="auto"/>
          <w:szCs w:val="21"/>
          <w:highlight w:val="none"/>
        </w:rPr>
      </w:pPr>
      <w:r>
        <w:rPr>
          <w:rFonts w:hint="eastAsia" w:ascii="宋体" w:hAnsi="宋体" w:eastAsia="宋体" w:cs="黑体"/>
          <w:color w:val="auto"/>
          <w:szCs w:val="21"/>
          <w:highlight w:val="none"/>
          <w:lang w:val="en-US" w:eastAsia="zh-CN"/>
        </w:rPr>
        <w:t>（3）</w:t>
      </w:r>
      <w:r>
        <w:rPr>
          <w:rFonts w:hint="eastAsia" w:ascii="宋体" w:hAnsi="宋体" w:eastAsia="宋体" w:cs="黑体"/>
          <w:color w:val="auto"/>
          <w:szCs w:val="21"/>
          <w:highlight w:val="none"/>
        </w:rPr>
        <w:t>采购范围：将广东省汕头市220kV潮阳站#2主变（停运）及</w:t>
      </w:r>
      <w:r>
        <w:rPr>
          <w:rFonts w:hint="eastAsia" w:ascii="宋体" w:hAnsi="宋体" w:eastAsia="宋体" w:cs="黑体"/>
          <w:color w:val="auto"/>
          <w:szCs w:val="21"/>
          <w:highlight w:val="none"/>
          <w:lang w:eastAsia="zh-CN"/>
        </w:rPr>
        <w:t>其</w:t>
      </w:r>
      <w:r>
        <w:rPr>
          <w:rFonts w:hint="eastAsia" w:ascii="宋体" w:hAnsi="宋体" w:eastAsia="宋体" w:cs="黑体"/>
          <w:color w:val="auto"/>
          <w:szCs w:val="21"/>
          <w:highlight w:val="none"/>
        </w:rPr>
        <w:t>附件包装、装</w:t>
      </w:r>
      <w:r>
        <w:rPr>
          <w:rFonts w:hint="eastAsia" w:ascii="宋体" w:hAnsi="宋体" w:eastAsia="宋体" w:cs="黑体"/>
          <w:color w:val="auto"/>
          <w:szCs w:val="21"/>
          <w:highlight w:val="none"/>
          <w:lang w:eastAsia="zh-CN"/>
        </w:rPr>
        <w:t>车，</w:t>
      </w:r>
      <w:r>
        <w:rPr>
          <w:rFonts w:hint="eastAsia" w:ascii="宋体" w:hAnsi="宋体" w:eastAsia="宋体" w:cs="黑体"/>
          <w:color w:val="auto"/>
          <w:szCs w:val="21"/>
          <w:highlight w:val="none"/>
        </w:rPr>
        <w:t>运输至广西</w:t>
      </w:r>
      <w:r>
        <w:rPr>
          <w:rFonts w:hint="eastAsia" w:ascii="宋体" w:hAnsi="宋体" w:eastAsia="宋体" w:cs="黑体"/>
          <w:color w:val="auto"/>
          <w:szCs w:val="21"/>
          <w:highlight w:val="none"/>
          <w:lang w:eastAsia="zh-CN"/>
        </w:rPr>
        <w:t>壮族自治区柳州市柳州</w:t>
      </w:r>
      <w:r>
        <w:rPr>
          <w:rFonts w:hint="eastAsia" w:ascii="宋体" w:hAnsi="宋体" w:eastAsia="宋体" w:cs="黑体"/>
          <w:color w:val="auto"/>
          <w:szCs w:val="21"/>
          <w:highlight w:val="none"/>
        </w:rPr>
        <w:t>供电局仓库存放，运输距离约</w:t>
      </w:r>
      <w:r>
        <w:rPr>
          <w:rFonts w:hint="eastAsia" w:ascii="宋体" w:hAnsi="宋体" w:eastAsia="宋体" w:cs="黑体"/>
          <w:color w:val="auto"/>
          <w:szCs w:val="21"/>
          <w:highlight w:val="none"/>
          <w:lang w:val="en-US" w:eastAsia="zh-CN"/>
        </w:rPr>
        <w:t>950</w:t>
      </w:r>
      <w:r>
        <w:rPr>
          <w:rFonts w:hint="eastAsia" w:ascii="宋体" w:hAnsi="宋体" w:eastAsia="宋体" w:cs="黑体"/>
          <w:color w:val="auto"/>
          <w:szCs w:val="21"/>
          <w:highlight w:val="none"/>
        </w:rPr>
        <w:t>公里。</w:t>
      </w:r>
    </w:p>
    <w:p>
      <w:pPr>
        <w:keepNext w:val="0"/>
        <w:keepLines w:val="0"/>
        <w:pageBreakBefore w:val="0"/>
        <w:widowControl w:val="0"/>
        <w:kinsoku/>
        <w:wordWrap/>
        <w:overflowPunct/>
        <w:topLinePunct w:val="0"/>
        <w:bidi w:val="0"/>
        <w:snapToGrid/>
        <w:spacing w:line="500" w:lineRule="exact"/>
        <w:rPr>
          <w:rFonts w:hint="eastAsia" w:ascii="宋体" w:hAnsi="宋体" w:eastAsia="宋体" w:cs="黑体"/>
          <w:color w:val="auto"/>
          <w:szCs w:val="21"/>
          <w:highlight w:val="none"/>
        </w:rPr>
      </w:pPr>
      <w:r>
        <w:rPr>
          <w:rFonts w:hint="eastAsia" w:ascii="宋体" w:hAnsi="宋体" w:eastAsia="宋体" w:cs="黑体"/>
          <w:color w:val="auto"/>
          <w:szCs w:val="21"/>
          <w:highlight w:val="none"/>
          <w:lang w:val="en-US" w:eastAsia="zh-CN"/>
        </w:rPr>
        <w:t>（4）退运</w:t>
      </w:r>
      <w:r>
        <w:rPr>
          <w:rFonts w:hint="eastAsia" w:ascii="宋体" w:hAnsi="宋体" w:eastAsia="宋体" w:cs="黑体"/>
          <w:color w:val="auto"/>
          <w:szCs w:val="21"/>
          <w:highlight w:val="none"/>
        </w:rPr>
        <w:t>主变</w:t>
      </w:r>
      <w:r>
        <w:rPr>
          <w:rFonts w:hint="eastAsia" w:ascii="宋体" w:hAnsi="宋体" w:eastAsia="宋体" w:cs="黑体"/>
          <w:color w:val="auto"/>
          <w:szCs w:val="21"/>
          <w:highlight w:val="none"/>
          <w:lang w:eastAsia="zh-CN"/>
        </w:rPr>
        <w:t>信息</w:t>
      </w:r>
      <w:r>
        <w:rPr>
          <w:rFonts w:hint="eastAsia" w:ascii="宋体" w:hAnsi="宋体" w:eastAsia="宋体" w:cs="黑体"/>
          <w:color w:val="auto"/>
          <w:szCs w:val="21"/>
          <w:highlight w:val="none"/>
        </w:rPr>
        <w:t>：</w:t>
      </w:r>
    </w:p>
    <w:p>
      <w:pPr>
        <w:keepNext w:val="0"/>
        <w:keepLines w:val="0"/>
        <w:pageBreakBefore w:val="0"/>
        <w:widowControl w:val="0"/>
        <w:numPr>
          <w:ilvl w:val="0"/>
          <w:numId w:val="0"/>
        </w:numPr>
        <w:kinsoku/>
        <w:wordWrap/>
        <w:overflowPunct/>
        <w:topLinePunct w:val="0"/>
        <w:bidi w:val="0"/>
        <w:snapToGrid/>
        <w:spacing w:line="500" w:lineRule="exact"/>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val="en-US" w:eastAsia="zh-CN"/>
        </w:rPr>
        <w:t>1）</w:t>
      </w:r>
      <w:r>
        <w:rPr>
          <w:rFonts w:hint="eastAsia" w:ascii="宋体" w:hAnsi="宋体" w:eastAsia="宋体" w:cs="黑体"/>
          <w:color w:val="auto"/>
          <w:szCs w:val="21"/>
          <w:highlight w:val="none"/>
          <w:lang w:eastAsia="zh-CN"/>
        </w:rPr>
        <w:t>主变为沈阳变压器有限责任公司于</w:t>
      </w:r>
      <w:r>
        <w:rPr>
          <w:rFonts w:hint="eastAsia" w:ascii="宋体" w:hAnsi="宋体" w:eastAsia="宋体" w:cs="黑体"/>
          <w:color w:val="auto"/>
          <w:szCs w:val="21"/>
          <w:highlight w:val="none"/>
          <w:lang w:val="en-US" w:eastAsia="zh-CN"/>
        </w:rPr>
        <w:t>2000年7月</w:t>
      </w:r>
      <w:r>
        <w:rPr>
          <w:rFonts w:hint="eastAsia" w:ascii="宋体" w:hAnsi="宋体" w:eastAsia="宋体" w:cs="黑体"/>
          <w:color w:val="auto"/>
          <w:szCs w:val="21"/>
          <w:highlight w:val="none"/>
          <w:lang w:eastAsia="zh-CN"/>
        </w:rPr>
        <w:t>生产的</w:t>
      </w:r>
      <w:r>
        <w:rPr>
          <w:rFonts w:hint="eastAsia" w:ascii="宋体" w:hAnsi="宋体" w:eastAsia="宋体" w:cs="黑体"/>
          <w:color w:val="auto"/>
          <w:szCs w:val="21"/>
          <w:highlight w:val="none"/>
          <w:lang w:val="en-US" w:eastAsia="zh-CN"/>
        </w:rPr>
        <w:t>SFSZ9-150000</w:t>
      </w:r>
      <w:r>
        <w:rPr>
          <w:rFonts w:hint="eastAsia" w:ascii="宋体" w:hAnsi="宋体" w:eastAsia="宋体" w:cs="黑体"/>
          <w:color w:val="auto"/>
          <w:szCs w:val="21"/>
          <w:highlight w:val="none"/>
          <w:lang w:eastAsia="zh-CN"/>
        </w:rPr>
        <w:t>型的变压器；</w:t>
      </w:r>
    </w:p>
    <w:p>
      <w:pPr>
        <w:keepNext w:val="0"/>
        <w:keepLines w:val="0"/>
        <w:pageBreakBefore w:val="0"/>
        <w:widowControl w:val="0"/>
        <w:numPr>
          <w:ilvl w:val="0"/>
          <w:numId w:val="0"/>
        </w:numPr>
        <w:kinsoku/>
        <w:wordWrap/>
        <w:overflowPunct/>
        <w:topLinePunct w:val="0"/>
        <w:bidi w:val="0"/>
        <w:snapToGrid/>
        <w:spacing w:line="500" w:lineRule="exact"/>
        <w:rPr>
          <w:rFonts w:hint="default" w:ascii="宋体" w:hAnsi="宋体" w:eastAsia="宋体" w:cs="黑体"/>
          <w:color w:val="auto"/>
          <w:szCs w:val="21"/>
          <w:highlight w:val="none"/>
          <w:lang w:val="en-US" w:eastAsia="zh-CN"/>
        </w:rPr>
      </w:pPr>
      <w:r>
        <w:rPr>
          <w:rFonts w:hint="eastAsia" w:ascii="宋体" w:hAnsi="宋体" w:eastAsia="宋体" w:cs="黑体"/>
          <w:color w:val="auto"/>
          <w:szCs w:val="21"/>
          <w:highlight w:val="none"/>
          <w:lang w:val="en-US" w:eastAsia="zh-CN"/>
        </w:rPr>
        <w:t>2）</w:t>
      </w:r>
      <w:r>
        <w:rPr>
          <w:rFonts w:hint="eastAsia" w:ascii="宋体" w:hAnsi="宋体" w:eastAsia="宋体" w:cs="黑体"/>
          <w:color w:val="auto"/>
          <w:szCs w:val="21"/>
          <w:highlight w:val="none"/>
          <w:lang w:eastAsia="zh-CN"/>
        </w:rPr>
        <w:t>主变铭牌显示：总重量</w:t>
      </w:r>
      <w:r>
        <w:rPr>
          <w:rFonts w:hint="eastAsia" w:ascii="宋体" w:hAnsi="宋体" w:eastAsia="宋体" w:cs="黑体"/>
          <w:color w:val="auto"/>
          <w:szCs w:val="21"/>
          <w:highlight w:val="none"/>
          <w:lang w:val="en-US" w:eastAsia="zh-CN"/>
        </w:rPr>
        <w:t>195.5t，运输重量（冲氮）122.9t，总油重量47.2t，器身重量101.3t，上节油箱重量120t；</w:t>
      </w:r>
    </w:p>
    <w:p>
      <w:pPr>
        <w:keepNext w:val="0"/>
        <w:keepLines w:val="0"/>
        <w:pageBreakBefore w:val="0"/>
        <w:widowControl w:val="0"/>
        <w:numPr>
          <w:ilvl w:val="0"/>
          <w:numId w:val="0"/>
        </w:numPr>
        <w:kinsoku/>
        <w:wordWrap/>
        <w:overflowPunct/>
        <w:topLinePunct w:val="0"/>
        <w:bidi w:val="0"/>
        <w:snapToGrid/>
        <w:spacing w:line="500" w:lineRule="exact"/>
        <w:rPr>
          <w:rFonts w:hint="default" w:ascii="宋体" w:hAnsi="宋体" w:eastAsia="宋体" w:cs="黑体"/>
          <w:color w:val="auto"/>
          <w:szCs w:val="21"/>
          <w:highlight w:val="none"/>
          <w:lang w:val="en-US" w:eastAsia="zh-CN"/>
        </w:rPr>
      </w:pPr>
      <w:r>
        <w:rPr>
          <w:rFonts w:hint="eastAsia" w:ascii="宋体" w:hAnsi="宋体" w:eastAsia="宋体" w:cs="黑体"/>
          <w:color w:val="auto"/>
          <w:szCs w:val="21"/>
          <w:highlight w:val="none"/>
          <w:lang w:val="en-US" w:eastAsia="zh-CN"/>
        </w:rPr>
        <w:t>3）主变设计图纸显示：每只散热器重量533kg、拆卸件重量27000kg，每只高压套管重量588kg；</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val="en-US" w:eastAsia="zh-CN"/>
        </w:rPr>
        <w:t>4）目前</w:t>
      </w:r>
      <w:r>
        <w:rPr>
          <w:rFonts w:hint="eastAsia" w:ascii="宋体" w:hAnsi="宋体" w:eastAsia="宋体" w:cs="黑体"/>
          <w:color w:val="auto"/>
          <w:szCs w:val="21"/>
          <w:highlight w:val="none"/>
        </w:rPr>
        <w:t>广东省汕头市220kV潮阳站#2主变（停运）</w:t>
      </w:r>
      <w:r>
        <w:rPr>
          <w:rFonts w:hint="eastAsia" w:ascii="宋体" w:hAnsi="宋体" w:eastAsia="宋体" w:cs="黑体"/>
          <w:color w:val="auto"/>
          <w:szCs w:val="21"/>
          <w:highlight w:val="none"/>
          <w:lang w:eastAsia="zh-CN"/>
        </w:rPr>
        <w:t>的本体的</w:t>
      </w:r>
      <w:r>
        <w:rPr>
          <w:rFonts w:hint="eastAsia" w:ascii="宋体" w:hAnsi="宋体" w:eastAsia="宋体" w:cs="黑体"/>
          <w:b/>
          <w:bCs/>
          <w:color w:val="auto"/>
          <w:szCs w:val="21"/>
          <w:highlight w:val="none"/>
          <w:lang w:eastAsia="zh-CN"/>
        </w:rPr>
        <w:t>变压器油已排出，本体已安装封口板并已冲氮气保存，无大重量变压器油需要运输</w:t>
      </w:r>
      <w:r>
        <w:rPr>
          <w:rFonts w:hint="eastAsia" w:ascii="宋体" w:hAnsi="宋体" w:eastAsia="宋体" w:cs="黑体"/>
          <w:color w:val="auto"/>
          <w:szCs w:val="21"/>
          <w:highlight w:val="none"/>
          <w:lang w:eastAsia="zh-CN"/>
        </w:rPr>
        <w:t>，主变附件（散热器、油枕、油管等）已拆除放置，主变附件的进出油口尚未进行安装密封的封口铁板。</w:t>
      </w:r>
    </w:p>
    <w:p>
      <w:pPr>
        <w:keepNext w:val="0"/>
        <w:keepLines w:val="0"/>
        <w:pageBreakBefore w:val="0"/>
        <w:widowControl w:val="0"/>
        <w:numPr>
          <w:ilvl w:val="0"/>
          <w:numId w:val="0"/>
        </w:numPr>
        <w:kinsoku/>
        <w:wordWrap/>
        <w:overflowPunct/>
        <w:topLinePunct w:val="0"/>
        <w:bidi w:val="0"/>
        <w:snapToGrid/>
        <w:spacing w:line="500" w:lineRule="exact"/>
        <w:rPr>
          <w:rFonts w:hint="eastAsia" w:ascii="宋体" w:hAnsi="宋体" w:eastAsia="宋体" w:cs="黑体"/>
          <w:color w:val="auto"/>
          <w:szCs w:val="21"/>
          <w:highlight w:val="none"/>
        </w:rPr>
      </w:pPr>
      <w:r>
        <w:rPr>
          <w:rFonts w:hint="eastAsia" w:ascii="宋体" w:hAnsi="宋体" w:eastAsia="宋体" w:cs="黑体"/>
          <w:color w:val="auto"/>
          <w:szCs w:val="21"/>
          <w:highlight w:val="none"/>
          <w:lang w:val="en-US" w:eastAsia="zh-CN"/>
        </w:rPr>
        <w:t>5）</w:t>
      </w:r>
      <w:r>
        <w:rPr>
          <w:rFonts w:hint="eastAsia" w:ascii="宋体" w:hAnsi="宋体" w:eastAsia="宋体" w:cs="黑体"/>
          <w:color w:val="auto"/>
          <w:szCs w:val="21"/>
          <w:highlight w:val="none"/>
          <w:lang w:eastAsia="zh-CN"/>
        </w:rPr>
        <w:t>主变本体</w:t>
      </w:r>
      <w:r>
        <w:rPr>
          <w:rFonts w:hint="eastAsia" w:ascii="宋体" w:hAnsi="宋体" w:eastAsia="宋体" w:cs="黑体"/>
          <w:color w:val="auto"/>
          <w:szCs w:val="21"/>
          <w:highlight w:val="none"/>
        </w:rPr>
        <w:t>数量</w:t>
      </w:r>
      <w:r>
        <w:rPr>
          <w:rFonts w:hint="eastAsia" w:ascii="宋体" w:hAnsi="宋体" w:eastAsia="宋体" w:cs="黑体"/>
          <w:color w:val="auto"/>
          <w:szCs w:val="21"/>
          <w:highlight w:val="none"/>
          <w:lang w:val="en-US" w:eastAsia="zh-CN"/>
        </w:rPr>
        <w:t>1</w:t>
      </w:r>
      <w:r>
        <w:rPr>
          <w:rFonts w:hint="eastAsia" w:ascii="宋体" w:hAnsi="宋体" w:eastAsia="宋体" w:cs="黑体"/>
          <w:color w:val="auto"/>
          <w:szCs w:val="21"/>
          <w:highlight w:val="none"/>
        </w:rPr>
        <w:t>台。</w:t>
      </w:r>
    </w:p>
    <w:p>
      <w:pPr>
        <w:keepNext w:val="0"/>
        <w:keepLines w:val="0"/>
        <w:pageBreakBefore w:val="0"/>
        <w:widowControl w:val="0"/>
        <w:numPr>
          <w:ilvl w:val="0"/>
          <w:numId w:val="0"/>
        </w:numPr>
        <w:kinsoku/>
        <w:wordWrap/>
        <w:overflowPunct/>
        <w:topLinePunct w:val="0"/>
        <w:bidi w:val="0"/>
        <w:snapToGrid/>
        <w:spacing w:line="500" w:lineRule="exact"/>
        <w:rPr>
          <w:rFonts w:hint="eastAsia" w:ascii="楷体_GB2312" w:hAnsi="楷体_GB2312" w:eastAsia="楷体_GB2312" w:cs="楷体_GB2312"/>
          <w:b/>
          <w:bCs/>
          <w:color w:val="auto"/>
          <w:szCs w:val="21"/>
          <w:highlight w:val="none"/>
          <w:lang w:val="en-US" w:eastAsia="zh-CN"/>
        </w:rPr>
      </w:pPr>
      <w:r>
        <w:rPr>
          <w:rFonts w:hint="eastAsia" w:ascii="楷体_GB2312" w:hAnsi="楷体_GB2312" w:eastAsia="楷体_GB2312" w:cs="楷体_GB2312"/>
          <w:b/>
          <w:bCs/>
          <w:color w:val="auto"/>
          <w:szCs w:val="21"/>
          <w:highlight w:val="none"/>
          <w:lang w:val="en-US" w:eastAsia="zh-CN"/>
        </w:rPr>
        <w:t>（详见技术规范书内附图）</w:t>
      </w:r>
    </w:p>
    <w:p>
      <w:pPr>
        <w:keepNext w:val="0"/>
        <w:keepLines w:val="0"/>
        <w:pageBreakBefore w:val="0"/>
        <w:widowControl w:val="0"/>
        <w:numPr>
          <w:ilvl w:val="0"/>
          <w:numId w:val="0"/>
        </w:numPr>
        <w:kinsoku/>
        <w:wordWrap/>
        <w:overflowPunct/>
        <w:topLinePunct w:val="0"/>
        <w:bidi w:val="0"/>
        <w:snapToGrid/>
        <w:spacing w:line="500" w:lineRule="exact"/>
        <w:rPr>
          <w:rFonts w:hint="eastAsia" w:ascii="宋体" w:hAnsi="宋体" w:eastAsia="宋体" w:cs="黑体"/>
          <w:color w:val="auto"/>
          <w:szCs w:val="21"/>
          <w:highlight w:val="none"/>
          <w:lang w:val="en-US" w:eastAsia="zh-CN"/>
        </w:rPr>
      </w:pPr>
      <w:r>
        <w:rPr>
          <w:rFonts w:hint="eastAsia" w:ascii="宋体" w:hAnsi="宋体" w:eastAsia="宋体" w:cs="黑体"/>
          <w:color w:val="auto"/>
          <w:szCs w:val="21"/>
          <w:highlight w:val="none"/>
          <w:lang w:val="en-US" w:eastAsia="zh-CN"/>
        </w:rPr>
        <w:t>（5）服务期限：自合同约定之日起至2026年12月31日。</w:t>
      </w:r>
    </w:p>
    <w:p>
      <w:pPr>
        <w:keepNext w:val="0"/>
        <w:keepLines w:val="0"/>
        <w:pageBreakBefore w:val="0"/>
        <w:widowControl w:val="0"/>
        <w:kinsoku/>
        <w:wordWrap/>
        <w:overflowPunct/>
        <w:topLinePunct w:val="0"/>
        <w:bidi w:val="0"/>
        <w:snapToGrid/>
        <w:spacing w:line="500" w:lineRule="exact"/>
        <w:rPr>
          <w:rFonts w:hint="eastAsia" w:ascii="宋体" w:hAnsi="宋体" w:eastAsia="宋体" w:cs="黑体"/>
          <w:color w:val="auto"/>
          <w:szCs w:val="21"/>
          <w:highlight w:val="none"/>
          <w:lang w:val="en-US" w:eastAsia="zh-CN"/>
        </w:rPr>
      </w:pPr>
      <w:r>
        <w:rPr>
          <w:rFonts w:hint="eastAsia" w:ascii="宋体" w:hAnsi="宋体" w:eastAsia="宋体" w:cs="黑体"/>
          <w:color w:val="auto"/>
          <w:szCs w:val="21"/>
          <w:highlight w:val="none"/>
        </w:rPr>
        <w:t>2.</w:t>
      </w:r>
      <w:r>
        <w:rPr>
          <w:rFonts w:hint="eastAsia" w:ascii="宋体" w:hAnsi="宋体" w:eastAsia="宋体" w:cs="黑体"/>
          <w:color w:val="auto"/>
          <w:szCs w:val="21"/>
          <w:highlight w:val="none"/>
          <w:lang w:val="en-US" w:eastAsia="zh-CN"/>
        </w:rPr>
        <w:t>6运输起始地：</w:t>
      </w:r>
      <w:r>
        <w:rPr>
          <w:rFonts w:hint="eastAsia" w:ascii="宋体" w:hAnsi="宋体" w:eastAsia="宋体" w:cs="黑体"/>
          <w:color w:val="auto"/>
          <w:szCs w:val="21"/>
          <w:highlight w:val="none"/>
        </w:rPr>
        <w:t>广东省汕头市220kV潮阳站</w:t>
      </w:r>
      <w:r>
        <w:rPr>
          <w:rFonts w:hint="eastAsia" w:ascii="宋体" w:hAnsi="宋体" w:eastAsia="宋体" w:cs="黑体"/>
          <w:color w:val="auto"/>
          <w:szCs w:val="21"/>
          <w:highlight w:val="none"/>
          <w:lang w:eastAsia="zh-CN"/>
        </w:rPr>
        <w:t>（汕头市潮阳区金塔路）</w:t>
      </w:r>
      <w:r>
        <w:rPr>
          <w:rFonts w:hint="eastAsia" w:ascii="宋体" w:hAnsi="宋体" w:eastAsia="宋体" w:cs="黑体"/>
          <w:color w:val="auto"/>
          <w:szCs w:val="21"/>
          <w:highlight w:val="none"/>
          <w:lang w:val="en-US" w:eastAsia="zh-CN"/>
        </w:rPr>
        <w:t xml:space="preserve"> 至 </w:t>
      </w:r>
      <w:r>
        <w:rPr>
          <w:rFonts w:hint="eastAsia" w:ascii="宋体" w:hAnsi="宋体" w:eastAsia="宋体" w:cs="黑体"/>
          <w:color w:val="auto"/>
          <w:szCs w:val="21"/>
          <w:highlight w:val="none"/>
        </w:rPr>
        <w:t>广西</w:t>
      </w:r>
      <w:r>
        <w:rPr>
          <w:rFonts w:hint="eastAsia" w:ascii="宋体" w:hAnsi="宋体" w:eastAsia="宋体" w:cs="黑体"/>
          <w:color w:val="auto"/>
          <w:szCs w:val="21"/>
          <w:highlight w:val="none"/>
          <w:lang w:eastAsia="zh-CN"/>
        </w:rPr>
        <w:t>壮族自治区柳州市</w:t>
      </w:r>
      <w:r>
        <w:rPr>
          <w:rFonts w:hint="eastAsia" w:ascii="宋体" w:hAnsi="宋体" w:eastAsia="宋体" w:cs="黑体"/>
          <w:color w:val="auto"/>
          <w:szCs w:val="21"/>
          <w:highlight w:val="none"/>
          <w:lang w:val="en-US" w:eastAsia="zh-CN"/>
        </w:rPr>
        <w:t>柳州供电局仓库（柳州市柳城县上雷村）。</w:t>
      </w:r>
    </w:p>
    <w:p>
      <w:pPr>
        <w:spacing w:line="360" w:lineRule="auto"/>
        <w:rPr>
          <w:rFonts w:ascii="宋体" w:hAnsi="宋体" w:eastAsia="宋体"/>
          <w:b/>
          <w:color w:val="auto"/>
          <w:szCs w:val="21"/>
        </w:rPr>
      </w:pPr>
      <w:r>
        <w:rPr>
          <w:rFonts w:hint="eastAsia" w:ascii="宋体" w:hAnsi="宋体" w:eastAsia="宋体"/>
          <w:b/>
          <w:color w:val="auto"/>
          <w:szCs w:val="21"/>
        </w:rPr>
        <w:t xml:space="preserve">3  </w:t>
      </w:r>
      <w:r>
        <w:rPr>
          <w:rFonts w:hint="eastAsia" w:ascii="宋体" w:hAnsi="宋体" w:eastAsia="宋体" w:cs="微软雅黑"/>
          <w:b/>
          <w:color w:val="auto"/>
          <w:szCs w:val="21"/>
        </w:rPr>
        <w:t>工作范围与内容</w:t>
      </w:r>
    </w:p>
    <w:p>
      <w:pPr>
        <w:spacing w:line="360" w:lineRule="auto"/>
        <w:jc w:val="left"/>
        <w:outlineLvl w:val="0"/>
        <w:rPr>
          <w:rFonts w:ascii="宋体" w:hAnsi="宋体" w:eastAsia="宋体"/>
          <w:color w:val="auto"/>
          <w:szCs w:val="21"/>
        </w:rPr>
      </w:pPr>
      <w:r>
        <w:rPr>
          <w:rFonts w:hint="eastAsia" w:ascii="宋体" w:hAnsi="宋体" w:eastAsia="宋体"/>
          <w:color w:val="auto"/>
          <w:szCs w:val="21"/>
        </w:rPr>
        <w:t>3.1</w:t>
      </w:r>
      <w:r>
        <w:rPr>
          <w:rFonts w:hint="eastAsia" w:ascii="宋体" w:hAnsi="宋体" w:eastAsia="宋体" w:cs="微软雅黑"/>
          <w:color w:val="auto"/>
          <w:szCs w:val="21"/>
        </w:rPr>
        <w:t>工作范围：</w:t>
      </w:r>
    </w:p>
    <w:p>
      <w:pPr>
        <w:spacing w:line="360" w:lineRule="auto"/>
        <w:ind w:firstLine="420" w:firstLineChars="200"/>
        <w:jc w:val="left"/>
        <w:outlineLvl w:val="0"/>
        <w:rPr>
          <w:rFonts w:hint="eastAsia" w:ascii="宋体" w:hAnsi="宋体" w:eastAsia="宋体" w:cs="黑体"/>
          <w:color w:val="auto"/>
          <w:szCs w:val="21"/>
          <w:highlight w:val="none"/>
        </w:rPr>
      </w:pPr>
      <w:r>
        <w:rPr>
          <w:rFonts w:hint="eastAsia" w:ascii="宋体" w:hAnsi="宋体" w:eastAsia="宋体" w:cs="黑体"/>
          <w:color w:val="auto"/>
          <w:szCs w:val="21"/>
          <w:highlight w:val="none"/>
        </w:rPr>
        <w:t>将广东省汕头市220kV潮阳站#2主变（停运）及附件包装、装卸、运输至广西</w:t>
      </w:r>
      <w:r>
        <w:rPr>
          <w:rFonts w:hint="eastAsia" w:ascii="宋体" w:hAnsi="宋体" w:eastAsia="宋体" w:cs="黑体"/>
          <w:color w:val="auto"/>
          <w:szCs w:val="21"/>
          <w:highlight w:val="none"/>
          <w:lang w:eastAsia="zh-CN"/>
        </w:rPr>
        <w:t>壮族自治区柳州市柳州</w:t>
      </w:r>
      <w:r>
        <w:rPr>
          <w:rFonts w:hint="eastAsia" w:ascii="宋体" w:hAnsi="宋体" w:eastAsia="宋体" w:cs="黑体"/>
          <w:color w:val="auto"/>
          <w:szCs w:val="21"/>
          <w:highlight w:val="none"/>
        </w:rPr>
        <w:t>供电局仓库存放，运输距离约</w:t>
      </w:r>
      <w:r>
        <w:rPr>
          <w:rFonts w:hint="eastAsia" w:ascii="宋体" w:hAnsi="宋体" w:eastAsia="宋体" w:cs="黑体"/>
          <w:color w:val="auto"/>
          <w:szCs w:val="21"/>
          <w:highlight w:val="none"/>
          <w:lang w:val="en-US" w:eastAsia="zh-CN"/>
        </w:rPr>
        <w:t>950</w:t>
      </w:r>
      <w:r>
        <w:rPr>
          <w:rFonts w:hint="eastAsia" w:ascii="宋体" w:hAnsi="宋体" w:eastAsia="宋体" w:cs="黑体"/>
          <w:color w:val="auto"/>
          <w:szCs w:val="21"/>
          <w:highlight w:val="none"/>
        </w:rPr>
        <w:t>公里。</w:t>
      </w:r>
    </w:p>
    <w:p>
      <w:pPr>
        <w:spacing w:line="360" w:lineRule="auto"/>
        <w:jc w:val="left"/>
        <w:outlineLvl w:val="0"/>
        <w:rPr>
          <w:rFonts w:ascii="宋体" w:hAnsi="宋体" w:eastAsia="宋体"/>
          <w:color w:val="auto"/>
          <w:szCs w:val="21"/>
        </w:rPr>
      </w:pPr>
      <w:r>
        <w:rPr>
          <w:rFonts w:hint="eastAsia" w:ascii="宋体" w:hAnsi="宋体" w:eastAsia="宋体"/>
          <w:color w:val="auto"/>
          <w:szCs w:val="21"/>
        </w:rPr>
        <w:t xml:space="preserve">3.2 </w:t>
      </w:r>
      <w:r>
        <w:rPr>
          <w:rFonts w:hint="eastAsia" w:ascii="宋体" w:hAnsi="宋体" w:eastAsia="宋体" w:cs="微软雅黑"/>
          <w:color w:val="auto"/>
          <w:szCs w:val="21"/>
        </w:rPr>
        <w:t>工作内容</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1）</w:t>
      </w:r>
      <w:r>
        <w:rPr>
          <w:rFonts w:hint="eastAsia" w:ascii="宋体" w:hAnsi="宋体" w:eastAsia="宋体" w:cs="黑体"/>
          <w:color w:val="auto"/>
          <w:szCs w:val="21"/>
          <w:highlight w:val="none"/>
        </w:rPr>
        <w:t>将广东省汕头市220kV潮阳站#2主变（停运）及附件包装、装卸、运输至广西</w:t>
      </w:r>
      <w:r>
        <w:rPr>
          <w:rFonts w:hint="eastAsia" w:ascii="宋体" w:hAnsi="宋体" w:eastAsia="宋体" w:cs="黑体"/>
          <w:color w:val="auto"/>
          <w:szCs w:val="21"/>
          <w:highlight w:val="none"/>
          <w:lang w:eastAsia="zh-CN"/>
        </w:rPr>
        <w:t>壮族自治区柳州市柳州</w:t>
      </w:r>
      <w:r>
        <w:rPr>
          <w:rFonts w:hint="eastAsia" w:ascii="宋体" w:hAnsi="宋体" w:eastAsia="宋体" w:cs="黑体"/>
          <w:color w:val="auto"/>
          <w:szCs w:val="21"/>
          <w:highlight w:val="none"/>
        </w:rPr>
        <w:t>供电局仓库存放，运输距离约</w:t>
      </w:r>
      <w:r>
        <w:rPr>
          <w:rFonts w:hint="eastAsia" w:ascii="宋体" w:hAnsi="宋体" w:eastAsia="宋体" w:cs="黑体"/>
          <w:color w:val="auto"/>
          <w:szCs w:val="21"/>
          <w:highlight w:val="none"/>
          <w:lang w:val="en-US" w:eastAsia="zh-CN"/>
        </w:rPr>
        <w:t>950</w:t>
      </w:r>
      <w:r>
        <w:rPr>
          <w:rFonts w:hint="eastAsia" w:ascii="宋体" w:hAnsi="宋体" w:eastAsia="宋体" w:cs="黑体"/>
          <w:color w:val="auto"/>
          <w:szCs w:val="21"/>
          <w:highlight w:val="none"/>
        </w:rPr>
        <w:t>公里。</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2）目前</w:t>
      </w:r>
      <w:r>
        <w:rPr>
          <w:rFonts w:hint="eastAsia" w:ascii="宋体" w:hAnsi="宋体" w:eastAsia="宋体" w:cs="黑体"/>
          <w:color w:val="auto"/>
          <w:szCs w:val="21"/>
          <w:highlight w:val="none"/>
        </w:rPr>
        <w:t>广东省汕头市220kV潮阳站#2主变（停运）</w:t>
      </w:r>
      <w:r>
        <w:rPr>
          <w:rFonts w:hint="eastAsia" w:ascii="宋体" w:hAnsi="宋体" w:eastAsia="宋体" w:cs="黑体"/>
          <w:color w:val="auto"/>
          <w:szCs w:val="21"/>
          <w:highlight w:val="none"/>
          <w:lang w:eastAsia="zh-CN"/>
        </w:rPr>
        <w:t>的本体的变压器油已排出，本体已安装封口铁板并已冲氮气保存，无大重量变压器油需要运输。主变本体运输过程需要进行充氮带压运输，</w:t>
      </w:r>
      <w:r>
        <w:rPr>
          <w:rFonts w:hint="eastAsia" w:ascii="宋体" w:hAnsi="宋体" w:eastAsia="宋体" w:cs="黑体"/>
          <w:b/>
          <w:bCs/>
          <w:color w:val="auto"/>
          <w:szCs w:val="21"/>
          <w:highlight w:val="none"/>
          <w:lang w:eastAsia="zh-CN"/>
        </w:rPr>
        <w:t>供应商需配有可以随时补气的纯净、干燥气体瓶（氮气）</w:t>
      </w:r>
      <w:r>
        <w:rPr>
          <w:rFonts w:hint="eastAsia" w:ascii="宋体" w:hAnsi="宋体" w:eastAsia="宋体" w:cs="黑体"/>
          <w:color w:val="auto"/>
          <w:szCs w:val="21"/>
          <w:highlight w:val="none"/>
          <w:lang w:eastAsia="zh-CN"/>
        </w:rPr>
        <w:t>，始终保持变压器本体内为正压力，并设有压力表进行监视。</w:t>
      </w:r>
      <w:r>
        <w:rPr>
          <w:rFonts w:hint="eastAsia" w:ascii="宋体" w:hAnsi="宋体" w:eastAsia="宋体" w:cs="黑体"/>
          <w:b/>
          <w:bCs/>
          <w:color w:val="auto"/>
          <w:szCs w:val="21"/>
          <w:highlight w:val="none"/>
          <w:lang w:eastAsia="zh-CN"/>
        </w:rPr>
        <w:t>主变本体运输过程中需装设三维冲击记录仪，设备交付时检查三维冲击记录仪冲击允许值应符合制造厂及合同的规定</w:t>
      </w:r>
      <w:r>
        <w:rPr>
          <w:rFonts w:hint="eastAsia" w:ascii="宋体" w:hAnsi="宋体" w:eastAsia="宋体" w:cs="黑体"/>
          <w:color w:val="auto"/>
          <w:szCs w:val="21"/>
          <w:highlight w:val="none"/>
          <w:lang w:eastAsia="zh-CN"/>
        </w:rPr>
        <w:t>。</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3）</w:t>
      </w:r>
      <w:r>
        <w:rPr>
          <w:rFonts w:hint="eastAsia" w:ascii="宋体" w:hAnsi="宋体" w:eastAsia="宋体" w:cs="黑体"/>
          <w:color w:val="auto"/>
          <w:szCs w:val="21"/>
          <w:highlight w:val="none"/>
          <w:lang w:eastAsia="zh-CN"/>
        </w:rPr>
        <w:t>主变附件（散热器、油枕、油管等）目前已拆除放置，附件的进出油口目前尚未进行安装有密封胶圈的封口铁板。为便于后期设备防潮存放，供应商需要对相关附件的进出油口安装有密封胶圈的封口铁板进行密封保护后运输至</w:t>
      </w:r>
      <w:r>
        <w:rPr>
          <w:rFonts w:hint="eastAsia" w:ascii="宋体" w:hAnsi="宋体" w:eastAsia="宋体" w:cs="黑体"/>
          <w:color w:val="auto"/>
          <w:szCs w:val="21"/>
          <w:highlight w:val="none"/>
        </w:rPr>
        <w:t>广西</w:t>
      </w:r>
      <w:r>
        <w:rPr>
          <w:rFonts w:hint="eastAsia" w:ascii="宋体" w:hAnsi="宋体" w:eastAsia="宋体" w:cs="黑体"/>
          <w:color w:val="auto"/>
          <w:szCs w:val="21"/>
          <w:highlight w:val="none"/>
          <w:lang w:eastAsia="zh-CN"/>
        </w:rPr>
        <w:t>壮族自治区柳州市柳州</w:t>
      </w:r>
      <w:r>
        <w:rPr>
          <w:rFonts w:hint="eastAsia" w:ascii="宋体" w:hAnsi="宋体" w:eastAsia="宋体" w:cs="黑体"/>
          <w:color w:val="auto"/>
          <w:szCs w:val="21"/>
          <w:highlight w:val="none"/>
        </w:rPr>
        <w:t>供电局仓库存放</w:t>
      </w:r>
      <w:r>
        <w:rPr>
          <w:rFonts w:hint="eastAsia" w:ascii="宋体" w:hAnsi="宋体" w:eastAsia="宋体" w:cs="黑体"/>
          <w:color w:val="auto"/>
          <w:szCs w:val="21"/>
          <w:highlight w:val="none"/>
          <w:lang w:eastAsia="zh-CN"/>
        </w:rPr>
        <w:t>。</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val="en-US"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3）</w:t>
      </w:r>
      <w:r>
        <w:rPr>
          <w:rFonts w:hint="eastAsia" w:ascii="宋体" w:hAnsi="宋体" w:eastAsia="宋体" w:cs="黑体"/>
          <w:color w:val="auto"/>
          <w:szCs w:val="21"/>
          <w:highlight w:val="none"/>
        </w:rPr>
        <w:t>主变及附件包装、装卸、运输至广西</w:t>
      </w:r>
      <w:r>
        <w:rPr>
          <w:rFonts w:hint="eastAsia" w:ascii="宋体" w:hAnsi="宋体" w:eastAsia="宋体" w:cs="黑体"/>
          <w:color w:val="auto"/>
          <w:szCs w:val="21"/>
          <w:highlight w:val="none"/>
          <w:lang w:eastAsia="zh-CN"/>
        </w:rPr>
        <w:t>柳州</w:t>
      </w:r>
      <w:r>
        <w:rPr>
          <w:rFonts w:hint="eastAsia" w:ascii="宋体" w:hAnsi="宋体" w:eastAsia="宋体" w:cs="黑体"/>
          <w:color w:val="auto"/>
          <w:szCs w:val="21"/>
          <w:highlight w:val="none"/>
        </w:rPr>
        <w:t>供电局仓库</w:t>
      </w:r>
      <w:r>
        <w:rPr>
          <w:rFonts w:hint="eastAsia" w:ascii="宋体" w:hAnsi="宋体" w:eastAsia="宋体" w:cs="黑体"/>
          <w:color w:val="auto"/>
          <w:szCs w:val="21"/>
          <w:highlight w:val="none"/>
          <w:lang w:eastAsia="zh-CN"/>
        </w:rPr>
        <w:t>时，应按甲方要求妥善</w:t>
      </w:r>
      <w:r>
        <w:rPr>
          <w:rFonts w:hint="eastAsia" w:ascii="宋体" w:hAnsi="宋体" w:eastAsia="宋体" w:cs="黑体"/>
          <w:color w:val="auto"/>
          <w:szCs w:val="21"/>
          <w:highlight w:val="none"/>
        </w:rPr>
        <w:t>装卸</w:t>
      </w:r>
      <w:r>
        <w:rPr>
          <w:rFonts w:hint="eastAsia" w:ascii="宋体" w:hAnsi="宋体" w:eastAsia="宋体" w:cs="黑体"/>
          <w:color w:val="auto"/>
          <w:szCs w:val="21"/>
          <w:highlight w:val="none"/>
          <w:lang w:eastAsia="zh-CN"/>
        </w:rPr>
        <w:t>，采用包装方式应妥善保护相关附件不受损伤，包装前应通知甲方并将包装结果通过图像或视频等形式经甲方确认后方可开展运输，不得破坏性装卸。</w:t>
      </w:r>
    </w:p>
    <w:p>
      <w:pPr>
        <w:spacing w:line="360" w:lineRule="auto"/>
        <w:jc w:val="left"/>
        <w:outlineLvl w:val="0"/>
        <w:rPr>
          <w:rFonts w:hint="eastAsia" w:ascii="宋体" w:hAnsi="宋体" w:eastAsia="宋体" w:cs="微软雅黑"/>
          <w:b/>
          <w:bCs/>
          <w:color w:val="auto"/>
          <w:szCs w:val="21"/>
          <w:lang w:val="en-US" w:eastAsia="zh-CN"/>
        </w:rPr>
      </w:pPr>
      <w:r>
        <w:rPr>
          <w:rFonts w:hint="eastAsia" w:ascii="宋体" w:hAnsi="宋体" w:eastAsia="宋体" w:cs="微软雅黑"/>
          <w:b/>
          <w:bCs/>
          <w:color w:val="auto"/>
          <w:szCs w:val="21"/>
          <w:lang w:val="en-US" w:eastAsia="zh-CN"/>
        </w:rPr>
        <w:t>4、施工作业要求</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val="en-US" w:eastAsia="zh-CN"/>
        </w:rPr>
        <w:t>（1）</w:t>
      </w:r>
      <w:r>
        <w:rPr>
          <w:rFonts w:hint="eastAsia" w:ascii="宋体" w:hAnsi="宋体" w:eastAsia="宋体" w:cs="黑体"/>
          <w:color w:val="auto"/>
          <w:szCs w:val="21"/>
          <w:highlight w:val="none"/>
          <w:lang w:eastAsia="zh-CN"/>
        </w:rPr>
        <w:t>运输前准备</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在运输前，应对运输路线进行详细勘察，了解道路的路况、桥梁的承载能力、隧道的净空高度等信息。</w:t>
      </w:r>
      <w:r>
        <w:rPr>
          <w:rFonts w:hint="eastAsia" w:ascii="宋体" w:hAnsi="宋体" w:eastAsia="宋体" w:cs="黑体"/>
          <w:b/>
          <w:bCs/>
          <w:color w:val="auto"/>
          <w:szCs w:val="21"/>
          <w:highlight w:val="none"/>
          <w:lang w:eastAsia="zh-CN"/>
        </w:rPr>
        <w:t>根据勘察结果，制定合理的运输路线，避开路况较差、桥梁承载能力不足、隧道净空高度不够的路段，运输路线提前报备至甲方以便确认路程公里数</w:t>
      </w:r>
      <w:r>
        <w:rPr>
          <w:rFonts w:hint="eastAsia" w:ascii="宋体" w:hAnsi="宋体" w:eastAsia="宋体" w:cs="黑体"/>
          <w:color w:val="auto"/>
          <w:szCs w:val="21"/>
          <w:highlight w:val="none"/>
          <w:lang w:eastAsia="zh-CN"/>
        </w:rPr>
        <w:t>。</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全面检查需要运输的变压器外观，记录有无损伤、渗漏等情况，如有异常应提前告知甲方确认。根据变压器尺寸、重量，结合运输路线的道路、桥梁承载能力，选择合适运输工具，如大型平板拖车、货车等。提前规划运输路线，实地勘察道路状况，包括路面平整度、坡度、弯道半径等。了解沿途桥梁限载、隧道限高限宽等参数。</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2）</w:t>
      </w:r>
      <w:r>
        <w:rPr>
          <w:rFonts w:hint="eastAsia" w:ascii="Calibri" w:hAnsi="Calibri" w:eastAsia="宋体"/>
          <w:szCs w:val="24"/>
        </w:rPr>
        <w:t>变压器装卸</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装卸现场应平整、坚实，具备足够作业空间。设置明显警示标识，严禁无关人员进入作业区域。</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采用合适的起吊设备，如吊车、主变本体平移用千斤顶等。起吊设备的额定起重量应大于设备重量，并具有一定安全裕度。</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在装卸变压器本体或附件时，应严格按照操作规程进行操作。起吊前，应确认吊具与设备连接牢固，设备的重心位置准确；起吊过程中，应保持设备平稳，避免设备发生晃动、碰撞。</w:t>
      </w:r>
    </w:p>
    <w:p>
      <w:pPr>
        <w:keepNext w:val="0"/>
        <w:keepLines w:val="0"/>
        <w:pageBreakBefore w:val="0"/>
        <w:widowControl w:val="0"/>
        <w:numPr>
          <w:ilvl w:val="0"/>
          <w:numId w:val="0"/>
        </w:numPr>
        <w:kinsoku/>
        <w:wordWrap/>
        <w:overflowPunct/>
        <w:topLinePunct w:val="0"/>
        <w:bidi w:val="0"/>
        <w:snapToGrid/>
        <w:spacing w:line="500" w:lineRule="exact"/>
        <w:ind w:leftChars="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3）</w:t>
      </w:r>
      <w:r>
        <w:rPr>
          <w:rFonts w:hint="eastAsia" w:ascii="Calibri" w:hAnsi="Calibri" w:eastAsia="宋体"/>
          <w:szCs w:val="24"/>
        </w:rPr>
        <w:t>运输途中防护</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宋体" w:hAnsi="宋体" w:eastAsia="宋体" w:cs="黑体"/>
          <w:color w:val="auto"/>
          <w:szCs w:val="21"/>
          <w:highlight w:val="none"/>
          <w:lang w:eastAsia="zh-CN"/>
        </w:rPr>
        <w:t>对变压器进行固定，防止运输过程中发生位移、碰撞。固定方式应根据运输工具和变压器结构特点合理选择，如使用钢丝绳、链条、紧线器等将变压器与运输工具可靠连接。</w:t>
      </w:r>
      <w:r>
        <w:rPr>
          <w:rFonts w:hint="eastAsia" w:ascii="宋体" w:hAnsi="宋体" w:eastAsia="宋体" w:cs="黑体"/>
          <w:b/>
          <w:bCs/>
          <w:color w:val="auto"/>
          <w:szCs w:val="21"/>
          <w:highlight w:val="none"/>
          <w:lang w:eastAsia="zh-CN"/>
        </w:rPr>
        <w:t>采取防雨、防潮措施，避免变压器受潮</w:t>
      </w:r>
      <w:r>
        <w:rPr>
          <w:rFonts w:hint="eastAsia" w:ascii="宋体" w:hAnsi="宋体" w:eastAsia="宋体" w:cs="黑体"/>
          <w:color w:val="auto"/>
          <w:szCs w:val="21"/>
          <w:highlight w:val="none"/>
          <w:lang w:eastAsia="zh-CN"/>
        </w:rPr>
        <w:t>。</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eastAsia" w:ascii="宋体" w:hAnsi="宋体" w:eastAsia="宋体" w:cs="黑体"/>
          <w:color w:val="auto"/>
          <w:szCs w:val="21"/>
          <w:highlight w:val="none"/>
          <w:lang w:eastAsia="zh-CN"/>
        </w:rPr>
      </w:pPr>
      <w:r>
        <w:rPr>
          <w:rFonts w:hint="eastAsia" w:ascii="Calibri" w:hAnsi="Calibri" w:eastAsia="宋体"/>
          <w:szCs w:val="24"/>
        </w:rPr>
        <w:t>各类附件如套管、冷却器、储油柜等应分别包装。</w:t>
      </w:r>
      <w:r>
        <w:rPr>
          <w:rFonts w:hint="eastAsia" w:ascii="Calibri" w:hAnsi="Calibri" w:eastAsia="宋体"/>
          <w:b/>
          <w:bCs/>
          <w:szCs w:val="24"/>
        </w:rPr>
        <w:t>套管需使用专用套管包装箱，内部用海绵等柔软材料固定</w:t>
      </w:r>
      <w:r>
        <w:rPr>
          <w:rFonts w:hint="eastAsia" w:ascii="Calibri" w:hAnsi="Calibri" w:eastAsia="宋体"/>
          <w:szCs w:val="24"/>
        </w:rPr>
        <w:t>；</w:t>
      </w:r>
      <w:r>
        <w:rPr>
          <w:rFonts w:hint="eastAsia" w:ascii="Calibri" w:hAnsi="Calibri" w:eastAsia="宋体"/>
          <w:b/>
          <w:bCs/>
          <w:szCs w:val="24"/>
        </w:rPr>
        <w:t>冷却器、储油柜等大型附件采用框架式包装，</w:t>
      </w:r>
      <w:r>
        <w:rPr>
          <w:rFonts w:hint="eastAsia" w:ascii="Calibri" w:hAnsi="Calibri" w:eastAsia="宋体"/>
          <w:b/>
          <w:bCs/>
          <w:szCs w:val="24"/>
          <w:lang w:eastAsia="zh-CN"/>
        </w:rPr>
        <w:t>运输前需绑扎</w:t>
      </w:r>
      <w:r>
        <w:rPr>
          <w:rFonts w:hint="eastAsia" w:ascii="Calibri" w:hAnsi="Calibri" w:eastAsia="宋体"/>
          <w:b/>
          <w:bCs/>
          <w:szCs w:val="24"/>
        </w:rPr>
        <w:t>紧固</w:t>
      </w:r>
      <w:r>
        <w:rPr>
          <w:rFonts w:hint="eastAsia" w:ascii="Calibri" w:hAnsi="Calibri" w:eastAsia="宋体"/>
          <w:b/>
          <w:bCs/>
          <w:szCs w:val="24"/>
          <w:lang w:eastAsia="zh-CN"/>
        </w:rPr>
        <w:t>，防止运输过程中晃动损坏设备</w:t>
      </w:r>
      <w:r>
        <w:rPr>
          <w:rFonts w:hint="eastAsia" w:ascii="Calibri" w:hAnsi="Calibri" w:eastAsia="宋体"/>
          <w:szCs w:val="24"/>
        </w:rPr>
        <w:t>。</w:t>
      </w:r>
      <w:r>
        <w:rPr>
          <w:rFonts w:hint="eastAsia" w:ascii="宋体" w:hAnsi="宋体" w:eastAsia="宋体" w:cs="黑体"/>
          <w:color w:val="auto"/>
          <w:szCs w:val="21"/>
          <w:highlight w:val="none"/>
          <w:lang w:eastAsia="zh-CN"/>
        </w:rPr>
        <w:t>为便于后期设备防潮存放，供应商需要对</w:t>
      </w:r>
      <w:r>
        <w:rPr>
          <w:rFonts w:hint="eastAsia" w:ascii="Calibri" w:hAnsi="Calibri" w:eastAsia="宋体"/>
          <w:szCs w:val="24"/>
        </w:rPr>
        <w:t>各类附件</w:t>
      </w:r>
      <w:r>
        <w:rPr>
          <w:rFonts w:hint="eastAsia" w:ascii="Calibri" w:hAnsi="Calibri" w:eastAsia="宋体"/>
          <w:szCs w:val="24"/>
          <w:lang w:eastAsia="zh-CN"/>
        </w:rPr>
        <w:t>（</w:t>
      </w:r>
      <w:r>
        <w:rPr>
          <w:rFonts w:hint="eastAsia" w:ascii="Calibri" w:hAnsi="Calibri" w:eastAsia="宋体"/>
          <w:szCs w:val="24"/>
        </w:rPr>
        <w:t>如套管、冷却器、储油柜等</w:t>
      </w:r>
      <w:r>
        <w:rPr>
          <w:rFonts w:hint="eastAsia" w:ascii="Calibri" w:hAnsi="Calibri" w:eastAsia="宋体"/>
          <w:szCs w:val="24"/>
          <w:lang w:eastAsia="zh-CN"/>
        </w:rPr>
        <w:t>）</w:t>
      </w:r>
      <w:r>
        <w:rPr>
          <w:rFonts w:hint="eastAsia" w:ascii="宋体" w:hAnsi="宋体" w:eastAsia="宋体" w:cs="黑体"/>
          <w:color w:val="auto"/>
          <w:szCs w:val="21"/>
          <w:highlight w:val="none"/>
          <w:lang w:eastAsia="zh-CN"/>
        </w:rPr>
        <w:t>的进出油口安装有密封胶圈的封口铁板进行密封保护。</w:t>
      </w:r>
    </w:p>
    <w:p>
      <w:pPr>
        <w:keepNext w:val="0"/>
        <w:keepLines w:val="0"/>
        <w:pageBreakBefore w:val="0"/>
        <w:widowControl w:val="0"/>
        <w:numPr>
          <w:ilvl w:val="0"/>
          <w:numId w:val="0"/>
        </w:numPr>
        <w:kinsoku/>
        <w:wordWrap/>
        <w:overflowPunct/>
        <w:topLinePunct w:val="0"/>
        <w:bidi w:val="0"/>
        <w:snapToGrid/>
        <w:spacing w:line="500" w:lineRule="exact"/>
        <w:rPr>
          <w:rFonts w:hint="eastAsia" w:ascii="宋体" w:hAnsi="宋体" w:eastAsia="宋体" w:cs="黑体"/>
          <w:color w:val="auto"/>
          <w:szCs w:val="21"/>
          <w:highlight w:val="none"/>
          <w:lang w:val="en-US" w:eastAsia="zh-CN"/>
        </w:rPr>
      </w:pPr>
      <w:r>
        <w:rPr>
          <w:rFonts w:hint="eastAsia" w:ascii="宋体" w:hAnsi="宋体" w:eastAsia="宋体" w:cs="黑体"/>
          <w:color w:val="auto"/>
          <w:szCs w:val="21"/>
          <w:highlight w:val="none"/>
          <w:lang w:eastAsia="zh-CN"/>
        </w:rPr>
        <w:t>（</w:t>
      </w:r>
      <w:r>
        <w:rPr>
          <w:rFonts w:hint="eastAsia" w:ascii="宋体" w:hAnsi="宋体" w:eastAsia="宋体" w:cs="黑体"/>
          <w:color w:val="auto"/>
          <w:szCs w:val="21"/>
          <w:highlight w:val="none"/>
          <w:lang w:val="en-US" w:eastAsia="zh-CN"/>
        </w:rPr>
        <w:t>4）运输过程监测</w:t>
      </w:r>
    </w:p>
    <w:p>
      <w:pPr>
        <w:keepNext w:val="0"/>
        <w:keepLines w:val="0"/>
        <w:pageBreakBefore w:val="0"/>
        <w:widowControl w:val="0"/>
        <w:numPr>
          <w:ilvl w:val="0"/>
          <w:numId w:val="0"/>
        </w:numPr>
        <w:kinsoku/>
        <w:wordWrap/>
        <w:overflowPunct/>
        <w:topLinePunct w:val="0"/>
        <w:bidi w:val="0"/>
        <w:snapToGrid/>
        <w:spacing w:line="500" w:lineRule="exact"/>
        <w:ind w:leftChars="0" w:firstLine="420" w:firstLineChars="200"/>
        <w:rPr>
          <w:rFonts w:hint="default" w:ascii="宋体" w:hAnsi="宋体" w:eastAsia="宋体" w:cs="黑体"/>
          <w:color w:val="auto"/>
          <w:szCs w:val="21"/>
          <w:highlight w:val="none"/>
          <w:lang w:val="en-US" w:eastAsia="zh-CN"/>
        </w:rPr>
      </w:pPr>
      <w:r>
        <w:rPr>
          <w:rFonts w:hint="eastAsia" w:ascii="宋体" w:hAnsi="宋体" w:eastAsia="宋体" w:cs="黑体"/>
          <w:color w:val="auto"/>
          <w:szCs w:val="21"/>
          <w:highlight w:val="none"/>
          <w:lang w:val="en-US" w:eastAsia="zh-CN"/>
        </w:rPr>
        <w:t>安排专人负责运输过程的监护，监护人员应熟悉变压器结构、性能及运输要求。运输途中，监护人员应随时检查变压器的固定情况、防雨防潮措施的有效性，以及运输工具的运行状况等。特别需要关注变压器上安装的振动监测装置、气体压力监测装置等，实时监测变压器在运输过程中的振动情况、内部气压变化等参数。</w:t>
      </w:r>
    </w:p>
    <w:p>
      <w:pPr>
        <w:spacing w:line="360" w:lineRule="auto"/>
        <w:outlineLvl w:val="0"/>
        <w:rPr>
          <w:rFonts w:ascii="宋体" w:hAnsi="宋体" w:eastAsia="宋体"/>
          <w:b/>
          <w:color w:val="auto"/>
          <w:szCs w:val="21"/>
        </w:rPr>
      </w:pPr>
      <w:r>
        <w:rPr>
          <w:rFonts w:hint="eastAsia" w:ascii="宋体" w:hAnsi="宋体" w:eastAsia="宋体"/>
          <w:b/>
          <w:color w:val="auto"/>
          <w:szCs w:val="21"/>
          <w:lang w:val="en-US" w:eastAsia="zh-CN"/>
        </w:rPr>
        <w:t>5</w:t>
      </w:r>
      <w:r>
        <w:rPr>
          <w:rFonts w:hint="eastAsia" w:ascii="宋体" w:hAnsi="宋体" w:eastAsia="宋体"/>
          <w:b/>
          <w:color w:val="auto"/>
          <w:szCs w:val="21"/>
        </w:rPr>
        <w:t xml:space="preserve">  </w:t>
      </w:r>
      <w:r>
        <w:rPr>
          <w:rFonts w:hint="eastAsia" w:ascii="宋体" w:hAnsi="宋体" w:eastAsia="宋体" w:cs="微软雅黑"/>
          <w:b/>
          <w:color w:val="auto"/>
          <w:szCs w:val="21"/>
        </w:rPr>
        <w:t>环境保护及文明施工</w:t>
      </w:r>
    </w:p>
    <w:p>
      <w:pPr>
        <w:spacing w:line="360" w:lineRule="auto"/>
        <w:rPr>
          <w:rFonts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.1</w:t>
      </w:r>
      <w:r>
        <w:rPr>
          <w:rFonts w:hint="eastAsia" w:ascii="宋体" w:hAnsi="宋体" w:eastAsia="宋体" w:cs="微软雅黑"/>
          <w:color w:val="auto"/>
          <w:szCs w:val="21"/>
        </w:rPr>
        <w:t>所有参加作业的人员应统一配戴安全帽</w:t>
      </w:r>
      <w:r>
        <w:rPr>
          <w:rFonts w:hint="eastAsia" w:ascii="宋体" w:hAnsi="宋体" w:eastAsia="宋体" w:cs="微软雅黑"/>
          <w:color w:val="auto"/>
          <w:szCs w:val="21"/>
          <w:lang w:eastAsia="zh-CN"/>
        </w:rPr>
        <w:t>，现场工作应听从变电站工作人员指挥</w:t>
      </w:r>
      <w:r>
        <w:rPr>
          <w:rFonts w:hint="eastAsia" w:ascii="宋体" w:hAnsi="宋体" w:eastAsia="宋体" w:cs="微软雅黑"/>
          <w:color w:val="auto"/>
          <w:szCs w:val="21"/>
        </w:rPr>
        <w:t>。</w:t>
      </w:r>
    </w:p>
    <w:p>
      <w:pPr>
        <w:spacing w:line="360" w:lineRule="auto"/>
        <w:rPr>
          <w:rFonts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.2</w:t>
      </w:r>
      <w:r>
        <w:rPr>
          <w:rFonts w:hint="eastAsia" w:ascii="宋体" w:hAnsi="宋体" w:eastAsia="宋体" w:cs="微软雅黑"/>
          <w:color w:val="auto"/>
          <w:szCs w:val="21"/>
        </w:rPr>
        <w:t>作业现场工具应摆放整齐，禁止随意丢弃。</w:t>
      </w:r>
    </w:p>
    <w:p>
      <w:pPr>
        <w:spacing w:line="360" w:lineRule="auto"/>
        <w:rPr>
          <w:rFonts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.3</w:t>
      </w:r>
      <w:r>
        <w:rPr>
          <w:rFonts w:hint="eastAsia" w:ascii="宋体" w:hAnsi="宋体" w:eastAsia="宋体" w:cs="微软雅黑"/>
          <w:color w:val="auto"/>
          <w:szCs w:val="21"/>
        </w:rPr>
        <w:t>工作结束时，及时清理作业现场，做到工完料尽场地清。</w:t>
      </w:r>
    </w:p>
    <w:p>
      <w:pPr>
        <w:spacing w:line="360" w:lineRule="auto"/>
        <w:rPr>
          <w:rFonts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.4</w:t>
      </w:r>
      <w:r>
        <w:rPr>
          <w:rFonts w:hint="eastAsia" w:ascii="宋体" w:hAnsi="宋体" w:eastAsia="宋体" w:cs="微软雅黑"/>
          <w:color w:val="auto"/>
          <w:szCs w:val="21"/>
        </w:rPr>
        <w:t>安装结束后，作业人员应把用过的工器具、防护用具清洗干净。</w:t>
      </w:r>
    </w:p>
    <w:p>
      <w:pPr>
        <w:spacing w:line="360" w:lineRule="auto"/>
        <w:rPr>
          <w:rFonts w:ascii="宋体" w:hAnsi="宋体" w:eastAsia="宋体"/>
          <w:color w:val="auto"/>
          <w:szCs w:val="21"/>
        </w:rPr>
      </w:pPr>
      <w:r>
        <w:rPr>
          <w:rFonts w:hint="eastAsia" w:ascii="宋体" w:hAnsi="宋体" w:eastAsia="宋体"/>
          <w:color w:val="auto"/>
          <w:szCs w:val="21"/>
          <w:lang w:val="en-US" w:eastAsia="zh-CN"/>
        </w:rPr>
        <w:t>5</w:t>
      </w:r>
      <w:r>
        <w:rPr>
          <w:rFonts w:hint="eastAsia" w:ascii="宋体" w:hAnsi="宋体" w:eastAsia="宋体"/>
          <w:color w:val="auto"/>
          <w:szCs w:val="21"/>
        </w:rPr>
        <w:t>.5</w:t>
      </w:r>
      <w:r>
        <w:rPr>
          <w:rFonts w:hint="eastAsia" w:ascii="宋体" w:hAnsi="宋体" w:eastAsia="宋体" w:cs="微软雅黑"/>
          <w:color w:val="auto"/>
          <w:szCs w:val="21"/>
        </w:rPr>
        <w:t>防止固体（液体）废弃物的污染。</w:t>
      </w:r>
    </w:p>
    <w:p>
      <w:pPr>
        <w:spacing w:line="360" w:lineRule="auto"/>
        <w:rPr>
          <w:rFonts w:hint="eastAsia" w:ascii="宋体" w:hAnsi="宋体" w:eastAsia="宋体" w:cs="微软雅黑"/>
          <w:color w:val="auto"/>
          <w:szCs w:val="21"/>
          <w:lang w:eastAsia="zh-CN"/>
        </w:rPr>
      </w:pPr>
      <w:r>
        <w:rPr>
          <w:rFonts w:hint="eastAsia" w:ascii="宋体" w:hAnsi="宋体" w:eastAsia="宋体"/>
          <w:color w:val="auto"/>
          <w:szCs w:val="21"/>
          <w:lang w:val="en-US" w:eastAsia="zh-CN"/>
        </w:rPr>
        <w:t>5</w:t>
      </w:r>
      <w:r>
        <w:rPr>
          <w:rFonts w:hint="eastAsia" w:ascii="宋体" w:hAnsi="宋体" w:eastAsia="宋体"/>
          <w:color w:val="auto"/>
          <w:szCs w:val="21"/>
        </w:rPr>
        <w:t>.6</w:t>
      </w:r>
      <w:r>
        <w:rPr>
          <w:rFonts w:hint="eastAsia" w:ascii="宋体" w:hAnsi="宋体" w:eastAsia="宋体" w:cs="微软雅黑"/>
          <w:color w:val="auto"/>
          <w:szCs w:val="21"/>
        </w:rPr>
        <w:t>一般废弃物应放在现场设定的垃圾箱内，不得随便乱扔</w:t>
      </w:r>
      <w:r>
        <w:rPr>
          <w:rFonts w:hint="eastAsia" w:ascii="宋体" w:hAnsi="宋体" w:eastAsia="宋体" w:cs="微软雅黑"/>
          <w:color w:val="auto"/>
          <w:szCs w:val="21"/>
          <w:lang w:eastAsia="zh-CN"/>
        </w:rPr>
        <w:t>。</w:t>
      </w:r>
    </w:p>
    <w:p>
      <w:pPr>
        <w:spacing w:line="360" w:lineRule="auto"/>
        <w:rPr>
          <w:rFonts w:hint="eastAsia" w:ascii="宋体" w:hAnsi="宋体" w:eastAsia="宋体" w:cs="微软雅黑"/>
          <w:color w:val="auto"/>
          <w:szCs w:val="21"/>
          <w:lang w:eastAsia="zh-CN"/>
        </w:rPr>
      </w:pPr>
    </w:p>
    <w:p>
      <w:pPr>
        <w:spacing w:line="360" w:lineRule="auto"/>
        <w:rPr>
          <w:rFonts w:hint="eastAsia" w:ascii="宋体" w:hAnsi="宋体" w:eastAsia="宋体" w:cs="微软雅黑"/>
          <w:color w:val="auto"/>
          <w:szCs w:val="21"/>
          <w:lang w:eastAsia="zh-CN"/>
        </w:rPr>
      </w:pPr>
    </w:p>
    <w:p>
      <w:pPr>
        <w:spacing w:line="360" w:lineRule="auto"/>
        <w:rPr>
          <w:rFonts w:hint="eastAsia" w:ascii="宋体" w:hAnsi="宋体" w:eastAsia="宋体" w:cs="微软雅黑"/>
          <w:color w:val="auto"/>
          <w:szCs w:val="21"/>
          <w:lang w:val="en-US" w:eastAsia="zh-CN"/>
        </w:rPr>
      </w:pPr>
    </w:p>
    <w:p>
      <w:pPr>
        <w:rPr>
          <w:rFonts w:hint="eastAsia"/>
          <w:color w:val="auto"/>
        </w:rPr>
        <w:sectPr>
          <w:type w:val="continuous"/>
          <w:pgSz w:w="11907" w:h="16840"/>
          <w:pgMar w:top="1304" w:right="1304" w:bottom="1304" w:left="1304" w:header="737" w:footer="737" w:gutter="0"/>
          <w:cols w:space="720" w:num="1"/>
          <w:docGrid w:type="lines" w:linePitch="312" w:charSpace="0"/>
        </w:sectPr>
      </w:pP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522" w:type="dxa"/>
            <w:gridSpan w:val="2"/>
            <w:tcBorders>
              <w:top w:val="nil"/>
              <w:left w:val="nil"/>
              <w:bottom w:val="single" w:color="auto" w:sz="4" w:space="0"/>
              <w:right w:val="nil"/>
            </w:tcBorders>
            <w:noWrap w:val="0"/>
            <w:vAlign w:val="top"/>
          </w:tcPr>
          <w:p>
            <w:pPr>
              <w:rPr>
                <w:rFonts w:hint="eastAsia" w:ascii="Calibri" w:hAnsi="Calibri" w:eastAsia="宋体" w:cs="Times New Roman"/>
                <w:szCs w:val="24"/>
                <w:vertAlign w:val="baseline"/>
                <w:lang w:eastAsia="zh-CN"/>
              </w:rPr>
            </w:pPr>
            <w:r>
              <w:rPr>
                <w:rFonts w:hint="eastAsia" w:ascii="黑体" w:hAnsi="黑体" w:eastAsia="黑体" w:cs="黑体"/>
                <w:szCs w:val="24"/>
                <w:vertAlign w:val="baseline"/>
                <w:lang w:eastAsia="zh-CN"/>
              </w:rPr>
              <w:t>附件</w:t>
            </w:r>
            <w:r>
              <w:rPr>
                <w:rFonts w:hint="eastAsia" w:ascii="黑体" w:hAnsi="黑体" w:eastAsia="黑体" w:cs="黑体"/>
                <w:szCs w:val="24"/>
                <w:vertAlign w:val="baseline"/>
                <w:lang w:val="en-US" w:eastAsia="zh-CN"/>
              </w:rPr>
              <w:t>1.</w:t>
            </w:r>
            <w:r>
              <w:rPr>
                <w:rFonts w:hint="eastAsia" w:ascii="黑体" w:hAnsi="黑体" w:eastAsia="黑体" w:cs="黑体"/>
                <w:szCs w:val="24"/>
                <w:vertAlign w:val="baseline"/>
                <w:lang w:eastAsia="zh-CN"/>
              </w:rPr>
              <w:t>主变配件清单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Borders>
              <w:top w:val="single" w:color="auto" w:sz="4" w:space="0"/>
            </w:tcBorders>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配件名称</w:t>
            </w:r>
          </w:p>
        </w:tc>
        <w:tc>
          <w:tcPr>
            <w:tcW w:w="4261" w:type="dxa"/>
            <w:tcBorders>
              <w:top w:val="single" w:color="auto" w:sz="4" w:space="0"/>
            </w:tcBorders>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数量（个、片）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油枕</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油沈支架</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散热片</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30片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散热片风机</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30个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主变本体底座</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本体瓦斯</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eastAsia="zh-CN"/>
              </w:rPr>
              <w:t>中压套管</w:t>
            </w:r>
            <w:r>
              <w:rPr>
                <w:rFonts w:hint="eastAsia" w:ascii="Calibri" w:hAnsi="Calibri" w:eastAsia="宋体" w:cs="Times New Roman"/>
                <w:szCs w:val="24"/>
                <w:vertAlign w:val="baseline"/>
                <w:lang w:val="en-US" w:eastAsia="zh-CN"/>
              </w:rPr>
              <w:t>ABCO</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eastAsia="zh-CN"/>
              </w:rPr>
              <w:t>高压套管</w:t>
            </w:r>
            <w:r>
              <w:rPr>
                <w:rFonts w:hint="eastAsia" w:ascii="Calibri" w:hAnsi="Calibri" w:eastAsia="宋体" w:cs="Times New Roman"/>
                <w:szCs w:val="24"/>
                <w:vertAlign w:val="baseline"/>
                <w:lang w:val="en-US" w:eastAsia="zh-CN"/>
              </w:rPr>
              <w:t>ABCO</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油管支撑下部</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油管支撑上部</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主油管（散热片）</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8条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散热片油管连接管</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eastAsia="zh-CN"/>
              </w:rPr>
              <w:t>长短各</w:t>
            </w:r>
            <w:r>
              <w:rPr>
                <w:rFonts w:hint="eastAsia" w:ascii="Calibri" w:hAnsi="Calibri" w:eastAsia="宋体" w:cs="Times New Roman"/>
                <w:szCs w:val="24"/>
                <w:vertAlign w:val="baseline"/>
                <w:lang w:val="en-US" w:eastAsia="zh-CN"/>
              </w:rPr>
              <w:t>10条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压力释放管</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本体主油管</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3</w:t>
            </w:r>
            <w:r>
              <w:rPr>
                <w:rFonts w:hint="eastAsia" w:ascii="Calibri" w:hAnsi="Calibri" w:eastAsia="宋体" w:cs="Times New Roman"/>
                <w:szCs w:val="24"/>
                <w:vertAlign w:val="baseline"/>
                <w:lang w:eastAsia="zh-CN"/>
              </w:rPr>
              <w:t>条大、</w:t>
            </w:r>
            <w:r>
              <w:rPr>
                <w:rFonts w:hint="eastAsia" w:ascii="Calibri" w:hAnsi="Calibri" w:eastAsia="宋体" w:cs="Times New Roman"/>
                <w:szCs w:val="24"/>
                <w:vertAlign w:val="baseline"/>
                <w:lang w:val="en-US" w:eastAsia="zh-CN"/>
              </w:rPr>
              <w:t>5条小、共8条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油沈及升高座油管</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15条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散热片固定件</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30条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本体爬梯</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主变端子箱</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eastAsia="zh-CN"/>
              </w:rPr>
              <w:t>主变冷却系统控制箱</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noWrap w:val="0"/>
            <w:vAlign w:val="top"/>
          </w:tcPr>
          <w:p>
            <w:pPr>
              <w:rPr>
                <w:rFonts w:hint="eastAsia" w:ascii="Calibri" w:hAnsi="Calibri" w:eastAsia="宋体" w:cs="Times New Roman"/>
                <w:szCs w:val="24"/>
                <w:vertAlign w:val="baseline"/>
                <w:lang w:eastAsia="zh-CN"/>
              </w:rPr>
            </w:pPr>
            <w:r>
              <w:rPr>
                <w:rFonts w:hint="eastAsia" w:ascii="Calibri" w:hAnsi="Calibri" w:eastAsia="宋体" w:cs="Times New Roman"/>
                <w:szCs w:val="24"/>
                <w:vertAlign w:val="baseline"/>
                <w:lang w:eastAsia="zh-CN"/>
              </w:rPr>
              <w:t>主变呼吸器</w:t>
            </w:r>
          </w:p>
        </w:tc>
        <w:tc>
          <w:tcPr>
            <w:tcW w:w="4261" w:type="dxa"/>
            <w:noWrap w:val="0"/>
            <w:vAlign w:val="top"/>
          </w:tcPr>
          <w:p>
            <w:pPr>
              <w:rPr>
                <w:rFonts w:hint="default" w:ascii="Calibri" w:hAnsi="Calibri" w:eastAsia="宋体" w:cs="Times New Roman"/>
                <w:szCs w:val="24"/>
                <w:vertAlign w:val="baseline"/>
                <w:lang w:val="en-US" w:eastAsia="zh-CN"/>
              </w:rPr>
            </w:pPr>
            <w:r>
              <w:rPr>
                <w:rFonts w:hint="eastAsia" w:ascii="Calibri" w:hAnsi="Calibri" w:eastAsia="宋体" w:cs="Times New Roman"/>
                <w:szCs w:val="24"/>
                <w:vertAlign w:val="baseline"/>
                <w:lang w:val="en-US" w:eastAsia="zh-CN"/>
              </w:rPr>
              <w:t>1个</w:t>
            </w:r>
          </w:p>
        </w:tc>
      </w:tr>
    </w:tbl>
    <w:p>
      <w:pPr>
        <w:rPr>
          <w:rFonts w:hint="eastAsia"/>
          <w:color w:val="auto"/>
          <w:lang w:eastAsia="zh-CN"/>
        </w:rPr>
        <w:sectPr>
          <w:pgSz w:w="11907" w:h="16840"/>
          <w:pgMar w:top="1304" w:right="1304" w:bottom="1304" w:left="1304" w:header="737" w:footer="737" w:gutter="0"/>
          <w:cols w:space="720" w:num="1"/>
          <w:docGrid w:type="lines" w:linePitch="312" w:charSpace="0"/>
        </w:sectPr>
      </w:pPr>
    </w:p>
    <w:p>
      <w:pPr>
        <w:rPr>
          <w:rFonts w:hint="eastAsia"/>
          <w:color w:val="auto"/>
          <w:lang w:val="en-US" w:eastAsia="zh-CN"/>
        </w:rPr>
      </w:pPr>
      <w:r>
        <w:rPr>
          <w:rFonts w:hint="eastAsia"/>
          <w:color w:val="auto"/>
          <w:lang w:eastAsia="zh-CN"/>
        </w:rPr>
        <w:t>附件</w:t>
      </w:r>
      <w:r>
        <w:rPr>
          <w:rFonts w:hint="eastAsia"/>
          <w:color w:val="auto"/>
          <w:lang w:val="en-US" w:eastAsia="zh-CN"/>
        </w:rPr>
        <w:t>2 设备情况</w:t>
      </w:r>
    </w:p>
    <w:p>
      <w:pPr>
        <w:rPr>
          <w:rFonts w:hint="default"/>
          <w:color w:val="auto"/>
          <w:lang w:val="en-US" w:eastAsia="zh-CN"/>
        </w:rPr>
      </w:pPr>
      <w:r>
        <w:rPr>
          <w:rFonts w:hint="default"/>
          <w:color w:val="auto"/>
          <w:lang w:val="en-US" w:eastAsia="zh-CN"/>
        </w:rPr>
        <w:drawing>
          <wp:anchor distT="0" distB="0" distL="114300" distR="114300" simplePos="0" relativeHeight="251660288" behindDoc="0" locked="0" layoutInCell="1" allowOverlap="1">
            <wp:simplePos x="0" y="0"/>
            <wp:positionH relativeFrom="column">
              <wp:posOffset>-43180</wp:posOffset>
            </wp:positionH>
            <wp:positionV relativeFrom="paragraph">
              <wp:posOffset>4590415</wp:posOffset>
            </wp:positionV>
            <wp:extent cx="5902325" cy="3290570"/>
            <wp:effectExtent l="0" t="0" r="3175" b="5080"/>
            <wp:wrapTopAndBottom/>
            <wp:docPr id="2" name="图片 2" descr="999692166094901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96921660949012977"/>
                    <pic:cNvPicPr>
                      <a:picLocks noChangeAspect="1"/>
                    </pic:cNvPicPr>
                  </pic:nvPicPr>
                  <pic:blipFill>
                    <a:blip r:embed="rId5"/>
                    <a:stretch>
                      <a:fillRect/>
                    </a:stretch>
                  </pic:blipFill>
                  <pic:spPr>
                    <a:xfrm>
                      <a:off x="0" y="0"/>
                      <a:ext cx="5902325" cy="3290570"/>
                    </a:xfrm>
                    <a:prstGeom prst="rect">
                      <a:avLst/>
                    </a:prstGeom>
                  </pic:spPr>
                </pic:pic>
              </a:graphicData>
            </a:graphic>
          </wp:anchor>
        </w:drawing>
      </w:r>
      <w:r>
        <w:rPr>
          <w:rFonts w:hint="default"/>
          <w:color w:val="auto"/>
          <w:lang w:val="en-US" w:eastAsia="zh-CN"/>
        </w:rPr>
        <w:drawing>
          <wp:anchor distT="0" distB="0" distL="114300" distR="114300" simplePos="0" relativeHeight="251659264" behindDoc="0" locked="0" layoutInCell="1" allowOverlap="1">
            <wp:simplePos x="0" y="0"/>
            <wp:positionH relativeFrom="column">
              <wp:posOffset>-66040</wp:posOffset>
            </wp:positionH>
            <wp:positionV relativeFrom="paragraph">
              <wp:posOffset>87630</wp:posOffset>
            </wp:positionV>
            <wp:extent cx="5902325" cy="4425950"/>
            <wp:effectExtent l="0" t="0" r="3175" b="12700"/>
            <wp:wrapTopAndBottom/>
            <wp:docPr id="1" name="图片 1" descr="1606775368037782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067753680377822978"/>
                    <pic:cNvPicPr>
                      <a:picLocks noChangeAspect="1"/>
                    </pic:cNvPicPr>
                  </pic:nvPicPr>
                  <pic:blipFill>
                    <a:blip r:embed="rId6"/>
                    <a:stretch>
                      <a:fillRect/>
                    </a:stretch>
                  </pic:blipFill>
                  <pic:spPr>
                    <a:xfrm>
                      <a:off x="0" y="0"/>
                      <a:ext cx="5902325" cy="4425950"/>
                    </a:xfrm>
                    <a:prstGeom prst="rect">
                      <a:avLst/>
                    </a:prstGeom>
                  </pic:spPr>
                </pic:pic>
              </a:graphicData>
            </a:graphic>
          </wp:anchor>
        </w:drawing>
      </w:r>
    </w:p>
    <w:sectPr>
      <w:pgSz w:w="11907" w:h="16840"/>
      <w:pgMar w:top="1304" w:right="1304" w:bottom="1304" w:left="1304" w:header="737" w:footer="73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0MDYyYTEwZjc5MmRmN2Y2ZjhiMWJjMDY2ZmZkNDIifQ=="/>
  </w:docVars>
  <w:rsids>
    <w:rsidRoot w:val="006E1AA4"/>
    <w:rsid w:val="00044216"/>
    <w:rsid w:val="00142B6C"/>
    <w:rsid w:val="00242938"/>
    <w:rsid w:val="003C22F3"/>
    <w:rsid w:val="00406F61"/>
    <w:rsid w:val="00410511"/>
    <w:rsid w:val="00573E19"/>
    <w:rsid w:val="006E1AA4"/>
    <w:rsid w:val="007F093E"/>
    <w:rsid w:val="00AA63E5"/>
    <w:rsid w:val="00C62571"/>
    <w:rsid w:val="00D56896"/>
    <w:rsid w:val="00EF0878"/>
    <w:rsid w:val="0310069A"/>
    <w:rsid w:val="03610A19"/>
    <w:rsid w:val="04402271"/>
    <w:rsid w:val="05FE6F9A"/>
    <w:rsid w:val="099F7A3A"/>
    <w:rsid w:val="09CC152D"/>
    <w:rsid w:val="09F63AFE"/>
    <w:rsid w:val="0AAC0660"/>
    <w:rsid w:val="0B0C64AC"/>
    <w:rsid w:val="0B5C5409"/>
    <w:rsid w:val="0CC25F19"/>
    <w:rsid w:val="0EBC4BEA"/>
    <w:rsid w:val="0F44355D"/>
    <w:rsid w:val="112C4CE2"/>
    <w:rsid w:val="11AB0D07"/>
    <w:rsid w:val="12372F05"/>
    <w:rsid w:val="13C24A51"/>
    <w:rsid w:val="14CD5DA3"/>
    <w:rsid w:val="15C37678"/>
    <w:rsid w:val="15D867AD"/>
    <w:rsid w:val="18992736"/>
    <w:rsid w:val="1B501BFE"/>
    <w:rsid w:val="1CB13165"/>
    <w:rsid w:val="1DA376A1"/>
    <w:rsid w:val="1E997B54"/>
    <w:rsid w:val="1F7312F5"/>
    <w:rsid w:val="20293FD7"/>
    <w:rsid w:val="206D4CC7"/>
    <w:rsid w:val="229C334C"/>
    <w:rsid w:val="240E783E"/>
    <w:rsid w:val="302208F9"/>
    <w:rsid w:val="30C145B6"/>
    <w:rsid w:val="31324C15"/>
    <w:rsid w:val="32C57C62"/>
    <w:rsid w:val="3BA50BCA"/>
    <w:rsid w:val="3D4225DB"/>
    <w:rsid w:val="3E5D7F0E"/>
    <w:rsid w:val="44B02A49"/>
    <w:rsid w:val="476311FE"/>
    <w:rsid w:val="4ADE5FCA"/>
    <w:rsid w:val="4E326606"/>
    <w:rsid w:val="4ED12D82"/>
    <w:rsid w:val="510C4E20"/>
    <w:rsid w:val="519E3EB8"/>
    <w:rsid w:val="538D6950"/>
    <w:rsid w:val="547C3241"/>
    <w:rsid w:val="54A31759"/>
    <w:rsid w:val="56E51385"/>
    <w:rsid w:val="57340D8E"/>
    <w:rsid w:val="59611BE3"/>
    <w:rsid w:val="5C973071"/>
    <w:rsid w:val="5DF917E6"/>
    <w:rsid w:val="5E2C6C63"/>
    <w:rsid w:val="635A5596"/>
    <w:rsid w:val="6A116D0D"/>
    <w:rsid w:val="6AB24176"/>
    <w:rsid w:val="6B300C5B"/>
    <w:rsid w:val="6EAC29BF"/>
    <w:rsid w:val="6F307C36"/>
    <w:rsid w:val="711315BD"/>
    <w:rsid w:val="727622EA"/>
    <w:rsid w:val="738B7B30"/>
    <w:rsid w:val="73C3403D"/>
    <w:rsid w:val="74934EEE"/>
    <w:rsid w:val="75B07D22"/>
    <w:rsid w:val="763427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方正仿宋_GBK" w:hAnsi="方正仿宋_GBK" w:eastAsia="方正仿宋_GBK" w:cs="Times New Roman"/>
      <w:kern w:val="2"/>
      <w:sz w:val="21"/>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pPr>
    <w:rPr>
      <w:sz w:val="18"/>
    </w:rPr>
  </w:style>
  <w:style w:type="table" w:styleId="6">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8">
    <w:name w:val="页眉 字符"/>
    <w:basedOn w:val="7"/>
    <w:link w:val="4"/>
    <w:qFormat/>
    <w:uiPriority w:val="0"/>
    <w:rPr>
      <w:rFonts w:ascii="方正仿宋_GBK" w:hAnsi="方正仿宋_GBK" w:eastAsia="方正仿宋_GBK" w:cs="Times New Roman"/>
      <w:sz w:val="18"/>
      <w:szCs w:val="20"/>
    </w:rPr>
  </w:style>
  <w:style w:type="character" w:customStyle="1" w:styleId="9">
    <w:name w:val="批注框文本 字符"/>
    <w:basedOn w:val="7"/>
    <w:link w:val="2"/>
    <w:semiHidden/>
    <w:qFormat/>
    <w:uiPriority w:val="99"/>
    <w:rPr>
      <w:rFonts w:ascii="方正仿宋_GBK" w:hAnsi="方正仿宋_GBK" w:eastAsia="方正仿宋_GBK" w:cs="Times New Roman"/>
      <w:sz w:val="18"/>
      <w:szCs w:val="18"/>
    </w:rPr>
  </w:style>
  <w:style w:type="character" w:customStyle="1" w:styleId="10">
    <w:name w:val="页脚 字符"/>
    <w:basedOn w:val="7"/>
    <w:link w:val="3"/>
    <w:qFormat/>
    <w:uiPriority w:val="99"/>
    <w:rPr>
      <w:rFonts w:ascii="方正仿宋_GBK" w:hAnsi="方正仿宋_GBK" w:eastAsia="方正仿宋_GBK"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2450</Words>
  <Characters>2730</Characters>
  <Lines>36</Lines>
  <Paragraphs>10</Paragraphs>
  <TotalTime>0</TotalTime>
  <ScaleCrop>false</ScaleCrop>
  <LinksUpToDate>false</LinksUpToDate>
  <CharactersWithSpaces>2748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2019-12-17T01:20:00Z</dcterms:created>
  <dc:creator>Administrator</dc:creator>
  <cp:lastModifiedBy>王叶</cp:lastModifiedBy>
  <dcterms:modified xsi:type="dcterms:W3CDTF">2026-07-15T00:49:54Z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B8300369CF1E44118C38EA08D956DA30</vt:lpwstr>
  </property>
</Properties>
</file>