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default" w:ascii="宋体" w:hAnsi="宋体" w:eastAsia="宋体" w:cs="宋体"/>
          <w:b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</w:rPr>
        <w:t>货物采购需求说明</w:t>
      </w:r>
    </w:p>
    <w:tbl>
      <w:tblPr>
        <w:tblStyle w:val="3"/>
        <w:tblW w:w="10980" w:type="dxa"/>
        <w:tblInd w:w="-107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5"/>
        <w:gridCol w:w="1210"/>
        <w:gridCol w:w="5210"/>
        <w:gridCol w:w="757"/>
        <w:gridCol w:w="1361"/>
        <w:gridCol w:w="15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84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12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商品名称</w:t>
            </w:r>
          </w:p>
        </w:tc>
        <w:tc>
          <w:tcPr>
            <w:tcW w:w="52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规格型号</w:t>
            </w:r>
          </w:p>
        </w:tc>
        <w:tc>
          <w:tcPr>
            <w:tcW w:w="75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单位</w:t>
            </w:r>
          </w:p>
        </w:tc>
        <w:tc>
          <w:tcPr>
            <w:tcW w:w="136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数量</w:t>
            </w:r>
          </w:p>
        </w:tc>
        <w:tc>
          <w:tcPr>
            <w:tcW w:w="159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9" w:hRule="atLeast"/>
        </w:trPr>
        <w:tc>
          <w:tcPr>
            <w:tcW w:w="84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防寒服</w:t>
            </w:r>
          </w:p>
        </w:tc>
        <w:tc>
          <w:tcPr>
            <w:tcW w:w="52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5"/>
                <w:rFonts w:hint="default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满足高海拔-10℃以下使用、航天级（升温）面料、内层蜂窝科技蓄热、非长款方便户外运动、90%绒子含量700FP鹅绒填充量≥200g、防风袖口工装大口袋设计</w:t>
            </w:r>
          </w:p>
        </w:tc>
        <w:tc>
          <w:tcPr>
            <w:tcW w:w="75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3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159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  <w:t>180XXL:1件；180XL：2件；175XXL:1件；170XXL:1件。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4" w:hRule="atLeast"/>
        </w:trPr>
        <w:tc>
          <w:tcPr>
            <w:tcW w:w="84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2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全包防护防蛇腿套</w:t>
            </w:r>
          </w:p>
        </w:tc>
        <w:tc>
          <w:tcPr>
            <w:tcW w:w="52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防雨防雪、210D尼龙+500D防水牛津布面料、轻松调节防脱落、高防水、轻量化、防蛇咬</w:t>
            </w:r>
          </w:p>
        </w:tc>
        <w:tc>
          <w:tcPr>
            <w:tcW w:w="75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13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159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4" w:hRule="atLeast"/>
        </w:trPr>
        <w:tc>
          <w:tcPr>
            <w:tcW w:w="84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2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背包</w:t>
            </w:r>
          </w:p>
        </w:tc>
        <w:tc>
          <w:tcPr>
            <w:tcW w:w="52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聚酯纤维面料、容量≥50L、可调节背带、两侧带腰包腰封、悬浮式网状框架支撑、正面大开口、有侧边背部及正面大开口固定卡扣、含防雨罩、最大负重≥15000g</w:t>
            </w:r>
          </w:p>
        </w:tc>
        <w:tc>
          <w:tcPr>
            <w:tcW w:w="75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3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59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4" w:hRule="atLeast"/>
        </w:trPr>
        <w:tc>
          <w:tcPr>
            <w:tcW w:w="84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2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bookmarkStart w:id="0" w:name="OLE_LINK1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帐篷</w:t>
            </w:r>
            <w:bookmarkEnd w:id="0"/>
          </w:p>
        </w:tc>
        <w:tc>
          <w:tcPr>
            <w:tcW w:w="52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满足高海拔-10℃情况2人使用、圆顶流线型8级抗风、便携轻便装包重量≤1600g、20D轻量尼龙面料透气布内帐、外账防水PU3000mm及以上、账底防水PU4000mm及以上、快速搭建一体化“外骨骼”式帐杆设计FFP超轻8.5mm铝杆、双侧开门</w:t>
            </w:r>
          </w:p>
        </w:tc>
        <w:tc>
          <w:tcPr>
            <w:tcW w:w="75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3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597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Style w:val="5"/>
                <w:rFonts w:hint="default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此5项采购内容需满足配套使用要求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84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2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帐篷修补贴</w:t>
            </w:r>
          </w:p>
        </w:tc>
        <w:tc>
          <w:tcPr>
            <w:tcW w:w="52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bookmarkStart w:id="1" w:name="OLE_LINK2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不小于10cm*18cm，片状，高粘</w:t>
            </w:r>
            <w:bookmarkEnd w:id="1"/>
          </w:p>
        </w:tc>
        <w:tc>
          <w:tcPr>
            <w:tcW w:w="75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3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片</w:t>
            </w:r>
          </w:p>
        </w:tc>
        <w:tc>
          <w:tcPr>
            <w:tcW w:w="1597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3" w:hRule="atLeast"/>
        </w:trPr>
        <w:tc>
          <w:tcPr>
            <w:tcW w:w="84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2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地垫</w:t>
            </w:r>
          </w:p>
        </w:tc>
        <w:tc>
          <w:tcPr>
            <w:tcW w:w="52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bookmarkStart w:id="2" w:name="OLE_LINK3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与本次帐篷配套，贴合帐篷设计、68D涤纶材质、185T中等密度、防水PU1500mm及以上、重量≤300g</w:t>
            </w:r>
            <w:bookmarkEnd w:id="2"/>
          </w:p>
        </w:tc>
        <w:tc>
          <w:tcPr>
            <w:tcW w:w="75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3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597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1" w:hRule="atLeast"/>
        </w:trPr>
        <w:tc>
          <w:tcPr>
            <w:tcW w:w="84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2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充气垫</w:t>
            </w:r>
          </w:p>
        </w:tc>
        <w:tc>
          <w:tcPr>
            <w:tcW w:w="52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与本次帐篷配套，贴合帐篷设计，信封型满足高海拔0℃以下使用、展开尺寸≥185cm、收纳尺寸≤28、充气后厚度≥7cm、双层气阀充/放气快捷迅速、20D尼龙材质TPU涂层、R值≥3.9、重量≤700g</w:t>
            </w:r>
          </w:p>
        </w:tc>
        <w:tc>
          <w:tcPr>
            <w:tcW w:w="75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3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597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84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2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防潮垫</w:t>
            </w:r>
          </w:p>
        </w:tc>
        <w:tc>
          <w:tcPr>
            <w:tcW w:w="52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与本次帐篷配套，贴合帐篷设计，展开尺寸≥185cm、收纳尺寸≤65、可折叠、IXPE+铝膜材质、R值≥3.5、重量≤500g</w:t>
            </w:r>
          </w:p>
        </w:tc>
        <w:tc>
          <w:tcPr>
            <w:tcW w:w="75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3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597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4" w:hRule="atLeast"/>
        </w:trPr>
        <w:tc>
          <w:tcPr>
            <w:tcW w:w="84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2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睡袋</w:t>
            </w:r>
          </w:p>
        </w:tc>
        <w:tc>
          <w:tcPr>
            <w:tcW w:w="52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bookmarkStart w:id="3" w:name="OLE_LINK4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与本次帐篷配套，贴合帐篷设计，满足高海拔-5℃以下使用、15D尼龙面料、90%绒子含量800FP鹅绒填充量≥400g、净重＜1500g</w:t>
            </w:r>
            <w:bookmarkEnd w:id="3"/>
          </w:p>
        </w:tc>
        <w:tc>
          <w:tcPr>
            <w:tcW w:w="75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3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59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4" w:hRule="atLeast"/>
        </w:trPr>
        <w:tc>
          <w:tcPr>
            <w:tcW w:w="84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2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bookmarkStart w:id="4" w:name="OLE_LINK5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能量胶</w:t>
            </w:r>
            <w:bookmarkEnd w:id="4"/>
          </w:p>
        </w:tc>
        <w:tc>
          <w:tcPr>
            <w:tcW w:w="52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bookmarkStart w:id="5" w:name="OLE_LINK6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户外便携、多口味混装、单袋能量≥400kj含d-核糖≥200mg</w:t>
            </w:r>
            <w:bookmarkEnd w:id="5"/>
          </w:p>
        </w:tc>
        <w:tc>
          <w:tcPr>
            <w:tcW w:w="75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3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组</w:t>
            </w:r>
          </w:p>
        </w:tc>
        <w:tc>
          <w:tcPr>
            <w:tcW w:w="159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9" w:hRule="atLeast"/>
        </w:trPr>
        <w:tc>
          <w:tcPr>
            <w:tcW w:w="84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12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bookmarkStart w:id="6" w:name="OLE_LINK7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防熊喷雾</w:t>
            </w:r>
            <w:bookmarkEnd w:id="6"/>
          </w:p>
        </w:tc>
        <w:tc>
          <w:tcPr>
            <w:tcW w:w="52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bookmarkStart w:id="7" w:name="OLE_LINK8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户外便携、高压灌装、喷射距离≥3m，呈射流或水线状、有安全保险装置</w:t>
            </w:r>
            <w:bookmarkEnd w:id="7"/>
          </w:p>
        </w:tc>
        <w:tc>
          <w:tcPr>
            <w:tcW w:w="75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3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159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84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12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bookmarkStart w:id="8" w:name="OLE_LINK9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便携式氧气器</w:t>
            </w:r>
            <w:bookmarkEnd w:id="8"/>
          </w:p>
        </w:tc>
        <w:tc>
          <w:tcPr>
            <w:tcW w:w="52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户外便携、自带呼吸面罩、单罐容量≥10000ml</w:t>
            </w:r>
          </w:p>
        </w:tc>
        <w:tc>
          <w:tcPr>
            <w:tcW w:w="75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3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159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84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12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bookmarkStart w:id="9" w:name="OLE_LINK1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蛇药片</w:t>
            </w:r>
            <w:bookmarkEnd w:id="9"/>
          </w:p>
        </w:tc>
        <w:tc>
          <w:tcPr>
            <w:tcW w:w="52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bookmarkStart w:id="10" w:name="OLE_LINK11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国内主流急救款0.5g×20片/盒</w:t>
            </w:r>
            <w:bookmarkEnd w:id="10"/>
          </w:p>
        </w:tc>
        <w:tc>
          <w:tcPr>
            <w:tcW w:w="75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default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  <w:bookmarkStart w:id="15" w:name="_GoBack"/>
            <w:bookmarkEnd w:id="15"/>
          </w:p>
        </w:tc>
        <w:tc>
          <w:tcPr>
            <w:tcW w:w="13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盒</w:t>
            </w:r>
          </w:p>
        </w:tc>
        <w:tc>
          <w:tcPr>
            <w:tcW w:w="159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8" w:hRule="atLeast"/>
        </w:trPr>
        <w:tc>
          <w:tcPr>
            <w:tcW w:w="84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12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bookmarkStart w:id="11" w:name="OLE_LINK12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正压式空气呼吸器</w:t>
            </w:r>
            <w:bookmarkEnd w:id="11"/>
          </w:p>
        </w:tc>
        <w:tc>
          <w:tcPr>
            <w:tcW w:w="52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bookmarkStart w:id="12" w:name="OLE_LINK13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RHZKF6.8/30(6.8L碳纤维瓶，通用型)，全面罩；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具备CCC认证；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left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符合 GB16556的规定,并提供型式检验报告（可在报价或供货时提供）</w:t>
            </w:r>
            <w:bookmarkEnd w:id="12"/>
          </w:p>
        </w:tc>
        <w:tc>
          <w:tcPr>
            <w:tcW w:w="75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3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59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drawing>
                <wp:inline distT="0" distB="0" distL="114300" distR="114300">
                  <wp:extent cx="870585" cy="854710"/>
                  <wp:effectExtent l="0" t="0" r="5715" b="2540"/>
                  <wp:docPr id="22" name="图片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图片 2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rcRect l="35822" t="11393" r="7987" b="377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0585" cy="854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2" w:hRule="atLeast"/>
        </w:trPr>
        <w:tc>
          <w:tcPr>
            <w:tcW w:w="84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2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自给闭路式氧气逃生呼吸器</w:t>
            </w:r>
          </w:p>
        </w:tc>
        <w:tc>
          <w:tcPr>
            <w:tcW w:w="52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bookmarkStart w:id="13" w:name="OLE_LINK14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自给闭路式氧气逃生呼吸器符合 GB38228-2025的规定，并提供型式检验报告（可在报价或供货时提供），整机（含携行装置）重量≤5kg，额定防护时间≥45min</w:t>
            </w:r>
            <w:bookmarkEnd w:id="13"/>
          </w:p>
        </w:tc>
        <w:tc>
          <w:tcPr>
            <w:tcW w:w="75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default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13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59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drawing>
                <wp:inline distT="0" distB="0" distL="114300" distR="114300">
                  <wp:extent cx="829945" cy="922020"/>
                  <wp:effectExtent l="0" t="0" r="8255" b="11430"/>
                  <wp:docPr id="21" name="图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图片 20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rcRect r="71877" b="607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9945" cy="922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5" w:hRule="atLeast"/>
        </w:trPr>
        <w:tc>
          <w:tcPr>
            <w:tcW w:w="84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default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  <w:t>16</w:t>
            </w:r>
          </w:p>
        </w:tc>
        <w:tc>
          <w:tcPr>
            <w:tcW w:w="12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万能军锹</w:t>
            </w:r>
          </w:p>
        </w:tc>
        <w:tc>
          <w:tcPr>
            <w:tcW w:w="52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bookmarkStart w:id="14" w:name="OLE_LINK15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定位：军工全能旗舰；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材质：45号碳钢，板厚约2mm，淬火回火；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硬度：HRC45–51；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尺寸：展开约60cm、折叠≤45cm；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铲面约15.5×19cm；重量：≤1.3kg；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手柄：硬杂木柄/Q5A铝合金柄；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left"/>
              <w:textAlignment w:val="center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功能：铲/锄/锯/刀/锤/钩/盾；虎钳、绞绑器、起钉器、开瓶器、刻度尺、探雷针等；侧刃可劈柴、锯齿可锯木</w:t>
            </w:r>
            <w:bookmarkEnd w:id="14"/>
          </w:p>
        </w:tc>
        <w:tc>
          <w:tcPr>
            <w:tcW w:w="75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3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59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5"/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</w:rPr>
        <w:t>供货时间:</w:t>
      </w: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</w:rPr>
        <w:t>采购方下达采购单订货单之日起15日内完成供货</w:t>
      </w: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  <w:t>及验收</w:t>
      </w: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-273" w:rightChars="-124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</w:rPr>
        <w:t>供货要求:</w:t>
      </w: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  <w:t>提供的货物需符合采购文件规定的参数要求。需按照采购方要求在规定时间内完成供货并提供相应的产品合格证（有相应要求的，需提供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型式检验报告</w:t>
      </w: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  <w:t>）。货物包装完好无破损、无变形；到货数量、规格型号、品牌参数与采购清单完全一致。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 w:val="0"/>
          <w:color w:val="auto"/>
          <w:sz w:val="24"/>
          <w:szCs w:val="24"/>
          <w:highlight w:val="none"/>
        </w:rPr>
        <w:t>供货地点:</w:t>
      </w: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</w:rPr>
        <w:t>云南省</w:t>
      </w: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  <w:t>内</w:t>
      </w: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</w:rPr>
        <w:t>，具体以采购方下达的采购订货单为准。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 w:val="0"/>
          <w:color w:val="auto"/>
          <w:sz w:val="24"/>
          <w:szCs w:val="24"/>
          <w:highlight w:val="none"/>
        </w:rPr>
        <w:t>提供文件要求:</w:t>
      </w: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</w:rPr>
        <w:t>报价需包含:服务费、税费、运输费等完成项目所需的全部费用，除此之外采购方不再单独支付其他费用。报价时报价人需提供售后服务承诺及质量保障措施，并</w:t>
      </w: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  <w:t>承诺</w:t>
      </w: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</w:rPr>
        <w:t>提供不少于1年的质保服务，在质保期内，提供7*24小时热线支持服务和免费上门服务，并指定专人负责上门更换不符合归家及行业标准的设备。并保证提供的货物是全新的、符合国家质量标准、具有生产厂家质量保证书(或合格证明)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Chars="0"/>
        <w:textAlignment w:val="auto"/>
        <w:rPr>
          <w:rFonts w:hint="eastAsia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z w:val="24"/>
          <w:szCs w:val="24"/>
          <w:highlight w:val="none"/>
        </w:rPr>
        <w:t>价款支付:</w:t>
      </w:r>
      <w:r>
        <w:rPr>
          <w:rFonts w:hint="eastAsia" w:eastAsia="宋体" w:cs="宋体"/>
          <w:b w:val="0"/>
          <w:bCs/>
          <w:snapToGrid/>
          <w:color w:val="auto"/>
          <w:kern w:val="0"/>
          <w:sz w:val="24"/>
          <w:szCs w:val="24"/>
          <w:highlight w:val="none"/>
          <w:lang w:val="en-US" w:eastAsia="zh-CN" w:bidi="ar-SA"/>
        </w:rPr>
        <w:t>成交人按照采购方要求</w:t>
      </w:r>
      <w:r>
        <w:rPr>
          <w:rFonts w:hint="eastAsia" w:ascii="宋体" w:hAnsi="宋体" w:eastAsia="宋体" w:cs="宋体"/>
          <w:b w:val="0"/>
          <w:bCs/>
          <w:snapToGrid/>
          <w:color w:val="auto"/>
          <w:kern w:val="0"/>
          <w:sz w:val="24"/>
          <w:szCs w:val="24"/>
          <w:highlight w:val="none"/>
          <w:lang w:val="en-US" w:eastAsia="zh-CN" w:bidi="ar-SA"/>
        </w:rPr>
        <w:t>在规定时间内完成货物的供货</w:t>
      </w:r>
      <w:r>
        <w:rPr>
          <w:rFonts w:hint="eastAsia" w:eastAsia="宋体" w:cs="宋体"/>
          <w:b w:val="0"/>
          <w:bCs/>
          <w:snapToGrid/>
          <w:color w:val="auto"/>
          <w:kern w:val="0"/>
          <w:sz w:val="24"/>
          <w:szCs w:val="24"/>
          <w:highlight w:val="none"/>
          <w:lang w:val="en-US" w:eastAsia="zh-CN" w:bidi="ar-SA"/>
        </w:rPr>
        <w:t>，并提</w:t>
      </w:r>
      <w:r>
        <w:rPr>
          <w:rFonts w:hint="eastAsia" w:ascii="宋体" w:hAnsi="宋体" w:eastAsia="宋体" w:cs="宋体"/>
          <w:b w:val="0"/>
          <w:bCs/>
          <w:snapToGrid/>
          <w:color w:val="auto"/>
          <w:kern w:val="0"/>
          <w:sz w:val="24"/>
          <w:szCs w:val="24"/>
          <w:highlight w:val="none"/>
          <w:lang w:val="en-US" w:eastAsia="zh-CN" w:bidi="ar-SA"/>
        </w:rPr>
        <w:t>供符合国家质量标准、具有生产厂家质量保证书(或合格证明)，</w:t>
      </w:r>
      <w:r>
        <w:rPr>
          <w:rFonts w:hint="eastAsia" w:eastAsia="宋体" w:cs="宋体"/>
          <w:b w:val="0"/>
          <w:bCs/>
          <w:snapToGrid/>
          <w:color w:val="auto"/>
          <w:kern w:val="0"/>
          <w:sz w:val="24"/>
          <w:szCs w:val="24"/>
          <w:highlight w:val="none"/>
          <w:lang w:val="en-US" w:eastAsia="zh-CN" w:bidi="ar-SA"/>
        </w:rPr>
        <w:t>通过采购方验收合格，</w:t>
      </w:r>
      <w:r>
        <w:rPr>
          <w:rFonts w:hint="eastAsia" w:ascii="宋体" w:hAnsi="宋体" w:eastAsia="宋体" w:cs="宋体"/>
          <w:b w:val="0"/>
          <w:bCs/>
          <w:snapToGrid/>
          <w:color w:val="auto"/>
          <w:kern w:val="0"/>
          <w:sz w:val="24"/>
          <w:szCs w:val="24"/>
          <w:highlight w:val="none"/>
          <w:lang w:val="en-US" w:eastAsia="zh-CN" w:bidi="ar-SA"/>
        </w:rPr>
        <w:t>开具符合国家税务</w:t>
      </w:r>
      <w:r>
        <w:rPr>
          <w:rFonts w:hint="eastAsia" w:eastAsia="宋体" w:cs="宋体"/>
          <w:b w:val="0"/>
          <w:bCs/>
          <w:snapToGrid/>
          <w:color w:val="auto"/>
          <w:kern w:val="0"/>
          <w:sz w:val="24"/>
          <w:szCs w:val="24"/>
          <w:highlight w:val="none"/>
          <w:lang w:val="en-US" w:eastAsia="zh-CN" w:bidi="ar-SA"/>
        </w:rPr>
        <w:t>规定</w:t>
      </w:r>
      <w:r>
        <w:rPr>
          <w:rFonts w:hint="eastAsia" w:ascii="宋体" w:hAnsi="宋体" w:eastAsia="宋体" w:cs="宋体"/>
          <w:b w:val="0"/>
          <w:bCs/>
          <w:snapToGrid/>
          <w:color w:val="auto"/>
          <w:kern w:val="0"/>
          <w:sz w:val="24"/>
          <w:szCs w:val="24"/>
          <w:highlight w:val="none"/>
          <w:lang w:val="en-US" w:eastAsia="zh-CN" w:bidi="ar-SA"/>
        </w:rPr>
        <w:t>及采购方财务要求的发票，采购方自收到发票后30日内一次性支付项目价款。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7F91543"/>
    <w:multiLevelType w:val="multilevel"/>
    <w:tmpl w:val="07F91543"/>
    <w:lvl w:ilvl="0" w:tentative="0">
      <w:start w:val="1"/>
      <w:numFmt w:val="decimal"/>
      <w:pStyle w:val="2"/>
      <w:lvlText w:val="%1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  <w:rPr>
        <w:rFonts w:hint="eastAsia"/>
        <w:b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1148"/>
        </w:tabs>
        <w:ind w:left="1148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6、"/>
      <w:lvlJc w:val="left"/>
      <w:pPr>
        <w:ind w:left="360" w:hanging="36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747BFC"/>
    <w:rsid w:val="07591857"/>
    <w:rsid w:val="69747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adjustRightInd w:val="0"/>
      <w:snapToGrid w:val="0"/>
      <w:spacing w:after="200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numPr>
        <w:ilvl w:val="0"/>
        <w:numId w:val="1"/>
      </w:numPr>
      <w:spacing w:before="20" w:after="20"/>
      <w:ind w:firstLineChars="0"/>
      <w:jc w:val="left"/>
      <w:outlineLvl w:val="0"/>
    </w:pPr>
    <w:rPr>
      <w:rFonts w:ascii="宋体" w:hAnsi="宋体"/>
      <w:b/>
      <w:bCs/>
      <w:snapToGrid w:val="0"/>
      <w:kern w:val="44"/>
      <w:sz w:val="28"/>
      <w:szCs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font61"/>
    <w:basedOn w:val="4"/>
    <w:qFormat/>
    <w:uiPriority w:val="0"/>
    <w:rPr>
      <w:rFonts w:hint="eastAsia" w:ascii="微软雅黑" w:hAnsi="微软雅黑" w:eastAsia="微软雅黑" w:cs="微软雅黑"/>
      <w:i/>
      <w:iCs/>
      <w:color w:val="FF0000"/>
      <w:sz w:val="21"/>
      <w:szCs w:val="21"/>
      <w:u w:val="none"/>
    </w:rPr>
  </w:style>
  <w:style w:type="paragraph" w:customStyle="1" w:styleId="6">
    <w:name w:val="一级条标题"/>
    <w:next w:val="7"/>
    <w:qFormat/>
    <w:uiPriority w:val="99"/>
    <w:pPr>
      <w:ind w:left="851"/>
      <w:outlineLvl w:val="2"/>
    </w:pPr>
    <w:rPr>
      <w:rFonts w:ascii="Calibri" w:hAnsi="Calibri" w:eastAsia="黑体" w:cs="Times New Roman"/>
      <w:sz w:val="21"/>
      <w:lang w:val="en-US" w:eastAsia="zh-CN" w:bidi="ar-SA"/>
    </w:rPr>
  </w:style>
  <w:style w:type="paragraph" w:customStyle="1" w:styleId="7">
    <w:name w:val="段"/>
    <w:qFormat/>
    <w:uiPriority w:val="0"/>
    <w:pPr>
      <w:autoSpaceDE w:val="0"/>
      <w:autoSpaceDN w:val="0"/>
      <w:ind w:firstLine="200" w:firstLineChars="200"/>
      <w:jc w:val="both"/>
    </w:pPr>
    <w:rPr>
      <w:rFonts w:ascii="宋体" w:hAnsi="Calibri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2026-07-14T09:00:00Z</dcterms:created>
  <dc:creator>罗莹</dc:creator>
  <cp:lastModifiedBy>尹颖</cp:lastModifiedBy>
  <dcterms:modified xsi:type="dcterms:W3CDTF">2026-07-15T03:02:45Z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C716B4868C4E4D168BD2B27BBB6A4079</vt:lpwstr>
  </property>
</Properties>
</file>