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CFD09F">
      <w:pPr>
        <w:pStyle w:val="11"/>
        <w:jc w:val="center"/>
        <w:outlineLvl w:val="0"/>
        <w:rPr>
          <w:rFonts w:hint="eastAsia" w:ascii="宋体" w:hAnsi="宋体" w:eastAsia="宋体" w:cs="宋体"/>
          <w:color w:val="000000" w:themeColor="text1"/>
          <w:kern w:val="2"/>
          <w:sz w:val="32"/>
          <w:szCs w:val="32"/>
          <w:highlight w:val="none"/>
          <w:u w:val="single"/>
          <w:lang w:val="en-US" w:eastAsia="zh-CN" w:bidi="ar-SA"/>
          <w14:textFill>
            <w14:solidFill>
              <w14:schemeClr w14:val="tx1"/>
            </w14:solidFill>
          </w14:textFill>
        </w:rPr>
      </w:pPr>
      <w:bookmarkStart w:id="0" w:name="_Toc501202059"/>
      <w:r>
        <w:rPr>
          <w:rFonts w:hint="eastAsia"/>
          <w:color w:val="000000" w:themeColor="text1"/>
          <w:sz w:val="32"/>
          <w:szCs w:val="32"/>
          <w:highlight w:val="none"/>
          <w:u w:val="single"/>
          <w14:textFill>
            <w14:solidFill>
              <w14:schemeClr w14:val="tx1"/>
            </w14:solidFill>
          </w14:textFill>
        </w:rPr>
        <w:t>广西博联信息通信技术有限责任公司</w:t>
      </w:r>
      <w:r>
        <w:rPr>
          <w:rFonts w:hint="eastAsia"/>
          <w:color w:val="000000" w:themeColor="text1"/>
          <w:sz w:val="32"/>
          <w:szCs w:val="32"/>
          <w:highlight w:val="none"/>
          <w:u w:val="single"/>
          <w:lang w:eastAsia="zh-CN"/>
          <w14:textFill>
            <w14:solidFill>
              <w14:schemeClr w14:val="tx1"/>
            </w14:solidFill>
          </w14:textFill>
        </w:rPr>
        <w:t>应用研发部</w:t>
      </w:r>
      <w:r>
        <w:rPr>
          <w:rFonts w:hint="eastAsia"/>
          <w:color w:val="000000" w:themeColor="text1"/>
          <w:sz w:val="32"/>
          <w:szCs w:val="32"/>
          <w:highlight w:val="none"/>
          <w:u w:val="single"/>
          <w14:textFill>
            <w14:solidFill>
              <w14:schemeClr w14:val="tx1"/>
            </w14:solidFill>
          </w14:textFill>
        </w:rPr>
        <w:t>2026年3D打印机耗材零星采购</w:t>
      </w:r>
      <w:r>
        <w:rPr>
          <w:rFonts w:hint="eastAsia" w:ascii="宋体" w:hAnsi="宋体" w:eastAsia="宋体" w:cs="宋体"/>
          <w:color w:val="000000" w:themeColor="text1"/>
          <w:kern w:val="2"/>
          <w:sz w:val="32"/>
          <w:szCs w:val="32"/>
          <w:highlight w:val="none"/>
          <w:u w:val="single"/>
          <w:lang w:val="en-US" w:eastAsia="zh-CN" w:bidi="ar-SA"/>
          <w14:textFill>
            <w14:solidFill>
              <w14:schemeClr w14:val="tx1"/>
            </w14:solidFill>
          </w14:textFill>
        </w:rPr>
        <w:t>服务要求</w:t>
      </w:r>
    </w:p>
    <w:p w14:paraId="1DF9FE22">
      <w:pPr>
        <w:pStyle w:val="11"/>
        <w:outlineLvl w:val="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lang w:val="en-US" w:eastAsia="zh-CN"/>
        </w:rPr>
        <w:t>1</w:t>
      </w:r>
      <w:r>
        <w:rPr>
          <w:rFonts w:hint="eastAsia" w:ascii="宋体" w:hAnsi="宋体" w:eastAsia="宋体" w:cs="宋体"/>
        </w:rPr>
        <w:t>、概述</w:t>
      </w:r>
      <w:bookmarkEnd w:id="0"/>
    </w:p>
    <w:p w14:paraId="6A9B4D0F">
      <w:pPr>
        <w:adjustRightInd w:val="0"/>
        <w:snapToGrid w:val="0"/>
        <w:spacing w:before="156" w:line="360" w:lineRule="auto"/>
        <w:ind w:firstLine="480" w:firstLineChars="200"/>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本服务要求适用于广西博联信息通信技术有限责任公司（以下简称：采购人）</w:t>
      </w:r>
      <w:r>
        <w:rPr>
          <w:rFonts w:hint="eastAsia" w:ascii="宋体" w:hAnsi="宋体" w:cs="宋体"/>
          <w:color w:val="000000" w:themeColor="text1"/>
          <w:sz w:val="24"/>
          <w:szCs w:val="24"/>
          <w:highlight w:val="none"/>
          <w:u w:val="single"/>
          <w14:textFill>
            <w14:solidFill>
              <w14:schemeClr w14:val="tx1"/>
            </w14:solidFill>
          </w14:textFill>
        </w:rPr>
        <w:t>广西博联信息通信技术有限责任公司</w:t>
      </w:r>
      <w:r>
        <w:rPr>
          <w:rFonts w:hint="eastAsia" w:ascii="宋体" w:hAnsi="宋体" w:cs="宋体"/>
          <w:color w:val="000000" w:themeColor="text1"/>
          <w:sz w:val="24"/>
          <w:szCs w:val="24"/>
          <w:highlight w:val="none"/>
          <w:u w:val="single"/>
          <w:lang w:eastAsia="zh-CN"/>
          <w14:textFill>
            <w14:solidFill>
              <w14:schemeClr w14:val="tx1"/>
            </w14:solidFill>
          </w14:textFill>
        </w:rPr>
        <w:t>应用研发部</w:t>
      </w:r>
      <w:r>
        <w:rPr>
          <w:rFonts w:hint="eastAsia" w:ascii="宋体" w:hAnsi="宋体" w:cs="宋体"/>
          <w:color w:val="000000" w:themeColor="text1"/>
          <w:sz w:val="24"/>
          <w:szCs w:val="24"/>
          <w:highlight w:val="none"/>
          <w:u w:val="single"/>
          <w14:textFill>
            <w14:solidFill>
              <w14:schemeClr w14:val="tx1"/>
            </w14:solidFill>
          </w14:textFill>
        </w:rPr>
        <w:t>2026年3D打印机耗材零星采购</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（以下简称：本项目），本服务要求的最终解释权归采购人。</w:t>
      </w:r>
    </w:p>
    <w:p w14:paraId="640EE32D">
      <w:pPr>
        <w:pStyle w:val="12"/>
        <w:spacing w:line="360" w:lineRule="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2.</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ab/>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本服务要求提出了本项目需求的</w:t>
      </w:r>
      <w:r>
        <w:rPr>
          <w:rFonts w:hint="eastAsia" w:cs="宋体"/>
          <w:color w:val="000000" w:themeColor="text1"/>
          <w:kern w:val="2"/>
          <w:sz w:val="24"/>
          <w:szCs w:val="24"/>
          <w:highlight w:val="none"/>
          <w:lang w:val="en-US" w:eastAsia="zh-CN" w:bidi="ar-SA"/>
          <w14:textFill>
            <w14:solidFill>
              <w14:schemeClr w14:val="tx1"/>
            </w14:solidFill>
          </w14:textFill>
        </w:rPr>
        <w:t>产品型号</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和相应的技术指标要求，可供报价人编写技术响应文件之用。</w:t>
      </w:r>
    </w:p>
    <w:p w14:paraId="73DE231F">
      <w:pPr>
        <w:pStyle w:val="12"/>
        <w:spacing w:line="360" w:lineRule="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3.</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ab/>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报价人应保证所提供的所有资料真实、完整、准确无误，否则采购人将有权取消报价人的供货资格，由此产生的一切后果由报价人承担。</w:t>
      </w:r>
    </w:p>
    <w:p w14:paraId="0814BE3A">
      <w:pPr>
        <w:pStyle w:val="12"/>
        <w:spacing w:line="360" w:lineRule="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4.本服务要求中带“★”符号为必要事项要求。报价人要特别加以注意，必须完全满足这些要求。</w:t>
      </w:r>
    </w:p>
    <w:p w14:paraId="6D5DE2B3">
      <w:pPr>
        <w:pStyle w:val="11"/>
        <w:spacing w:line="360" w:lineRule="auto"/>
        <w:outlineLvl w:val="0"/>
        <w:rPr>
          <w:rFonts w:hint="eastAsia" w:ascii="宋体" w:hAnsi="宋体" w:eastAsia="宋体" w:cs="宋体"/>
        </w:rPr>
      </w:pPr>
      <w:bookmarkStart w:id="1" w:name="_Toc501202060"/>
      <w:r>
        <w:rPr>
          <w:rFonts w:hint="eastAsia" w:ascii="宋体" w:hAnsi="宋体" w:eastAsia="宋体" w:cs="宋体"/>
          <w:lang w:val="en-US" w:eastAsia="zh-CN"/>
        </w:rPr>
        <w:t>2</w:t>
      </w:r>
      <w:r>
        <w:rPr>
          <w:rFonts w:hint="eastAsia" w:ascii="宋体" w:hAnsi="宋体" w:eastAsia="宋体" w:cs="宋体"/>
        </w:rPr>
        <w:t>、定义</w:t>
      </w:r>
      <w:bookmarkEnd w:id="1"/>
    </w:p>
    <w:p w14:paraId="20088C8E">
      <w:pPr>
        <w:pStyle w:val="12"/>
        <w:spacing w:line="360" w:lineRule="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rPr>
        <w:tab/>
      </w:r>
      <w:r>
        <w:rPr>
          <w:rFonts w:hint="eastAsia" w:ascii="宋体" w:hAnsi="宋体" w:eastAsia="宋体" w:cs="宋体"/>
          <w:sz w:val="24"/>
          <w:szCs w:val="24"/>
          <w:lang w:eastAsia="zh-CN"/>
        </w:rPr>
        <w:t>采购人</w:t>
      </w:r>
      <w:r>
        <w:rPr>
          <w:rFonts w:hint="eastAsia" w:ascii="宋体" w:hAnsi="宋体" w:eastAsia="宋体" w:cs="宋体"/>
          <w:sz w:val="24"/>
          <w:szCs w:val="24"/>
        </w:rPr>
        <w:t>：广</w:t>
      </w:r>
      <w:r>
        <w:rPr>
          <w:rFonts w:hint="eastAsia" w:ascii="宋体" w:hAnsi="宋体" w:eastAsia="宋体" w:cs="宋体"/>
          <w:sz w:val="24"/>
          <w:szCs w:val="24"/>
          <w:lang w:val="en-US" w:eastAsia="zh-CN"/>
        </w:rPr>
        <w:tab/>
      </w:r>
      <w:r>
        <w:rPr>
          <w:rFonts w:hint="eastAsia" w:ascii="宋体" w:hAnsi="宋体" w:eastAsia="宋体" w:cs="宋体"/>
          <w:sz w:val="24"/>
          <w:szCs w:val="24"/>
        </w:rPr>
        <w:t>西博联信息通信技术有限责任公司</w:t>
      </w:r>
    </w:p>
    <w:p w14:paraId="2497D4D9">
      <w:pPr>
        <w:pStyle w:val="12"/>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r>
        <w:rPr>
          <w:rFonts w:hint="eastAsia" w:ascii="宋体" w:hAnsi="宋体" w:eastAsia="宋体" w:cs="宋体"/>
          <w:sz w:val="24"/>
          <w:szCs w:val="24"/>
        </w:rPr>
        <w:t>.</w:t>
      </w:r>
      <w:r>
        <w:rPr>
          <w:rFonts w:hint="eastAsia" w:ascii="宋体" w:hAnsi="宋体" w:eastAsia="宋体" w:cs="宋体"/>
          <w:sz w:val="24"/>
          <w:szCs w:val="24"/>
        </w:rPr>
        <w:tab/>
      </w:r>
      <w:r>
        <w:rPr>
          <w:rFonts w:hint="eastAsia" w:ascii="宋体" w:hAnsi="宋体" w:eastAsia="宋体" w:cs="宋体"/>
          <w:sz w:val="24"/>
          <w:szCs w:val="24"/>
          <w:lang w:val="en-US" w:eastAsia="zh-CN"/>
        </w:rPr>
        <w:t>报价人</w:t>
      </w:r>
      <w:r>
        <w:rPr>
          <w:rFonts w:hint="eastAsia" w:ascii="宋体" w:hAnsi="宋体" w:eastAsia="宋体" w:cs="宋体"/>
          <w:sz w:val="24"/>
          <w:szCs w:val="24"/>
        </w:rPr>
        <w:t>：</w:t>
      </w:r>
      <w:r>
        <w:rPr>
          <w:rFonts w:hint="eastAsia" w:ascii="宋体" w:hAnsi="宋体" w:eastAsia="宋体" w:cs="宋体"/>
          <w:sz w:val="24"/>
          <w:szCs w:val="24"/>
          <w:lang w:val="en-US" w:eastAsia="zh-CN"/>
        </w:rPr>
        <w:t>本项目服务提供单位</w:t>
      </w:r>
    </w:p>
    <w:p w14:paraId="20C8F4B7">
      <w:pPr>
        <w:pStyle w:val="11"/>
        <w:spacing w:line="360" w:lineRule="auto"/>
        <w:outlineLvl w:val="0"/>
        <w:rPr>
          <w:rFonts w:hint="eastAsia" w:ascii="宋体" w:hAnsi="宋体" w:eastAsia="宋体" w:cs="宋体"/>
          <w:color w:val="000000" w:themeColor="text1"/>
          <w:sz w:val="24"/>
          <w:szCs w:val="24"/>
          <w:highlight w:val="none"/>
          <w:lang w:eastAsia="zh-CN"/>
          <w14:textFill>
            <w14:solidFill>
              <w14:schemeClr w14:val="tx1"/>
            </w14:solidFill>
          </w14:textFill>
        </w:rPr>
      </w:pPr>
      <w:bookmarkStart w:id="2" w:name="_Toc501202061"/>
      <w:r>
        <w:rPr>
          <w:rFonts w:hint="eastAsia" w:ascii="宋体" w:hAnsi="宋体" w:eastAsia="宋体" w:cs="宋体"/>
          <w:lang w:val="en-US" w:eastAsia="zh-CN"/>
        </w:rPr>
        <w:t>3</w:t>
      </w:r>
      <w:r>
        <w:rPr>
          <w:rFonts w:hint="eastAsia" w:ascii="宋体" w:hAnsi="宋体" w:eastAsia="宋体" w:cs="宋体"/>
        </w:rPr>
        <w:t>、</w:t>
      </w:r>
      <w:r>
        <w:rPr>
          <w:rFonts w:hint="eastAsia" w:ascii="宋体" w:hAnsi="宋体" w:eastAsia="宋体" w:cs="宋体"/>
          <w:color w:val="000000" w:themeColor="text1"/>
          <w:sz w:val="24"/>
          <w:szCs w:val="24"/>
          <w:highlight w:val="none"/>
          <w14:textFill>
            <w14:solidFill>
              <w14:schemeClr w14:val="tx1"/>
            </w14:solidFill>
          </w14:textFill>
        </w:rPr>
        <w:t>采购范围</w:t>
      </w:r>
      <w:bookmarkEnd w:id="2"/>
      <w:r>
        <w:rPr>
          <w:rFonts w:hint="eastAsia" w:ascii="宋体" w:hAnsi="宋体" w:eastAsia="宋体" w:cs="宋体"/>
          <w:color w:val="000000" w:themeColor="text1"/>
          <w:sz w:val="24"/>
          <w:szCs w:val="24"/>
          <w:highlight w:val="none"/>
          <w:lang w:val="en-US" w:eastAsia="zh-CN"/>
          <w14:textFill>
            <w14:solidFill>
              <w14:schemeClr w14:val="tx1"/>
            </w14:solidFill>
          </w14:textFill>
        </w:rPr>
        <w:t>和内容</w:t>
      </w:r>
    </w:p>
    <w:p w14:paraId="26F11660">
      <w:pPr>
        <w:spacing w:line="360" w:lineRule="auto"/>
        <w:ind w:left="158" w:leftChars="75" w:firstLine="480" w:firstLineChars="200"/>
        <w:rPr>
          <w:rFonts w:hint="eastAsia" w:ascii="宋体" w:hAnsi="宋体" w:eastAsia="宋体" w:cs="宋体"/>
          <w:color w:val="000000" w:themeColor="text1"/>
          <w:sz w:val="24"/>
          <w:szCs w:val="24"/>
          <w:highlight w:val="none"/>
          <w14:textFill>
            <w14:solidFill>
              <w14:schemeClr w14:val="tx1"/>
            </w14:solidFill>
          </w14:textFill>
        </w:rPr>
      </w:pPr>
      <w:bookmarkStart w:id="3" w:name="_Toc501202062"/>
      <w:r>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t>本</w:t>
      </w:r>
      <w:r>
        <w:rPr>
          <w:rFonts w:hint="eastAsia" w:ascii="宋体" w:hAnsi="宋体" w:cs="宋体"/>
          <w:b w:val="0"/>
          <w:bCs w:val="0"/>
          <w:color w:val="000000" w:themeColor="text1"/>
          <w:kern w:val="2"/>
          <w:sz w:val="24"/>
          <w:szCs w:val="24"/>
          <w:highlight w:val="none"/>
          <w:lang w:val="en-US" w:eastAsia="zh-CN" w:bidi="ar-SA"/>
          <w14:textFill>
            <w14:solidFill>
              <w14:schemeClr w14:val="tx1"/>
            </w14:solidFill>
          </w14:textFill>
        </w:rPr>
        <w:t>项目</w:t>
      </w:r>
      <w:r>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t>采购范围和内容如下。</w:t>
      </w:r>
    </w:p>
    <w:tbl>
      <w:tblPr>
        <w:tblStyle w:val="8"/>
        <w:tblW w:w="447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2"/>
        <w:gridCol w:w="4386"/>
        <w:gridCol w:w="988"/>
        <w:gridCol w:w="1535"/>
      </w:tblGrid>
      <w:tr w14:paraId="392A7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jc w:val="center"/>
        </w:trPr>
        <w:tc>
          <w:tcPr>
            <w:tcW w:w="473" w:type="pct"/>
            <w:tcBorders>
              <w:top w:val="single" w:color="auto" w:sz="4" w:space="0"/>
              <w:left w:val="single" w:color="auto" w:sz="4" w:space="0"/>
              <w:bottom w:val="single" w:color="auto" w:sz="4" w:space="0"/>
              <w:right w:val="single" w:color="auto" w:sz="4" w:space="0"/>
            </w:tcBorders>
            <w:vAlign w:val="top"/>
          </w:tcPr>
          <w:p w14:paraId="63F1FD9F">
            <w:pPr>
              <w:spacing w:line="240" w:lineRule="auto"/>
              <w:ind w:left="0" w:leftChars="0" w:firstLine="0" w:firstLineChars="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序号</w:t>
            </w:r>
          </w:p>
        </w:tc>
        <w:tc>
          <w:tcPr>
            <w:tcW w:w="2873" w:type="pct"/>
            <w:tcBorders>
              <w:top w:val="single" w:color="auto" w:sz="4" w:space="0"/>
              <w:left w:val="single" w:color="auto" w:sz="4" w:space="0"/>
              <w:bottom w:val="single" w:color="auto" w:sz="4" w:space="0"/>
              <w:right w:val="single" w:color="auto" w:sz="4" w:space="0"/>
            </w:tcBorders>
            <w:vAlign w:val="center"/>
          </w:tcPr>
          <w:p w14:paraId="603511C2">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采购</w:t>
            </w:r>
            <w:r>
              <w:rPr>
                <w:rFonts w:hint="eastAsia" w:ascii="宋体" w:hAnsi="宋体" w:eastAsia="宋体" w:cs="宋体"/>
                <w:color w:val="000000" w:themeColor="text1"/>
                <w:sz w:val="24"/>
                <w:szCs w:val="24"/>
                <w:highlight w:val="none"/>
                <w14:textFill>
                  <w14:solidFill>
                    <w14:schemeClr w14:val="tx1"/>
                  </w14:solidFill>
                </w14:textFill>
              </w:rPr>
              <w:t>内容</w:t>
            </w:r>
          </w:p>
        </w:tc>
        <w:tc>
          <w:tcPr>
            <w:tcW w:w="647" w:type="pct"/>
            <w:tcBorders>
              <w:top w:val="single" w:color="auto" w:sz="4" w:space="0"/>
              <w:left w:val="single" w:color="auto" w:sz="4" w:space="0"/>
              <w:bottom w:val="single" w:color="auto" w:sz="4" w:space="0"/>
              <w:right w:val="single" w:color="auto" w:sz="4" w:space="0"/>
            </w:tcBorders>
            <w:vAlign w:val="center"/>
          </w:tcPr>
          <w:p w14:paraId="4C8EB0E4">
            <w:pPr>
              <w:spacing w:line="240" w:lineRule="auto"/>
              <w:ind w:left="0" w:leftChars="0"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数量</w:t>
            </w:r>
          </w:p>
        </w:tc>
        <w:tc>
          <w:tcPr>
            <w:tcW w:w="1005" w:type="pct"/>
            <w:tcBorders>
              <w:top w:val="single" w:color="auto" w:sz="4" w:space="0"/>
              <w:left w:val="single" w:color="auto" w:sz="4" w:space="0"/>
              <w:bottom w:val="single" w:color="auto" w:sz="4" w:space="0"/>
              <w:right w:val="single" w:color="auto" w:sz="4" w:space="0"/>
            </w:tcBorders>
            <w:vAlign w:val="center"/>
          </w:tcPr>
          <w:p w14:paraId="64341D4D">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单位</w:t>
            </w:r>
          </w:p>
        </w:tc>
      </w:tr>
      <w:tr w14:paraId="76D27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473" w:type="pct"/>
            <w:tcBorders>
              <w:top w:val="single" w:color="auto" w:sz="4" w:space="0"/>
              <w:left w:val="single" w:color="auto" w:sz="4" w:space="0"/>
              <w:bottom w:val="single" w:color="auto" w:sz="4" w:space="0"/>
              <w:right w:val="single" w:color="auto" w:sz="4" w:space="0"/>
            </w:tcBorders>
            <w:vAlign w:val="center"/>
          </w:tcPr>
          <w:p w14:paraId="534B83BB">
            <w:pPr>
              <w:spacing w:line="36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p>
        </w:tc>
        <w:tc>
          <w:tcPr>
            <w:tcW w:w="2873" w:type="pct"/>
            <w:tcBorders>
              <w:top w:val="single" w:color="auto" w:sz="4" w:space="0"/>
              <w:left w:val="single" w:color="auto" w:sz="4" w:space="0"/>
              <w:bottom w:val="single" w:color="auto" w:sz="4" w:space="0"/>
              <w:right w:val="single" w:color="auto" w:sz="4" w:space="0"/>
            </w:tcBorders>
            <w:vAlign w:val="center"/>
          </w:tcPr>
          <w:p w14:paraId="13A86642">
            <w:pPr>
              <w:spacing w:line="240" w:lineRule="auto"/>
              <w:jc w:val="center"/>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3D打印机耗材</w:t>
            </w:r>
          </w:p>
        </w:tc>
        <w:tc>
          <w:tcPr>
            <w:tcW w:w="647" w:type="pct"/>
            <w:tcBorders>
              <w:top w:val="single" w:color="auto" w:sz="4" w:space="0"/>
              <w:left w:val="single" w:color="auto" w:sz="4" w:space="0"/>
              <w:bottom w:val="single" w:color="auto" w:sz="4" w:space="0"/>
              <w:right w:val="single" w:color="auto" w:sz="4" w:space="0"/>
            </w:tcBorders>
            <w:vAlign w:val="center"/>
          </w:tcPr>
          <w:p w14:paraId="5CDE9422">
            <w:pPr>
              <w:spacing w:line="240" w:lineRule="auto"/>
              <w:jc w:val="center"/>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10</w:t>
            </w:r>
          </w:p>
        </w:tc>
        <w:tc>
          <w:tcPr>
            <w:tcW w:w="1005" w:type="pct"/>
            <w:tcBorders>
              <w:top w:val="single" w:color="auto" w:sz="4" w:space="0"/>
              <w:left w:val="single" w:color="auto" w:sz="4" w:space="0"/>
              <w:bottom w:val="single" w:color="auto" w:sz="4" w:space="0"/>
              <w:right w:val="single" w:color="auto" w:sz="4" w:space="0"/>
            </w:tcBorders>
            <w:vAlign w:val="center"/>
          </w:tcPr>
          <w:p w14:paraId="64CEF29E">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卷</w:t>
            </w:r>
          </w:p>
        </w:tc>
      </w:tr>
      <w:tr w14:paraId="63834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473" w:type="pct"/>
            <w:tcBorders>
              <w:top w:val="single" w:color="auto" w:sz="4" w:space="0"/>
              <w:left w:val="single" w:color="auto" w:sz="4" w:space="0"/>
              <w:bottom w:val="single" w:color="auto" w:sz="4" w:space="0"/>
              <w:right w:val="single" w:color="auto" w:sz="4" w:space="0"/>
            </w:tcBorders>
            <w:vAlign w:val="center"/>
          </w:tcPr>
          <w:p w14:paraId="19F095A1">
            <w:pPr>
              <w:spacing w:line="360" w:lineRule="auto"/>
              <w:jc w:val="center"/>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w:t>
            </w:r>
          </w:p>
        </w:tc>
        <w:tc>
          <w:tcPr>
            <w:tcW w:w="2873" w:type="pct"/>
            <w:tcBorders>
              <w:top w:val="single" w:color="auto" w:sz="4" w:space="0"/>
              <w:left w:val="single" w:color="auto" w:sz="4" w:space="0"/>
              <w:bottom w:val="single" w:color="auto" w:sz="4" w:space="0"/>
              <w:right w:val="single" w:color="auto" w:sz="4" w:space="0"/>
            </w:tcBorders>
            <w:vAlign w:val="center"/>
          </w:tcPr>
          <w:p w14:paraId="09457CA9">
            <w:pPr>
              <w:spacing w:line="240" w:lineRule="auto"/>
              <w:jc w:val="center"/>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sz w:val="24"/>
                <w:szCs w:val="24"/>
                <w:lang w:val="en-US" w:eastAsia="zh-CN"/>
              </w:rPr>
              <w:t>硬化钢不锈钢热端喷嘴</w:t>
            </w:r>
          </w:p>
        </w:tc>
        <w:tc>
          <w:tcPr>
            <w:tcW w:w="647" w:type="pct"/>
            <w:tcBorders>
              <w:top w:val="single" w:color="auto" w:sz="4" w:space="0"/>
              <w:left w:val="single" w:color="auto" w:sz="4" w:space="0"/>
              <w:bottom w:val="single" w:color="auto" w:sz="4" w:space="0"/>
              <w:right w:val="single" w:color="auto" w:sz="4" w:space="0"/>
            </w:tcBorders>
            <w:vAlign w:val="center"/>
          </w:tcPr>
          <w:p w14:paraId="4BDE8158">
            <w:pPr>
              <w:spacing w:line="240" w:lineRule="auto"/>
              <w:jc w:val="center"/>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w:t>
            </w:r>
          </w:p>
        </w:tc>
        <w:tc>
          <w:tcPr>
            <w:tcW w:w="1005" w:type="pct"/>
            <w:tcBorders>
              <w:top w:val="single" w:color="auto" w:sz="4" w:space="0"/>
              <w:left w:val="single" w:color="auto" w:sz="4" w:space="0"/>
              <w:bottom w:val="single" w:color="auto" w:sz="4" w:space="0"/>
              <w:right w:val="single" w:color="auto" w:sz="4" w:space="0"/>
            </w:tcBorders>
            <w:vAlign w:val="center"/>
          </w:tcPr>
          <w:p w14:paraId="10605AC8">
            <w:pPr>
              <w:spacing w:line="240" w:lineRule="auto"/>
              <w:jc w:val="center"/>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个</w:t>
            </w:r>
          </w:p>
        </w:tc>
      </w:tr>
    </w:tbl>
    <w:p w14:paraId="10F3DD59">
      <w:pPr>
        <w:spacing w:line="360" w:lineRule="auto"/>
        <w:ind w:firstLine="480" w:firstLineChars="200"/>
        <w:jc w:val="both"/>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本项目服务期：合同签订之日起</w:t>
      </w:r>
      <w:r>
        <w:rPr>
          <w:rFonts w:hint="eastAsia" w:ascii="宋体" w:hAnsi="宋体" w:cs="宋体"/>
          <w:color w:val="000000" w:themeColor="text1"/>
          <w:sz w:val="24"/>
          <w:szCs w:val="24"/>
          <w:highlight w:val="none"/>
          <w:lang w:val="en-US" w:eastAsia="zh-CN"/>
          <w14:textFill>
            <w14:solidFill>
              <w14:schemeClr w14:val="tx1"/>
            </w14:solidFill>
          </w14:textFill>
        </w:rPr>
        <w:t>30天</w:t>
      </w:r>
      <w:r>
        <w:rPr>
          <w:rFonts w:hint="eastAsia" w:ascii="宋体" w:hAnsi="宋体" w:eastAsia="宋体" w:cs="宋体"/>
          <w:color w:val="000000" w:themeColor="text1"/>
          <w:sz w:val="24"/>
          <w:szCs w:val="24"/>
          <w:highlight w:val="none"/>
          <w:lang w:val="en-US" w:eastAsia="zh-CN"/>
          <w14:textFill>
            <w14:solidFill>
              <w14:schemeClr w14:val="tx1"/>
            </w14:solidFill>
          </w14:textFill>
        </w:rPr>
        <w:t>内</w:t>
      </w:r>
    </w:p>
    <w:bookmarkEnd w:id="3"/>
    <w:p w14:paraId="0483CB1D">
      <w:pPr>
        <w:pStyle w:val="11"/>
        <w:spacing w:line="360" w:lineRule="auto"/>
        <w:outlineLvl w:val="0"/>
        <w:rPr>
          <w:rFonts w:hint="default" w:ascii="宋体" w:hAnsi="宋体" w:cs="宋体"/>
          <w:sz w:val="24"/>
          <w:szCs w:val="24"/>
          <w:lang w:val="en-US"/>
        </w:rPr>
      </w:pPr>
      <w:r>
        <w:rPr>
          <w:rFonts w:hint="eastAsia" w:ascii="宋体" w:hAnsi="宋体" w:eastAsia="宋体" w:cs="宋体"/>
          <w:sz w:val="28"/>
          <w:szCs w:val="28"/>
          <w:lang w:val="en-US" w:eastAsia="zh-CN"/>
        </w:rPr>
        <w:t>4</w:t>
      </w:r>
      <w:r>
        <w:rPr>
          <w:rFonts w:hint="eastAsia" w:ascii="宋体" w:hAnsi="宋体" w:eastAsia="宋体" w:cs="宋体"/>
          <w:color w:val="000000" w:themeColor="text1"/>
          <w:sz w:val="28"/>
          <w:szCs w:val="28"/>
          <w:highlight w:val="none"/>
          <w:lang w:val="en-US" w:eastAsia="zh-CN"/>
          <w14:textFill>
            <w14:solidFill>
              <w14:schemeClr w14:val="tx1"/>
            </w14:solidFill>
          </w14:textFill>
        </w:rPr>
        <w:t>、</w:t>
      </w:r>
      <w:r>
        <w:rPr>
          <w:rFonts w:hint="eastAsia" w:cs="宋体"/>
          <w:color w:val="000000" w:themeColor="text1"/>
          <w:sz w:val="28"/>
          <w:szCs w:val="28"/>
          <w:highlight w:val="none"/>
          <w:lang w:val="en-US" w:eastAsia="zh-CN"/>
          <w14:textFill>
            <w14:solidFill>
              <w14:schemeClr w14:val="tx1"/>
            </w14:solidFill>
          </w14:textFill>
        </w:rPr>
        <w:t>主要技术要求</w:t>
      </w:r>
    </w:p>
    <w:p w14:paraId="480BDFF8">
      <w:pPr>
        <w:pStyle w:val="2"/>
        <w:numPr>
          <w:ilvl w:val="0"/>
          <w:numId w:val="2"/>
        </w:numPr>
        <w:spacing w:before="0" w:after="0" w:line="360" w:lineRule="auto"/>
        <w:ind w:left="425" w:hanging="425"/>
        <w:rPr>
          <w:rFonts w:hint="eastAsia"/>
          <w:sz w:val="24"/>
          <w:szCs w:val="24"/>
        </w:rPr>
      </w:pPr>
      <w:r>
        <w:rPr>
          <w:rFonts w:hint="eastAsia"/>
          <w:sz w:val="24"/>
          <w:szCs w:val="24"/>
          <w:lang w:val="en-US" w:eastAsia="zh-CN"/>
        </w:rPr>
        <w:t>3D打印机耗材</w:t>
      </w:r>
    </w:p>
    <w:p w14:paraId="52026AA6">
      <w:pPr>
        <w:keepNext w:val="0"/>
        <w:keepLines w:val="0"/>
        <w:pageBreakBefore w:val="0"/>
        <w:widowControl w:val="0"/>
        <w:numPr>
          <w:ilvl w:val="-1"/>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本次采购PC-FR型号耗材，</w:t>
      </w:r>
      <w:r>
        <w:rPr>
          <w:rFonts w:hint="eastAsia" w:ascii="宋体" w:hAnsi="宋体" w:cs="宋体"/>
          <w:color w:val="000000" w:themeColor="text1"/>
          <w:sz w:val="24"/>
          <w:szCs w:val="24"/>
          <w:highlight w:val="none"/>
          <w:lang w:val="en-US" w:eastAsia="zh-CN"/>
          <w14:textFill>
            <w14:solidFill>
              <w14:schemeClr w14:val="tx1"/>
            </w14:solidFill>
          </w14:textFill>
        </w:rPr>
        <w:t>适用</w:t>
      </w:r>
      <w:r>
        <w:rPr>
          <w:rFonts w:hint="eastAsia" w:ascii="宋体" w:hAnsi="宋体" w:eastAsia="宋体" w:cs="宋体"/>
          <w:color w:val="000000" w:themeColor="text1"/>
          <w:sz w:val="24"/>
          <w:szCs w:val="24"/>
          <w:highlight w:val="none"/>
          <w:lang w:val="en-US" w:eastAsia="zh-CN"/>
          <w14:textFill>
            <w14:solidFill>
              <w14:schemeClr w14:val="tx1"/>
            </w14:solidFill>
          </w14:textFill>
        </w:rPr>
        <w:t>于</w:t>
      </w:r>
      <w:r>
        <w:rPr>
          <w:rFonts w:hint="eastAsia" w:ascii="宋体" w:hAnsi="宋体" w:cs="宋体"/>
          <w:color w:val="000000" w:themeColor="text1"/>
          <w:sz w:val="24"/>
          <w:szCs w:val="24"/>
          <w:highlight w:val="none"/>
          <w:lang w:val="en-US" w:eastAsia="zh-CN"/>
          <w14:textFill>
            <w14:solidFill>
              <w14:schemeClr w14:val="tx1"/>
            </w14:solidFill>
          </w14:textFill>
        </w:rPr>
        <w:t>拓竹</w:t>
      </w:r>
      <w:r>
        <w:rPr>
          <w:rFonts w:hint="eastAsia" w:ascii="宋体" w:hAnsi="宋体" w:eastAsia="宋体" w:cs="宋体"/>
          <w:color w:val="000000" w:themeColor="text1"/>
          <w:sz w:val="24"/>
          <w:szCs w:val="24"/>
          <w:highlight w:val="none"/>
          <w:lang w:val="en-US" w:eastAsia="zh-CN"/>
          <w14:textFill>
            <w14:solidFill>
              <w14:schemeClr w14:val="tx1"/>
            </w14:solidFill>
          </w14:textFill>
        </w:rPr>
        <w:t>H2D 3D打印设备，满足高强度、耐高温、支撑分离等。具体材料规格如下：</w:t>
      </w:r>
    </w:p>
    <w:p w14:paraId="54FAB320">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PC-FR：线径：1.75 ± 0.03 mm；净重：1 kg；料盘材料：PC+ABS(耐温 90°C)；料盘尺寸：直径:200mm;高度:67 mm；</w:t>
      </w:r>
    </w:p>
    <w:p w14:paraId="2EB51848">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物理性能：密度：1.18 g/cm3；维卡软化温度：114°C；热变形温度：113°C；熔融温度：225°C；熔融指数：26.4 + 2.7 g/10 min。</w:t>
      </w:r>
    </w:p>
    <w:p w14:paraId="76BAC4F4">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机械性能：拉伸强度：60+4MPa；断裂伸长率：2.4+ 0.3%；弯曲模量：1890+70 MPa；弯曲强度：90+4MPa。</w:t>
      </w:r>
    </w:p>
    <w:p w14:paraId="2D6E0047">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颜色：白色，数量不少于4卷；灰色，数量不少于6卷。</w:t>
      </w:r>
    </w:p>
    <w:p w14:paraId="03D2AC2E">
      <w:pPr>
        <w:pStyle w:val="2"/>
        <w:numPr>
          <w:ilvl w:val="0"/>
          <w:numId w:val="2"/>
        </w:numPr>
        <w:spacing w:before="0" w:after="0" w:line="360" w:lineRule="auto"/>
        <w:ind w:left="425" w:hanging="425"/>
        <w:rPr>
          <w:rFonts w:hint="default"/>
          <w:sz w:val="24"/>
          <w:szCs w:val="24"/>
          <w:lang w:val="en-US" w:eastAsia="zh-CN"/>
        </w:rPr>
      </w:pPr>
      <w:r>
        <w:rPr>
          <w:rFonts w:hint="eastAsia"/>
          <w:sz w:val="24"/>
          <w:szCs w:val="24"/>
          <w:lang w:val="en-US" w:eastAsia="zh-CN"/>
        </w:rPr>
        <w:t>硬化钢不锈钢热端喷嘴</w:t>
      </w:r>
    </w:p>
    <w:p w14:paraId="0B8138E9">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适配</w:t>
      </w:r>
      <w:r>
        <w:rPr>
          <w:rFonts w:hint="eastAsia" w:ascii="宋体" w:hAnsi="宋体" w:cs="宋体"/>
          <w:color w:val="000000" w:themeColor="text1"/>
          <w:sz w:val="24"/>
          <w:szCs w:val="24"/>
          <w:highlight w:val="none"/>
          <w:lang w:val="en-US" w:eastAsia="zh-CN"/>
          <w14:textFill>
            <w14:solidFill>
              <w14:schemeClr w14:val="tx1"/>
            </w14:solidFill>
          </w14:textFill>
        </w:rPr>
        <w:t>拓竹</w:t>
      </w:r>
      <w:bookmarkStart w:id="8" w:name="_GoBack"/>
      <w:bookmarkEnd w:id="8"/>
      <w:r>
        <w:rPr>
          <w:rFonts w:hint="eastAsia" w:ascii="宋体" w:hAnsi="宋体" w:eastAsia="宋体" w:cs="宋体"/>
          <w:sz w:val="24"/>
          <w:szCs w:val="24"/>
          <w:lang w:val="en-US" w:eastAsia="zh-CN"/>
        </w:rPr>
        <w:t>H2D 3D打印设备；</w:t>
      </w:r>
    </w:p>
    <w:p w14:paraId="4A5F3EA9">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端口尺寸：0.4mm；</w:t>
      </w:r>
    </w:p>
    <w:p w14:paraId="433F563B">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材质：硬化钢；</w:t>
      </w:r>
    </w:p>
    <w:p w14:paraId="64A5F744">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重量：不高于30g；</w:t>
      </w:r>
    </w:p>
    <w:p w14:paraId="0B233161">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尺寸：不大于60*60*30mm</w:t>
      </w:r>
      <w:r>
        <w:rPr>
          <w:rFonts w:hint="eastAsia" w:ascii="宋体" w:hAnsi="宋体" w:cs="宋体"/>
          <w:sz w:val="24"/>
          <w:szCs w:val="24"/>
          <w:lang w:val="en-US" w:eastAsia="zh-CN"/>
        </w:rPr>
        <w:t>；</w:t>
      </w:r>
    </w:p>
    <w:p w14:paraId="39735140">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最高打印温度：</w:t>
      </w:r>
      <w:r>
        <w:rPr>
          <w:rFonts w:hint="eastAsia" w:ascii="宋体" w:hAnsi="宋体" w:eastAsia="宋体" w:cs="宋体"/>
          <w:sz w:val="24"/>
          <w:szCs w:val="24"/>
          <w:lang w:val="en-US" w:eastAsia="zh-CN"/>
        </w:rPr>
        <w:t>不低于</w:t>
      </w:r>
      <w:r>
        <w:rPr>
          <w:rFonts w:hint="default" w:ascii="宋体" w:hAnsi="宋体" w:eastAsia="宋体" w:cs="宋体"/>
          <w:sz w:val="24"/>
          <w:szCs w:val="24"/>
          <w:lang w:val="en-US" w:eastAsia="zh-CN"/>
        </w:rPr>
        <w:t>350℃</w:t>
      </w:r>
      <w:r>
        <w:rPr>
          <w:rFonts w:hint="eastAsia" w:ascii="宋体" w:hAnsi="宋体" w:cs="宋体"/>
          <w:sz w:val="24"/>
          <w:szCs w:val="24"/>
          <w:lang w:val="en-US" w:eastAsia="zh-CN"/>
        </w:rPr>
        <w:t>；</w:t>
      </w:r>
    </w:p>
    <w:p w14:paraId="493220D6">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适用场景：适合稳定、长期打印高性能纤维增强材料</w:t>
      </w:r>
      <w:r>
        <w:rPr>
          <w:rFonts w:hint="eastAsia" w:ascii="宋体" w:hAnsi="宋体" w:cs="宋体"/>
          <w:sz w:val="24"/>
          <w:szCs w:val="24"/>
          <w:lang w:val="en-US" w:eastAsia="zh-CN"/>
        </w:rPr>
        <w:t>。</w:t>
      </w:r>
    </w:p>
    <w:p w14:paraId="69073C89">
      <w:pPr>
        <w:pStyle w:val="11"/>
        <w:numPr>
          <w:ilvl w:val="0"/>
          <w:numId w:val="0"/>
        </w:numPr>
        <w:spacing w:line="360" w:lineRule="auto"/>
        <w:outlineLvl w:val="0"/>
        <w:rPr>
          <w:rFonts w:hint="eastAsia" w:ascii="宋体" w:hAnsi="宋体" w:eastAsia="宋体" w:cs="宋体"/>
          <w:sz w:val="28"/>
          <w:highlight w:val="none"/>
          <w:lang w:val="en-US" w:eastAsia="zh-CN"/>
        </w:rPr>
      </w:pPr>
      <w:r>
        <w:rPr>
          <w:rFonts w:hint="eastAsia" w:cs="宋体"/>
          <w:sz w:val="28"/>
          <w:lang w:val="en-US" w:eastAsia="zh-CN"/>
        </w:rPr>
        <w:t>6</w:t>
      </w:r>
      <w:r>
        <w:rPr>
          <w:rFonts w:hint="eastAsia" w:ascii="宋体" w:hAnsi="宋体" w:eastAsia="宋体" w:cs="宋体"/>
          <w:sz w:val="28"/>
          <w:lang w:val="en-US" w:eastAsia="zh-CN"/>
        </w:rPr>
        <w:t>、</w:t>
      </w:r>
      <w:r>
        <w:rPr>
          <w:rFonts w:hint="eastAsia" w:ascii="宋体" w:hAnsi="宋体" w:eastAsia="宋体" w:cs="宋体"/>
          <w:sz w:val="28"/>
          <w:highlight w:val="none"/>
          <w:lang w:val="en-US" w:eastAsia="zh-CN"/>
        </w:rPr>
        <w:t>其他要求</w:t>
      </w:r>
    </w:p>
    <w:p w14:paraId="3A67EB00">
      <w:pPr>
        <w:outlineLvl w:val="1"/>
        <w:rPr>
          <w:rFonts w:hint="eastAsia" w:ascii="宋体" w:hAnsi="宋体" w:eastAsia="宋体" w:cs="宋体"/>
          <w:b/>
          <w:bCs/>
          <w:sz w:val="28"/>
          <w:szCs w:val="36"/>
          <w:highlight w:val="none"/>
          <w:lang w:val="en-US" w:eastAsia="zh-CN"/>
        </w:rPr>
      </w:pPr>
      <w:bookmarkStart w:id="4" w:name="_Toc22581"/>
      <w:r>
        <w:rPr>
          <w:rFonts w:hint="eastAsia" w:ascii="宋体" w:hAnsi="宋体" w:cs="宋体"/>
          <w:b/>
          <w:bCs/>
          <w:sz w:val="28"/>
          <w:szCs w:val="36"/>
          <w:highlight w:val="none"/>
          <w:lang w:val="en-US" w:eastAsia="zh-CN"/>
        </w:rPr>
        <w:t>6</w:t>
      </w:r>
      <w:r>
        <w:rPr>
          <w:rFonts w:hint="eastAsia" w:ascii="宋体" w:hAnsi="宋体" w:eastAsia="宋体" w:cs="宋体"/>
          <w:b/>
          <w:bCs/>
          <w:sz w:val="28"/>
          <w:szCs w:val="36"/>
          <w:highlight w:val="none"/>
          <w:lang w:val="en-US" w:eastAsia="zh-CN"/>
        </w:rPr>
        <w:t>.1</w:t>
      </w:r>
      <w:r>
        <w:rPr>
          <w:rFonts w:hint="eastAsia" w:ascii="宋体" w:hAnsi="宋体" w:eastAsia="宋体" w:cs="宋体"/>
          <w:b/>
          <w:bCs/>
          <w:sz w:val="28"/>
          <w:szCs w:val="36"/>
          <w:highlight w:val="none"/>
          <w:lang w:eastAsia="zh-CN"/>
        </w:rPr>
        <w:t>报价人</w:t>
      </w:r>
      <w:r>
        <w:rPr>
          <w:rFonts w:hint="eastAsia" w:ascii="宋体" w:hAnsi="宋体" w:eastAsia="宋体" w:cs="宋体"/>
          <w:b/>
          <w:bCs/>
          <w:sz w:val="28"/>
          <w:szCs w:val="36"/>
          <w:highlight w:val="none"/>
        </w:rPr>
        <w:t>的责任</w:t>
      </w:r>
      <w:bookmarkEnd w:id="4"/>
      <w:r>
        <w:rPr>
          <w:rFonts w:hint="eastAsia" w:ascii="宋体" w:hAnsi="宋体" w:eastAsia="宋体" w:cs="宋体"/>
          <w:b/>
          <w:bCs/>
          <w:sz w:val="28"/>
          <w:szCs w:val="36"/>
          <w:highlight w:val="none"/>
          <w:lang w:val="en-US" w:eastAsia="zh-CN"/>
        </w:rPr>
        <w:t>要求</w:t>
      </w:r>
    </w:p>
    <w:p w14:paraId="5B7AF491">
      <w:pPr>
        <w:numPr>
          <w:ilvl w:val="0"/>
          <w:numId w:val="5"/>
        </w:num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按照合同约定，</w:t>
      </w:r>
      <w:r>
        <w:rPr>
          <w:rFonts w:hint="eastAsia" w:ascii="宋体" w:hAnsi="宋体" w:cs="宋体"/>
          <w:sz w:val="24"/>
          <w:szCs w:val="22"/>
          <w:highlight w:val="none"/>
          <w:lang w:val="en-US" w:eastAsia="zh-CN"/>
        </w:rPr>
        <w:t>提供采购人所需的设备</w:t>
      </w:r>
      <w:r>
        <w:rPr>
          <w:rFonts w:hint="eastAsia" w:ascii="宋体" w:hAnsi="宋体" w:eastAsia="宋体" w:cs="宋体"/>
          <w:sz w:val="24"/>
          <w:szCs w:val="22"/>
          <w:highlight w:val="none"/>
        </w:rPr>
        <w:t>。</w:t>
      </w:r>
    </w:p>
    <w:p w14:paraId="5CEB6C5D">
      <w:pPr>
        <w:numPr>
          <w:ilvl w:val="0"/>
          <w:numId w:val="5"/>
        </w:num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lang w:eastAsia="zh-CN"/>
        </w:rPr>
        <w:t>报价人</w:t>
      </w:r>
      <w:r>
        <w:rPr>
          <w:rFonts w:hint="eastAsia" w:ascii="宋体" w:hAnsi="宋体" w:eastAsia="宋体" w:cs="宋体"/>
          <w:sz w:val="24"/>
          <w:szCs w:val="22"/>
          <w:highlight w:val="none"/>
        </w:rPr>
        <w:t>负责</w:t>
      </w:r>
      <w:r>
        <w:rPr>
          <w:rFonts w:hint="eastAsia" w:ascii="宋体" w:hAnsi="宋体" w:cs="宋体"/>
          <w:sz w:val="24"/>
          <w:szCs w:val="22"/>
          <w:highlight w:val="none"/>
          <w:lang w:val="en-US" w:eastAsia="zh-CN"/>
        </w:rPr>
        <w:t>产品</w:t>
      </w:r>
      <w:r>
        <w:rPr>
          <w:rFonts w:hint="eastAsia" w:ascii="宋体" w:hAnsi="宋体" w:eastAsia="宋体" w:cs="宋体"/>
          <w:sz w:val="24"/>
          <w:szCs w:val="22"/>
          <w:highlight w:val="none"/>
        </w:rPr>
        <w:t>的质量。若由于</w:t>
      </w:r>
      <w:r>
        <w:rPr>
          <w:rFonts w:hint="eastAsia" w:ascii="宋体" w:hAnsi="宋体" w:eastAsia="宋体" w:cs="宋体"/>
          <w:sz w:val="24"/>
          <w:szCs w:val="22"/>
          <w:highlight w:val="none"/>
          <w:lang w:eastAsia="zh-CN"/>
        </w:rPr>
        <w:t>报价人</w:t>
      </w:r>
      <w:r>
        <w:rPr>
          <w:rFonts w:hint="eastAsia" w:ascii="宋体" w:hAnsi="宋体" w:eastAsia="宋体" w:cs="宋体"/>
          <w:sz w:val="24"/>
          <w:szCs w:val="22"/>
          <w:highlight w:val="none"/>
        </w:rPr>
        <w:t>自身原因出现了</w:t>
      </w:r>
      <w:r>
        <w:rPr>
          <w:rFonts w:hint="eastAsia" w:ascii="宋体" w:hAnsi="宋体" w:cs="宋体"/>
          <w:sz w:val="24"/>
          <w:szCs w:val="22"/>
          <w:highlight w:val="none"/>
          <w:lang w:val="en-US" w:eastAsia="zh-CN"/>
        </w:rPr>
        <w:t>质量问题，</w:t>
      </w:r>
      <w:r>
        <w:rPr>
          <w:rFonts w:hint="eastAsia" w:ascii="宋体" w:hAnsi="宋体" w:eastAsia="宋体" w:cs="宋体"/>
          <w:sz w:val="24"/>
          <w:szCs w:val="22"/>
          <w:highlight w:val="none"/>
        </w:rPr>
        <w:t>由</w:t>
      </w:r>
      <w:r>
        <w:rPr>
          <w:rFonts w:hint="eastAsia" w:ascii="宋体" w:hAnsi="宋体" w:eastAsia="宋体" w:cs="宋体"/>
          <w:sz w:val="24"/>
          <w:szCs w:val="22"/>
          <w:highlight w:val="none"/>
          <w:lang w:eastAsia="zh-CN"/>
        </w:rPr>
        <w:t>报价人</w:t>
      </w:r>
      <w:r>
        <w:rPr>
          <w:rFonts w:hint="eastAsia" w:ascii="宋体" w:hAnsi="宋体" w:eastAsia="宋体" w:cs="宋体"/>
          <w:sz w:val="24"/>
          <w:szCs w:val="22"/>
          <w:highlight w:val="none"/>
        </w:rPr>
        <w:t>负责。</w:t>
      </w:r>
    </w:p>
    <w:p w14:paraId="48E4522B">
      <w:pPr>
        <w:numPr>
          <w:ilvl w:val="0"/>
          <w:numId w:val="5"/>
        </w:num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本项目不得转让或分包，如违约转让或分包，由</w:t>
      </w:r>
      <w:r>
        <w:rPr>
          <w:rFonts w:hint="eastAsia" w:ascii="宋体" w:hAnsi="宋体" w:eastAsia="宋体" w:cs="宋体"/>
          <w:sz w:val="24"/>
          <w:szCs w:val="22"/>
          <w:highlight w:val="none"/>
          <w:lang w:eastAsia="zh-CN"/>
        </w:rPr>
        <w:t>报价人</w:t>
      </w:r>
      <w:r>
        <w:rPr>
          <w:rFonts w:hint="eastAsia" w:ascii="宋体" w:hAnsi="宋体" w:eastAsia="宋体" w:cs="宋体"/>
          <w:sz w:val="24"/>
          <w:szCs w:val="22"/>
          <w:highlight w:val="none"/>
        </w:rPr>
        <w:t>承担违约责任。</w:t>
      </w:r>
    </w:p>
    <w:p w14:paraId="2CC6725A">
      <w:pPr>
        <w:outlineLvl w:val="1"/>
        <w:rPr>
          <w:rFonts w:hint="eastAsia" w:ascii="宋体" w:hAnsi="宋体" w:eastAsia="宋体" w:cs="宋体"/>
          <w:b/>
          <w:bCs/>
          <w:sz w:val="28"/>
          <w:szCs w:val="36"/>
          <w:highlight w:val="none"/>
          <w:lang w:val="en-US" w:eastAsia="zh-CN"/>
        </w:rPr>
      </w:pPr>
      <w:bookmarkStart w:id="5" w:name="_Toc8439"/>
      <w:r>
        <w:rPr>
          <w:rFonts w:hint="eastAsia" w:ascii="宋体" w:hAnsi="宋体" w:cs="宋体"/>
          <w:b/>
          <w:bCs/>
          <w:sz w:val="28"/>
          <w:szCs w:val="36"/>
          <w:highlight w:val="none"/>
          <w:lang w:val="en-US" w:eastAsia="zh-CN"/>
        </w:rPr>
        <w:t>6</w:t>
      </w:r>
      <w:r>
        <w:rPr>
          <w:rFonts w:hint="eastAsia" w:ascii="宋体" w:hAnsi="宋体" w:eastAsia="宋体" w:cs="宋体"/>
          <w:b/>
          <w:bCs/>
          <w:sz w:val="28"/>
          <w:szCs w:val="36"/>
          <w:highlight w:val="none"/>
        </w:rPr>
        <w:t>.</w:t>
      </w:r>
      <w:bookmarkEnd w:id="5"/>
      <w:bookmarkStart w:id="6" w:name="_Toc14590"/>
      <w:r>
        <w:rPr>
          <w:rFonts w:hint="eastAsia" w:ascii="宋体" w:hAnsi="宋体" w:eastAsia="宋体" w:cs="宋体"/>
          <w:b/>
          <w:bCs/>
          <w:sz w:val="28"/>
          <w:szCs w:val="36"/>
          <w:highlight w:val="none"/>
          <w:lang w:val="en-US" w:eastAsia="zh-CN"/>
        </w:rPr>
        <w:t>2</w:t>
      </w:r>
      <w:bookmarkEnd w:id="6"/>
      <w:r>
        <w:rPr>
          <w:rFonts w:hint="eastAsia" w:ascii="宋体" w:hAnsi="宋体" w:eastAsia="宋体" w:cs="宋体"/>
          <w:b/>
          <w:bCs/>
          <w:sz w:val="28"/>
          <w:szCs w:val="36"/>
          <w:highlight w:val="none"/>
          <w:lang w:val="en-US" w:eastAsia="zh-CN"/>
        </w:rPr>
        <w:t>进度要求</w:t>
      </w:r>
    </w:p>
    <w:p w14:paraId="5D8C01C8">
      <w:pPr>
        <w:numPr>
          <w:ilvl w:val="0"/>
          <w:numId w:val="6"/>
        </w:num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lang w:eastAsia="zh-CN"/>
        </w:rPr>
        <w:t>报价人</w:t>
      </w:r>
      <w:r>
        <w:rPr>
          <w:rFonts w:hint="eastAsia" w:ascii="宋体" w:hAnsi="宋体" w:eastAsia="宋体" w:cs="宋体"/>
          <w:sz w:val="24"/>
          <w:highlight w:val="none"/>
        </w:rPr>
        <w:t>必须按照协议书约定的结束日期或经</w:t>
      </w:r>
      <w:r>
        <w:rPr>
          <w:rFonts w:hint="eastAsia" w:ascii="宋体" w:hAnsi="宋体" w:eastAsia="宋体" w:cs="宋体"/>
          <w:sz w:val="24"/>
          <w:highlight w:val="none"/>
          <w:lang w:eastAsia="zh-CN"/>
        </w:rPr>
        <w:t>采购人</w:t>
      </w:r>
      <w:r>
        <w:rPr>
          <w:rFonts w:hint="eastAsia" w:ascii="宋体" w:hAnsi="宋体" w:eastAsia="宋体" w:cs="宋体"/>
          <w:sz w:val="24"/>
          <w:highlight w:val="none"/>
        </w:rPr>
        <w:t>同意顺延的计划完成项目。</w:t>
      </w:r>
    </w:p>
    <w:p w14:paraId="7F090CF0">
      <w:pPr>
        <w:numPr>
          <w:ilvl w:val="0"/>
          <w:numId w:val="6"/>
        </w:num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因</w:t>
      </w:r>
      <w:r>
        <w:rPr>
          <w:rFonts w:hint="eastAsia" w:ascii="宋体" w:hAnsi="宋体" w:eastAsia="宋体" w:cs="宋体"/>
          <w:sz w:val="24"/>
          <w:highlight w:val="none"/>
          <w:lang w:eastAsia="zh-CN"/>
        </w:rPr>
        <w:t>报价人</w:t>
      </w:r>
      <w:r>
        <w:rPr>
          <w:rFonts w:hint="eastAsia" w:ascii="宋体" w:hAnsi="宋体" w:eastAsia="宋体" w:cs="宋体"/>
          <w:sz w:val="24"/>
          <w:highlight w:val="none"/>
        </w:rPr>
        <w:t>原因不能按照协议书约定的完成日期或</w:t>
      </w:r>
      <w:r>
        <w:rPr>
          <w:rFonts w:hint="eastAsia" w:ascii="宋体" w:hAnsi="宋体" w:eastAsia="宋体" w:cs="宋体"/>
          <w:sz w:val="24"/>
          <w:highlight w:val="none"/>
          <w:lang w:eastAsia="zh-CN"/>
        </w:rPr>
        <w:t>采购人</w:t>
      </w:r>
      <w:r>
        <w:rPr>
          <w:rFonts w:hint="eastAsia" w:ascii="宋体" w:hAnsi="宋体" w:eastAsia="宋体" w:cs="宋体"/>
          <w:sz w:val="24"/>
          <w:highlight w:val="none"/>
        </w:rPr>
        <w:t>同意顺延的工期完成的，</w:t>
      </w:r>
      <w:r>
        <w:rPr>
          <w:rFonts w:hint="eastAsia" w:ascii="宋体" w:hAnsi="宋体" w:eastAsia="宋体" w:cs="宋体"/>
          <w:sz w:val="24"/>
          <w:highlight w:val="none"/>
          <w:lang w:eastAsia="zh-CN"/>
        </w:rPr>
        <w:t>报价人</w:t>
      </w:r>
      <w:r>
        <w:rPr>
          <w:rFonts w:hint="eastAsia" w:ascii="宋体" w:hAnsi="宋体" w:eastAsia="宋体" w:cs="宋体"/>
          <w:sz w:val="24"/>
          <w:highlight w:val="none"/>
        </w:rPr>
        <w:t>承担违约责任。</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4"/>
        <w:gridCol w:w="3130"/>
        <w:gridCol w:w="4568"/>
      </w:tblGrid>
      <w:tr w14:paraId="51D39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021D5FC8">
            <w:pPr>
              <w:pStyle w:val="5"/>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序号</w:t>
            </w:r>
          </w:p>
        </w:tc>
        <w:tc>
          <w:tcPr>
            <w:tcW w:w="3130" w:type="dxa"/>
            <w:vAlign w:val="center"/>
          </w:tcPr>
          <w:p w14:paraId="0352FD24">
            <w:pPr>
              <w:pStyle w:val="5"/>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完成时间</w:t>
            </w:r>
          </w:p>
        </w:tc>
        <w:tc>
          <w:tcPr>
            <w:tcW w:w="4568" w:type="dxa"/>
            <w:vAlign w:val="center"/>
          </w:tcPr>
          <w:p w14:paraId="5FE1C32D">
            <w:pPr>
              <w:pStyle w:val="5"/>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工作内容</w:t>
            </w:r>
          </w:p>
        </w:tc>
      </w:tr>
      <w:tr w14:paraId="6F7AA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48B0090F">
            <w:pPr>
              <w:pStyle w:val="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w:t>
            </w:r>
          </w:p>
        </w:tc>
        <w:tc>
          <w:tcPr>
            <w:tcW w:w="3130" w:type="dxa"/>
            <w:vAlign w:val="center"/>
          </w:tcPr>
          <w:p w14:paraId="126CDAB7">
            <w:pPr>
              <w:pStyle w:val="2"/>
              <w:numPr>
                <w:ilvl w:val="0"/>
                <w:numId w:val="0"/>
              </w:numPr>
              <w:spacing w:before="0" w:after="0" w:line="360" w:lineRule="auto"/>
              <w:ind w:leftChars="0"/>
              <w:jc w:val="center"/>
              <w:rPr>
                <w:rFonts w:hint="eastAsia" w:ascii="宋体" w:hAnsi="宋体" w:eastAsia="宋体" w:cs="宋体"/>
                <w:b w:val="0"/>
                <w:bCs w:val="0"/>
                <w:kern w:val="2"/>
                <w:sz w:val="21"/>
                <w:szCs w:val="21"/>
                <w:vertAlign w:val="baseline"/>
                <w:lang w:val="en-US" w:eastAsia="zh-CN" w:bidi="ar-SA"/>
              </w:rPr>
            </w:pPr>
            <w:r>
              <w:rPr>
                <w:rFonts w:hint="eastAsia" w:ascii="宋体" w:hAnsi="宋体" w:eastAsia="宋体" w:cs="宋体"/>
                <w:b w:val="0"/>
                <w:bCs w:val="0"/>
                <w:kern w:val="2"/>
                <w:sz w:val="21"/>
                <w:szCs w:val="21"/>
                <w:vertAlign w:val="baseline"/>
                <w:lang w:val="en-US" w:eastAsia="zh-CN" w:bidi="ar-SA"/>
              </w:rPr>
              <w:t>合同签订后30天内</w:t>
            </w:r>
          </w:p>
        </w:tc>
        <w:tc>
          <w:tcPr>
            <w:tcW w:w="4568" w:type="dxa"/>
            <w:vAlign w:val="center"/>
          </w:tcPr>
          <w:p w14:paraId="37631086">
            <w:pPr>
              <w:pStyle w:val="2"/>
              <w:numPr>
                <w:ilvl w:val="0"/>
                <w:numId w:val="0"/>
              </w:numPr>
              <w:spacing w:before="0" w:after="0" w:line="360" w:lineRule="auto"/>
              <w:ind w:leftChars="0"/>
              <w:jc w:val="center"/>
              <w:rPr>
                <w:rFonts w:hint="eastAsia" w:ascii="宋体" w:hAnsi="宋体" w:eastAsia="宋体" w:cs="宋体"/>
                <w:b w:val="0"/>
                <w:bCs w:val="0"/>
                <w:kern w:val="2"/>
                <w:sz w:val="21"/>
                <w:szCs w:val="21"/>
                <w:vertAlign w:val="baseline"/>
                <w:lang w:val="en-US" w:eastAsia="zh-CN" w:bidi="ar-SA"/>
              </w:rPr>
            </w:pPr>
            <w:r>
              <w:rPr>
                <w:rFonts w:hint="eastAsia" w:ascii="宋体" w:hAnsi="宋体" w:eastAsia="宋体" w:cs="宋体"/>
                <w:b w:val="0"/>
                <w:bCs w:val="0"/>
                <w:kern w:val="2"/>
                <w:sz w:val="21"/>
                <w:szCs w:val="21"/>
                <w:vertAlign w:val="baseline"/>
                <w:lang w:val="en-US" w:eastAsia="zh-CN" w:bidi="ar-SA"/>
              </w:rPr>
              <w:t>3D打印机耗材</w:t>
            </w:r>
          </w:p>
        </w:tc>
      </w:tr>
      <w:tr w14:paraId="7BFF8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shd w:val="clear" w:color="auto" w:fill="auto"/>
            <w:vAlign w:val="center"/>
          </w:tcPr>
          <w:p w14:paraId="1EABAEB5">
            <w:pPr>
              <w:pStyle w:val="5"/>
              <w:jc w:val="center"/>
              <w:rPr>
                <w:rFonts w:hint="eastAsia" w:ascii="宋体" w:hAnsi="宋体" w:eastAsia="宋体" w:cs="宋体"/>
                <w:kern w:val="2"/>
                <w:sz w:val="21"/>
                <w:szCs w:val="21"/>
                <w:vertAlign w:val="baseline"/>
                <w:lang w:val="en-US" w:eastAsia="zh-CN" w:bidi="ar-SA"/>
              </w:rPr>
            </w:pPr>
            <w:r>
              <w:rPr>
                <w:rFonts w:hint="eastAsia" w:ascii="宋体" w:hAnsi="宋体" w:eastAsia="宋体" w:cs="宋体"/>
                <w:sz w:val="21"/>
                <w:szCs w:val="21"/>
                <w:vertAlign w:val="baseline"/>
                <w:lang w:val="en-US" w:eastAsia="zh-CN"/>
              </w:rPr>
              <w:t>2</w:t>
            </w:r>
          </w:p>
        </w:tc>
        <w:tc>
          <w:tcPr>
            <w:tcW w:w="3130" w:type="dxa"/>
            <w:shd w:val="clear" w:color="auto" w:fill="auto"/>
            <w:vAlign w:val="center"/>
          </w:tcPr>
          <w:p w14:paraId="1191EC23">
            <w:pPr>
              <w:pStyle w:val="2"/>
              <w:numPr>
                <w:ilvl w:val="0"/>
                <w:numId w:val="0"/>
              </w:numPr>
              <w:spacing w:before="0" w:after="0" w:line="360" w:lineRule="auto"/>
              <w:ind w:leftChars="0"/>
              <w:jc w:val="center"/>
              <w:rPr>
                <w:rFonts w:hint="eastAsia" w:ascii="宋体" w:hAnsi="宋体" w:eastAsia="宋体" w:cs="宋体"/>
                <w:b w:val="0"/>
                <w:bCs w:val="0"/>
                <w:kern w:val="2"/>
                <w:sz w:val="21"/>
                <w:szCs w:val="21"/>
                <w:vertAlign w:val="baseline"/>
                <w:lang w:val="en-US" w:eastAsia="zh-CN" w:bidi="ar-SA"/>
              </w:rPr>
            </w:pPr>
            <w:r>
              <w:rPr>
                <w:rFonts w:hint="eastAsia" w:ascii="宋体" w:hAnsi="宋体" w:eastAsia="宋体" w:cs="宋体"/>
                <w:b w:val="0"/>
                <w:bCs w:val="0"/>
                <w:kern w:val="2"/>
                <w:sz w:val="21"/>
                <w:szCs w:val="21"/>
                <w:vertAlign w:val="baseline"/>
                <w:lang w:val="en-US" w:eastAsia="zh-CN" w:bidi="ar-SA"/>
              </w:rPr>
              <w:t>合同签订后30天内</w:t>
            </w:r>
          </w:p>
        </w:tc>
        <w:tc>
          <w:tcPr>
            <w:tcW w:w="4568" w:type="dxa"/>
            <w:vAlign w:val="center"/>
          </w:tcPr>
          <w:p w14:paraId="48E3D40B">
            <w:pPr>
              <w:pStyle w:val="2"/>
              <w:numPr>
                <w:ilvl w:val="0"/>
                <w:numId w:val="0"/>
              </w:numPr>
              <w:spacing w:before="0" w:after="0" w:line="360" w:lineRule="auto"/>
              <w:ind w:leftChars="0"/>
              <w:jc w:val="center"/>
              <w:rPr>
                <w:rFonts w:hint="eastAsia" w:ascii="宋体" w:hAnsi="宋体" w:eastAsia="宋体" w:cs="宋体"/>
                <w:b w:val="0"/>
                <w:bCs w:val="0"/>
                <w:kern w:val="2"/>
                <w:sz w:val="21"/>
                <w:szCs w:val="21"/>
                <w:vertAlign w:val="baseline"/>
                <w:lang w:val="en-US" w:eastAsia="zh-CN" w:bidi="ar-SA"/>
              </w:rPr>
            </w:pPr>
            <w:r>
              <w:rPr>
                <w:rFonts w:hint="eastAsia" w:ascii="宋体" w:hAnsi="宋体" w:eastAsia="宋体" w:cs="宋体"/>
                <w:b w:val="0"/>
                <w:bCs w:val="0"/>
                <w:kern w:val="2"/>
                <w:sz w:val="21"/>
                <w:szCs w:val="21"/>
                <w:vertAlign w:val="baseline"/>
                <w:lang w:val="en-US" w:eastAsia="zh-CN" w:bidi="ar-SA"/>
              </w:rPr>
              <w:t>硬化钢不锈钢热端喷嘴</w:t>
            </w:r>
          </w:p>
        </w:tc>
      </w:tr>
    </w:tbl>
    <w:p w14:paraId="7CF34634">
      <w:pPr>
        <w:pStyle w:val="5"/>
        <w:rPr>
          <w:rFonts w:hint="eastAsia"/>
        </w:rPr>
      </w:pPr>
    </w:p>
    <w:p w14:paraId="32A7B528">
      <w:pPr>
        <w:pStyle w:val="2"/>
        <w:rPr>
          <w:rFonts w:hint="eastAsia" w:ascii="宋体" w:hAnsi="宋体" w:eastAsia="宋体" w:cs="宋体"/>
          <w:szCs w:val="24"/>
          <w:highlight w:val="none"/>
          <w:lang w:val="en-US" w:eastAsia="zh-CN"/>
        </w:rPr>
      </w:pPr>
      <w:bookmarkStart w:id="7" w:name="_Toc7601"/>
      <w:r>
        <w:rPr>
          <w:rFonts w:hint="eastAsia" w:ascii="宋体" w:hAnsi="宋体" w:cs="宋体"/>
          <w:b/>
          <w:bCs/>
          <w:sz w:val="28"/>
          <w:szCs w:val="36"/>
          <w:highlight w:val="none"/>
          <w:lang w:val="en-US" w:eastAsia="zh-CN"/>
        </w:rPr>
        <w:t>6</w:t>
      </w:r>
      <w:r>
        <w:rPr>
          <w:rFonts w:hint="eastAsia" w:ascii="宋体" w:hAnsi="宋体" w:eastAsia="宋体" w:cs="宋体"/>
          <w:b/>
          <w:bCs/>
          <w:sz w:val="28"/>
          <w:szCs w:val="36"/>
          <w:highlight w:val="none"/>
        </w:rPr>
        <w:t>.</w:t>
      </w:r>
      <w:r>
        <w:rPr>
          <w:rFonts w:hint="eastAsia" w:ascii="宋体" w:hAnsi="宋体" w:eastAsia="宋体" w:cs="宋体"/>
          <w:b/>
          <w:bCs/>
          <w:sz w:val="28"/>
          <w:szCs w:val="36"/>
          <w:highlight w:val="none"/>
          <w:lang w:val="en-US" w:eastAsia="zh-CN"/>
        </w:rPr>
        <w:t>3</w:t>
      </w:r>
      <w:bookmarkEnd w:id="7"/>
      <w:r>
        <w:rPr>
          <w:rFonts w:hint="eastAsia" w:ascii="宋体" w:hAnsi="宋体" w:eastAsia="宋体" w:cs="宋体"/>
          <w:szCs w:val="24"/>
          <w:highlight w:val="none"/>
          <w:lang w:val="en-US" w:eastAsia="zh-CN"/>
        </w:rPr>
        <w:t>设备验收</w:t>
      </w:r>
    </w:p>
    <w:p w14:paraId="1202CC33">
      <w:pPr>
        <w:keepNext w:val="0"/>
        <w:keepLines w:val="0"/>
        <w:pageBreakBefore w:val="0"/>
        <w:widowControl w:val="0"/>
        <w:numPr>
          <w:ilvl w:val="-1"/>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中标方应在合同规定时间内，将招标范围内所界定的工作完成，并将完整的成套设备及附件和技术文件通过双方认可的验收后，交付给采购的分子公司，其中包括：</w:t>
      </w:r>
    </w:p>
    <w:p w14:paraId="5B96F096">
      <w:pPr>
        <w:numPr>
          <w:ilvl w:val="0"/>
          <w:numId w:val="7"/>
        </w:num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满足本文件的项目目标和相应的技术要求、业务要求的完整的可最终良好运行的设备和附件；</w:t>
      </w:r>
    </w:p>
    <w:p w14:paraId="3A456FC6">
      <w:pPr>
        <w:numPr>
          <w:ilvl w:val="0"/>
          <w:numId w:val="7"/>
        </w:num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应包括但不限于满足确保设备正常运行所需的操作及维护有关的全套技术文件。</w:t>
      </w:r>
    </w:p>
    <w:p w14:paraId="250D26EB">
      <w:pPr>
        <w:numPr>
          <w:ilvl w:val="0"/>
          <w:numId w:val="7"/>
        </w:num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验收时若发现设备或附件存在由中标方造成的缺陷或不符合本技术条件要求时，中标方应无条件更换设备或附件。</w:t>
      </w:r>
    </w:p>
    <w:p w14:paraId="6DA8F0B7">
      <w:pPr>
        <w:numPr>
          <w:ilvl w:val="0"/>
          <w:numId w:val="7"/>
        </w:num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提供售后服务保证相关证书，包括产品合格证书、产品三包凭证和保修卡。</w:t>
      </w:r>
    </w:p>
    <w:p w14:paraId="563B4BB1">
      <w:pPr>
        <w:numPr>
          <w:ilvl w:val="0"/>
          <w:numId w:val="7"/>
        </w:num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提供产品出厂检测报告。</w:t>
      </w:r>
    </w:p>
    <w:p w14:paraId="176156AA">
      <w:pPr>
        <w:numPr>
          <w:ilvl w:val="0"/>
          <w:numId w:val="7"/>
        </w:num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提供中文操作手册和维护手册。</w:t>
      </w:r>
    </w:p>
    <w:p w14:paraId="4CD33871">
      <w:pPr>
        <w:numPr>
          <w:ilvl w:val="0"/>
          <w:numId w:val="0"/>
        </w:numPr>
        <w:bidi w:val="0"/>
        <w:spacing w:line="360" w:lineRule="auto"/>
        <w:ind w:leftChars="0" w:firstLine="420" w:firstLineChars="200"/>
        <w:rPr>
          <w:rFonts w:hint="eastAsia" w:ascii="宋体" w:hAnsi="宋体" w:cs="宋体"/>
        </w:rPr>
      </w:pPr>
    </w:p>
    <w:p w14:paraId="6A9BC36B">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D10D46"/>
    <w:multiLevelType w:val="multilevel"/>
    <w:tmpl w:val="96D10D46"/>
    <w:lvl w:ilvl="0" w:tentative="0">
      <w:start w:val="1"/>
      <w:numFmt w:val="decimal"/>
      <w:suff w:val="space"/>
      <w:lvlText w:val="5.%1"/>
      <w:lvlJc w:val="left"/>
      <w:pPr>
        <w:tabs>
          <w:tab w:val="left" w:pos="0"/>
        </w:tabs>
        <w:ind w:left="0" w:firstLine="0"/>
      </w:pPr>
      <w:rPr>
        <w:rFonts w:hint="default" w:ascii="Calibri" w:hAnsi="Calibri" w:cs="Calibri"/>
      </w:rPr>
    </w:lvl>
    <w:lvl w:ilvl="1" w:tentative="0">
      <w:start w:val="1"/>
      <w:numFmt w:val="decimal"/>
      <w:isLgl/>
      <w:suff w:val="space"/>
      <w:lvlText w:val="5.%2"/>
      <w:lvlJc w:val="left"/>
      <w:pPr>
        <w:tabs>
          <w:tab w:val="left" w:pos="0"/>
        </w:tabs>
        <w:ind w:left="0" w:firstLine="0"/>
      </w:pPr>
      <w:rPr>
        <w:rFonts w:ascii="Times New Roman" w:hAnsi="Times New Roman" w:cs="Times New Roman"/>
        <w:b w:val="0"/>
        <w:bCs w:val="0"/>
        <w:i w:val="0"/>
        <w:iCs w:val="0"/>
        <w:caps w:val="0"/>
        <w:smallCaps w:val="0"/>
        <w:strike w:val="0"/>
        <w:dstrike w:val="0"/>
        <w:snapToGrid w:val="0"/>
        <w:vanish w:val="0"/>
        <w:color w:val="000000"/>
        <w:spacing w:val="0"/>
        <w:kern w:val="0"/>
        <w:position w:val="0"/>
        <w:szCs w:val="0"/>
        <w:u w:val="none"/>
        <w:vertAlign w:val="baseline"/>
      </w:rPr>
    </w:lvl>
    <w:lvl w:ilvl="2" w:tentative="0">
      <w:start w:val="1"/>
      <w:numFmt w:val="decimal"/>
      <w:pStyle w:val="13"/>
      <w:suff w:val="space"/>
      <w:lvlText w:val="4.%3"/>
      <w:lvlJc w:val="left"/>
      <w:pPr>
        <w:tabs>
          <w:tab w:val="left" w:pos="0"/>
        </w:tabs>
        <w:ind w:left="0" w:firstLine="0"/>
      </w:pPr>
      <w:rPr>
        <w:rFonts w:hint="default" w:ascii="Calibri" w:hAnsi="Calibri" w:cs="Calibri"/>
        <w:b/>
        <w:i w:val="0"/>
      </w:rPr>
    </w:lvl>
    <w:lvl w:ilvl="3" w:tentative="0">
      <w:start w:val="1"/>
      <w:numFmt w:val="decimal"/>
      <w:isLgl/>
      <w:suff w:val="space"/>
      <w:lvlText w:val="%1.%2.%3.%4"/>
      <w:lvlJc w:val="left"/>
      <w:pPr>
        <w:ind w:left="0" w:firstLine="0"/>
      </w:pPr>
      <w:rPr>
        <w:rFonts w:hint="eastAsia"/>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abstractNum w:abstractNumId="1">
    <w:nsid w:val="D1DF7303"/>
    <w:multiLevelType w:val="multilevel"/>
    <w:tmpl w:val="D1DF7303"/>
    <w:lvl w:ilvl="0" w:tentative="0">
      <w:start w:val="1"/>
      <w:numFmt w:val="decimal"/>
      <w:lvlText w:val="4.%1"/>
      <w:lvlJc w:val="left"/>
      <w:pPr>
        <w:ind w:left="425" w:hanging="425"/>
      </w:pPr>
      <w:rPr>
        <w:rFonts w:hint="default" w:ascii="宋体" w:hAnsi="宋体" w:eastAsia="宋体" w:cs="宋体"/>
      </w:rPr>
    </w:lvl>
    <w:lvl w:ilvl="1" w:tentative="0">
      <w:start w:val="1"/>
      <w:numFmt w:val="decimal"/>
      <w:lvlText w:val="%1.%2."/>
      <w:lvlJc w:val="left"/>
      <w:pPr>
        <w:ind w:left="850" w:hanging="453"/>
      </w:pPr>
      <w:rPr>
        <w:rFonts w:hint="default"/>
      </w:rPr>
    </w:lvl>
    <w:lvl w:ilvl="2" w:tentative="0">
      <w:start w:val="1"/>
      <w:numFmt w:val="decimal"/>
      <w:lvlText w:val="%1.%2.%3."/>
      <w:lvlJc w:val="left"/>
      <w:pPr>
        <w:ind w:left="1508" w:hanging="708"/>
      </w:pPr>
      <w:rPr>
        <w:rFonts w:hint="default"/>
      </w:rPr>
    </w:lvl>
    <w:lvl w:ilvl="3" w:tentative="0">
      <w:start w:val="1"/>
      <w:numFmt w:val="decimal"/>
      <w:lvlText w:val="%1.%2.%3.%4."/>
      <w:lvlJc w:val="left"/>
      <w:pPr>
        <w:ind w:left="2053" w:hanging="853"/>
      </w:pPr>
      <w:rPr>
        <w:rFonts w:hint="default"/>
      </w:rPr>
    </w:lvl>
    <w:lvl w:ilvl="4" w:tentative="0">
      <w:start w:val="1"/>
      <w:numFmt w:val="decimal"/>
      <w:lvlText w:val="%1.%2.%3.%4.%5."/>
      <w:lvlJc w:val="left"/>
      <w:pPr>
        <w:ind w:left="2495" w:hanging="895"/>
      </w:pPr>
      <w:rPr>
        <w:rFonts w:hint="default"/>
      </w:rPr>
    </w:lvl>
    <w:lvl w:ilvl="5" w:tentative="0">
      <w:start w:val="1"/>
      <w:numFmt w:val="decimal"/>
      <w:lvlText w:val="%1.%2.%3.%4.%5.%6."/>
      <w:lvlJc w:val="left"/>
      <w:pPr>
        <w:ind w:left="3136" w:hanging="1136"/>
      </w:pPr>
      <w:rPr>
        <w:rFonts w:hint="default"/>
      </w:rPr>
    </w:lvl>
    <w:lvl w:ilvl="6" w:tentative="0">
      <w:start w:val="1"/>
      <w:numFmt w:val="decimal"/>
      <w:lvlText w:val="%1.%2.%3.%4.%5.%6.%7."/>
      <w:lvlJc w:val="left"/>
      <w:pPr>
        <w:ind w:left="3673" w:hanging="1273"/>
      </w:pPr>
      <w:rPr>
        <w:rFonts w:hint="default"/>
      </w:rPr>
    </w:lvl>
    <w:lvl w:ilvl="7" w:tentative="0">
      <w:start w:val="1"/>
      <w:numFmt w:val="decimal"/>
      <w:lvlText w:val="%1.%2.%3.%4.%5.%6.%7.%8."/>
      <w:lvlJc w:val="left"/>
      <w:pPr>
        <w:ind w:left="4218" w:hanging="1418"/>
      </w:pPr>
      <w:rPr>
        <w:rFonts w:hint="default"/>
      </w:rPr>
    </w:lvl>
    <w:lvl w:ilvl="8" w:tentative="0">
      <w:start w:val="1"/>
      <w:numFmt w:val="decimal"/>
      <w:lvlText w:val="%1.%2.%3.%4.%5.%6.%7.%8.%9."/>
      <w:lvlJc w:val="left"/>
      <w:pPr>
        <w:ind w:left="4648" w:hanging="1448"/>
      </w:pPr>
      <w:rPr>
        <w:rFonts w:hint="default"/>
      </w:rPr>
    </w:lvl>
  </w:abstractNum>
  <w:abstractNum w:abstractNumId="2">
    <w:nsid w:val="E4CFB69B"/>
    <w:multiLevelType w:val="singleLevel"/>
    <w:tmpl w:val="E4CFB69B"/>
    <w:lvl w:ilvl="0" w:tentative="0">
      <w:start w:val="1"/>
      <w:numFmt w:val="decimal"/>
      <w:suff w:val="space"/>
      <w:lvlText w:val="(%1)"/>
      <w:lvlJc w:val="left"/>
      <w:pPr>
        <w:ind w:left="425" w:hanging="425"/>
      </w:pPr>
      <w:rPr>
        <w:rFonts w:hint="default"/>
      </w:rPr>
    </w:lvl>
  </w:abstractNum>
  <w:abstractNum w:abstractNumId="3">
    <w:nsid w:val="109FE0A5"/>
    <w:multiLevelType w:val="singleLevel"/>
    <w:tmpl w:val="109FE0A5"/>
    <w:lvl w:ilvl="0" w:tentative="0">
      <w:start w:val="1"/>
      <w:numFmt w:val="decimal"/>
      <w:suff w:val="nothing"/>
      <w:lvlText w:val="（%1）"/>
      <w:lvlJc w:val="left"/>
    </w:lvl>
  </w:abstractNum>
  <w:abstractNum w:abstractNumId="4">
    <w:nsid w:val="321942BF"/>
    <w:multiLevelType w:val="singleLevel"/>
    <w:tmpl w:val="321942BF"/>
    <w:lvl w:ilvl="0" w:tentative="0">
      <w:start w:val="1"/>
      <w:numFmt w:val="decimal"/>
      <w:suff w:val="nothing"/>
      <w:lvlText w:val="（%1）"/>
      <w:lvlJc w:val="left"/>
    </w:lvl>
  </w:abstractNum>
  <w:abstractNum w:abstractNumId="5">
    <w:nsid w:val="4651AC3F"/>
    <w:multiLevelType w:val="singleLevel"/>
    <w:tmpl w:val="4651AC3F"/>
    <w:lvl w:ilvl="0" w:tentative="0">
      <w:start w:val="1"/>
      <w:numFmt w:val="decimal"/>
      <w:suff w:val="nothing"/>
      <w:lvlText w:val="（%1）"/>
      <w:lvlJc w:val="left"/>
    </w:lvl>
  </w:abstractNum>
  <w:abstractNum w:abstractNumId="6">
    <w:nsid w:val="78002039"/>
    <w:multiLevelType w:val="singleLevel"/>
    <w:tmpl w:val="78002039"/>
    <w:lvl w:ilvl="0" w:tentative="0">
      <w:start w:val="1"/>
      <w:numFmt w:val="decimal"/>
      <w:suff w:val="space"/>
      <w:lvlText w:val="(%1)"/>
      <w:lvlJc w:val="left"/>
      <w:pPr>
        <w:ind w:left="425" w:hanging="425"/>
      </w:pPr>
      <w:rPr>
        <w:rFonts w:hint="default"/>
      </w:rPr>
    </w:lvl>
  </w:abstractNum>
  <w:num w:numId="1">
    <w:abstractNumId w:val="0"/>
  </w:num>
  <w:num w:numId="2">
    <w:abstractNumId w:val="1"/>
  </w:num>
  <w:num w:numId="3">
    <w:abstractNumId w:val="2"/>
  </w:num>
  <w:num w:numId="4">
    <w:abstractNumId w:val="6"/>
  </w:num>
  <w:num w:numId="5">
    <w:abstractNumId w:val="5"/>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C83C80"/>
    <w:rsid w:val="034B2E38"/>
    <w:rsid w:val="039B28A3"/>
    <w:rsid w:val="03A72764"/>
    <w:rsid w:val="041B4810"/>
    <w:rsid w:val="04702B56"/>
    <w:rsid w:val="050A0DD5"/>
    <w:rsid w:val="05A56F81"/>
    <w:rsid w:val="060A6FDB"/>
    <w:rsid w:val="066C1A43"/>
    <w:rsid w:val="06F3181D"/>
    <w:rsid w:val="08A54080"/>
    <w:rsid w:val="08DD2784"/>
    <w:rsid w:val="091268D2"/>
    <w:rsid w:val="09712B17"/>
    <w:rsid w:val="0A40746F"/>
    <w:rsid w:val="0A685DF7"/>
    <w:rsid w:val="0A8F7AAE"/>
    <w:rsid w:val="0A922065"/>
    <w:rsid w:val="0BE33B85"/>
    <w:rsid w:val="0C670CE3"/>
    <w:rsid w:val="0CBE5160"/>
    <w:rsid w:val="0DF625B5"/>
    <w:rsid w:val="0EC60A77"/>
    <w:rsid w:val="0EE505E5"/>
    <w:rsid w:val="0F037349"/>
    <w:rsid w:val="0F7E3477"/>
    <w:rsid w:val="102313C5"/>
    <w:rsid w:val="107202AA"/>
    <w:rsid w:val="111F09A5"/>
    <w:rsid w:val="12965764"/>
    <w:rsid w:val="12BF7A30"/>
    <w:rsid w:val="130A686C"/>
    <w:rsid w:val="13385187"/>
    <w:rsid w:val="13897791"/>
    <w:rsid w:val="13A520F1"/>
    <w:rsid w:val="13D6108B"/>
    <w:rsid w:val="143B7F8E"/>
    <w:rsid w:val="15DB2014"/>
    <w:rsid w:val="15E6711C"/>
    <w:rsid w:val="17286CD0"/>
    <w:rsid w:val="17836BED"/>
    <w:rsid w:val="17C62542"/>
    <w:rsid w:val="18950986"/>
    <w:rsid w:val="18E73256"/>
    <w:rsid w:val="19C808E7"/>
    <w:rsid w:val="19ED2D17"/>
    <w:rsid w:val="19FE1C71"/>
    <w:rsid w:val="1A885C21"/>
    <w:rsid w:val="1ABE7B7B"/>
    <w:rsid w:val="1C0263AC"/>
    <w:rsid w:val="1C6B4699"/>
    <w:rsid w:val="1C9200C2"/>
    <w:rsid w:val="1CF218F5"/>
    <w:rsid w:val="1D3249F5"/>
    <w:rsid w:val="1E5F5CBE"/>
    <w:rsid w:val="1E6432D4"/>
    <w:rsid w:val="201E15E0"/>
    <w:rsid w:val="22615013"/>
    <w:rsid w:val="227F48FF"/>
    <w:rsid w:val="22804455"/>
    <w:rsid w:val="23204EEC"/>
    <w:rsid w:val="23C30383"/>
    <w:rsid w:val="25096983"/>
    <w:rsid w:val="27AF0600"/>
    <w:rsid w:val="27F60D15"/>
    <w:rsid w:val="291B1D32"/>
    <w:rsid w:val="29C72969"/>
    <w:rsid w:val="2ADC78A8"/>
    <w:rsid w:val="2BA967CA"/>
    <w:rsid w:val="2C0003B4"/>
    <w:rsid w:val="2C2E2CD8"/>
    <w:rsid w:val="2F5A0F01"/>
    <w:rsid w:val="3005243D"/>
    <w:rsid w:val="309D0C13"/>
    <w:rsid w:val="30B706BA"/>
    <w:rsid w:val="30E91417"/>
    <w:rsid w:val="31EE28F9"/>
    <w:rsid w:val="32654377"/>
    <w:rsid w:val="326C1CFE"/>
    <w:rsid w:val="34ED6160"/>
    <w:rsid w:val="356C76A9"/>
    <w:rsid w:val="35887450"/>
    <w:rsid w:val="37150D55"/>
    <w:rsid w:val="372F13FA"/>
    <w:rsid w:val="37515F68"/>
    <w:rsid w:val="381435CC"/>
    <w:rsid w:val="39762F7A"/>
    <w:rsid w:val="39817709"/>
    <w:rsid w:val="39C724E9"/>
    <w:rsid w:val="39DF3CFF"/>
    <w:rsid w:val="3A4735DB"/>
    <w:rsid w:val="3C184597"/>
    <w:rsid w:val="3C26613B"/>
    <w:rsid w:val="3C53008C"/>
    <w:rsid w:val="3D0F19B9"/>
    <w:rsid w:val="3DFC4A6F"/>
    <w:rsid w:val="3E131268"/>
    <w:rsid w:val="3E8135D7"/>
    <w:rsid w:val="3EDE4585"/>
    <w:rsid w:val="3EE22085"/>
    <w:rsid w:val="3F4D24D3"/>
    <w:rsid w:val="3F9D1F6A"/>
    <w:rsid w:val="3FF95D7C"/>
    <w:rsid w:val="401C5365"/>
    <w:rsid w:val="40534AFF"/>
    <w:rsid w:val="413F7AA0"/>
    <w:rsid w:val="41C757A4"/>
    <w:rsid w:val="42DC297D"/>
    <w:rsid w:val="43A2687D"/>
    <w:rsid w:val="44586B88"/>
    <w:rsid w:val="44967C16"/>
    <w:rsid w:val="46C6602A"/>
    <w:rsid w:val="47131FD0"/>
    <w:rsid w:val="47226FD9"/>
    <w:rsid w:val="47471B82"/>
    <w:rsid w:val="47541888"/>
    <w:rsid w:val="4851401A"/>
    <w:rsid w:val="491F5EC6"/>
    <w:rsid w:val="4A8561FD"/>
    <w:rsid w:val="4B474778"/>
    <w:rsid w:val="4BA555CD"/>
    <w:rsid w:val="4BC418CB"/>
    <w:rsid w:val="4D2910C1"/>
    <w:rsid w:val="4D3857A8"/>
    <w:rsid w:val="4FDF0F5F"/>
    <w:rsid w:val="504563B9"/>
    <w:rsid w:val="51703763"/>
    <w:rsid w:val="51890380"/>
    <w:rsid w:val="51FE4E43"/>
    <w:rsid w:val="53133D6A"/>
    <w:rsid w:val="545033D7"/>
    <w:rsid w:val="55286102"/>
    <w:rsid w:val="558F6181"/>
    <w:rsid w:val="563461C0"/>
    <w:rsid w:val="5711540D"/>
    <w:rsid w:val="573F2C2B"/>
    <w:rsid w:val="57F875D8"/>
    <w:rsid w:val="59C117E6"/>
    <w:rsid w:val="59ED3759"/>
    <w:rsid w:val="59F74948"/>
    <w:rsid w:val="5A1924BD"/>
    <w:rsid w:val="5A5752C7"/>
    <w:rsid w:val="5B1A7364"/>
    <w:rsid w:val="5B490B80"/>
    <w:rsid w:val="5B7E7929"/>
    <w:rsid w:val="5BB22BCA"/>
    <w:rsid w:val="5C2A62A9"/>
    <w:rsid w:val="5C4401FB"/>
    <w:rsid w:val="5DB0643F"/>
    <w:rsid w:val="5DF272AD"/>
    <w:rsid w:val="5F990328"/>
    <w:rsid w:val="60FA4DF7"/>
    <w:rsid w:val="6241413E"/>
    <w:rsid w:val="624B2155"/>
    <w:rsid w:val="629E66A9"/>
    <w:rsid w:val="64B90B25"/>
    <w:rsid w:val="64EF09EB"/>
    <w:rsid w:val="65136487"/>
    <w:rsid w:val="6597225C"/>
    <w:rsid w:val="65C41AE8"/>
    <w:rsid w:val="67E2654F"/>
    <w:rsid w:val="686A10DA"/>
    <w:rsid w:val="6A2B3BF1"/>
    <w:rsid w:val="6AD21E41"/>
    <w:rsid w:val="6AF12BB7"/>
    <w:rsid w:val="6B962A4C"/>
    <w:rsid w:val="6BF42CC8"/>
    <w:rsid w:val="6CAE4CE7"/>
    <w:rsid w:val="6E79493C"/>
    <w:rsid w:val="6FD11419"/>
    <w:rsid w:val="70CE5958"/>
    <w:rsid w:val="70FD7FEB"/>
    <w:rsid w:val="71092E34"/>
    <w:rsid w:val="7191527F"/>
    <w:rsid w:val="719374FA"/>
    <w:rsid w:val="71A55C17"/>
    <w:rsid w:val="7279614B"/>
    <w:rsid w:val="731E31D8"/>
    <w:rsid w:val="74246EF2"/>
    <w:rsid w:val="74DB0D29"/>
    <w:rsid w:val="74EB205D"/>
    <w:rsid w:val="75492FD8"/>
    <w:rsid w:val="755A5A0C"/>
    <w:rsid w:val="75E53D52"/>
    <w:rsid w:val="76290B75"/>
    <w:rsid w:val="76856AB9"/>
    <w:rsid w:val="77185B7F"/>
    <w:rsid w:val="773C1FA3"/>
    <w:rsid w:val="777D7526"/>
    <w:rsid w:val="77EF2BD0"/>
    <w:rsid w:val="78271D19"/>
    <w:rsid w:val="78497340"/>
    <w:rsid w:val="786079EA"/>
    <w:rsid w:val="78B96EEE"/>
    <w:rsid w:val="79A24CA6"/>
    <w:rsid w:val="7AB94F83"/>
    <w:rsid w:val="7C4A508F"/>
    <w:rsid w:val="7CD76680"/>
    <w:rsid w:val="7CE00FA6"/>
    <w:rsid w:val="7DD854A0"/>
    <w:rsid w:val="7E6D4A02"/>
    <w:rsid w:val="7ED625F7"/>
    <w:rsid w:val="7FF57E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qFormat="1" w:uiPriority="99"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2"/>
    <w:basedOn w:val="1"/>
    <w:next w:val="1"/>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3">
    <w:name w:val="heading 3"/>
    <w:basedOn w:val="1"/>
    <w:next w:val="1"/>
    <w:semiHidden/>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624"/>
      <w:jc w:val="left"/>
    </w:pPr>
  </w:style>
  <w:style w:type="paragraph" w:styleId="5">
    <w:name w:val="Body Text"/>
    <w:basedOn w:val="1"/>
    <w:next w:val="6"/>
    <w:qFormat/>
    <w:uiPriority w:val="0"/>
    <w:pPr>
      <w:spacing w:after="120" w:afterLines="0" w:afterAutospacing="0"/>
    </w:pPr>
    <w:rPr>
      <w:kern w:val="2"/>
      <w:sz w:val="21"/>
    </w:rPr>
  </w:style>
  <w:style w:type="paragraph" w:styleId="6">
    <w:name w:val="Title"/>
    <w:basedOn w:val="1"/>
    <w:next w:val="1"/>
    <w:qFormat/>
    <w:uiPriority w:val="0"/>
    <w:pPr>
      <w:spacing w:before="240" w:beforeLines="0" w:beforeAutospacing="0" w:after="60" w:afterLines="0" w:afterAutospacing="0"/>
      <w:jc w:val="center"/>
      <w:outlineLvl w:val="0"/>
    </w:pPr>
    <w:rPr>
      <w:rFonts w:ascii="Arial" w:hAnsi="Arial"/>
      <w:b/>
      <w:kern w:val="2"/>
      <w:sz w:val="32"/>
    </w:rPr>
  </w:style>
  <w:style w:type="paragraph" w:styleId="7">
    <w:name w:val="table of figures"/>
    <w:basedOn w:val="1"/>
    <w:next w:val="1"/>
    <w:unhideWhenUsed/>
    <w:qFormat/>
    <w:uiPriority w:val="99"/>
    <w:pPr>
      <w:spacing w:line="400" w:lineRule="exact"/>
      <w:ind w:left="200" w:leftChars="200" w:hanging="200" w:hangingChars="200"/>
    </w:pPr>
    <w:rPr>
      <w:rFonts w:ascii="Calibri" w:hAnsi="Calibri" w:cs="黑体"/>
      <w:sz w:val="28"/>
      <w:szCs w:val="22"/>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1">
    <w:name w:val="B2"/>
    <w:basedOn w:val="2"/>
    <w:qFormat/>
    <w:uiPriority w:val="0"/>
    <w:pPr>
      <w:spacing w:before="0" w:after="0" w:line="360" w:lineRule="auto"/>
    </w:pPr>
    <w:rPr>
      <w:rFonts w:ascii="宋体" w:hAnsi="宋体" w:eastAsia="宋体" w:cs="宋体"/>
      <w:sz w:val="28"/>
      <w:szCs w:val="28"/>
    </w:rPr>
  </w:style>
  <w:style w:type="paragraph" w:customStyle="1" w:styleId="12">
    <w:name w:val="缩正文"/>
    <w:basedOn w:val="1"/>
    <w:qFormat/>
    <w:uiPriority w:val="0"/>
    <w:pPr>
      <w:ind w:firstLine="420" w:firstLineChars="200"/>
    </w:pPr>
    <w:rPr>
      <w:rFonts w:ascii="宋体" w:hAnsi="宋体" w:eastAsia="宋体" w:cs="宋体"/>
      <w:szCs w:val="21"/>
    </w:rPr>
  </w:style>
  <w:style w:type="paragraph" w:customStyle="1" w:styleId="13">
    <w:name w:val="样式1"/>
    <w:basedOn w:val="1"/>
    <w:qFormat/>
    <w:uiPriority w:val="0"/>
    <w:pPr>
      <w:numPr>
        <w:ilvl w:val="2"/>
        <w:numId w:val="1"/>
      </w:numPr>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1184</Words>
  <Characters>1316</Characters>
  <Lines>0</Lines>
  <Paragraphs>0</Paragraphs>
  <TotalTime>1</TotalTime>
  <ScaleCrop>false</ScaleCrop>
  <LinksUpToDate>false</LinksUpToDate>
  <CharactersWithSpaces>1337</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2025-05-20T08:41:00Z</dcterms:created>
  <dc:creator>NESX</dc:creator>
  <cp:lastModifiedBy>KIKI</cp:lastModifiedBy>
  <dcterms:modified xsi:type="dcterms:W3CDTF">2026-07-09T08:21:38Z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eyJoZGlkIjoiMjgzNmFmYWJjMDJiOTliZDI0ZWFiMmNkNzY2MWU1NTAiLCJ1c2VySWQiOiIzNDE4ODA0MTQifQ==</vt:lpwstr>
  </property>
  <property fmtid="{D5CDD505-2E9C-101B-9397-08002B2CF9AE}" pid="4" name="ICV">
    <vt:lpwstr>6BFBB036046640529B4D504113D66FF8_13</vt:lpwstr>
  </property>
</Properties>
</file>