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5B45DD">
      <w:pPr>
        <w:pStyle w:val="9"/>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32"/>
          <w:szCs w:val="32"/>
          <w:highlight w:val="none"/>
          <w:u w:val="none"/>
          <w:lang w:val="en-US" w:eastAsia="zh-CN"/>
        </w:rPr>
      </w:pPr>
      <w:bookmarkStart w:id="0" w:name="_Toc8445"/>
      <w:r>
        <w:rPr>
          <w:rFonts w:hint="eastAsia" w:asciiTheme="minorEastAsia" w:hAnsiTheme="minorEastAsia" w:eastAsiaTheme="minorEastAsia" w:cstheme="minorEastAsia"/>
          <w:b/>
          <w:bCs/>
          <w:snapToGrid w:val="0"/>
          <w:color w:val="auto"/>
          <w:kern w:val="0"/>
          <w:sz w:val="32"/>
          <w:szCs w:val="32"/>
          <w:highlight w:val="none"/>
          <w:u w:val="none"/>
          <w:lang w:val="en-US" w:eastAsia="zh-CN"/>
        </w:rPr>
        <w:t>附件A.项目信息清单</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（2026-2028年度广州供电局35千伏至110千伏新能源、储能及用户接入系统对侧间隔扩建工程可研及勘察设计框架招标）</w:t>
      </w:r>
    </w:p>
    <w:bookmarkEnd w:id="0"/>
    <w:p w14:paraId="17AFCED0">
      <w:pPr>
        <w:pStyle w:val="9"/>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项目信息</w:t>
      </w:r>
    </w:p>
    <w:p w14:paraId="2DCA5611">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u w:val="none"/>
          <w:lang w:val="en-US" w:eastAsia="zh-CN"/>
        </w:rPr>
      </w:pPr>
      <w:r>
        <w:rPr>
          <w:rFonts w:hint="eastAsia" w:hAnsi="宋体" w:cs="宋体"/>
          <w:b/>
          <w:bCs/>
          <w:snapToGrid w:val="0"/>
          <w:color w:val="auto"/>
          <w:kern w:val="0"/>
          <w:sz w:val="24"/>
          <w:szCs w:val="24"/>
          <w:highlight w:val="none"/>
          <w:u w:val="none"/>
          <w:lang w:val="en-US" w:eastAsia="zh-CN"/>
        </w:rPr>
        <w:t>招标前期资料</w:t>
      </w:r>
    </w:p>
    <w:tbl>
      <w:tblPr>
        <w:tblStyle w:val="13"/>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3783"/>
        <w:gridCol w:w="5250"/>
      </w:tblGrid>
      <w:tr w14:paraId="7D53F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776" w:type="dxa"/>
            <w:noWrap w:val="0"/>
            <w:vAlign w:val="top"/>
          </w:tcPr>
          <w:p w14:paraId="097C96D8">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序号</w:t>
            </w:r>
          </w:p>
        </w:tc>
        <w:tc>
          <w:tcPr>
            <w:tcW w:w="3783" w:type="dxa"/>
            <w:noWrap w:val="0"/>
            <w:vAlign w:val="top"/>
          </w:tcPr>
          <w:p w14:paraId="385124A2">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文件名称</w:t>
            </w:r>
          </w:p>
        </w:tc>
        <w:tc>
          <w:tcPr>
            <w:tcW w:w="5250" w:type="dxa"/>
            <w:noWrap w:val="0"/>
            <w:vAlign w:val="top"/>
          </w:tcPr>
          <w:p w14:paraId="415EC62D">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文件文号</w:t>
            </w:r>
          </w:p>
        </w:tc>
      </w:tr>
      <w:tr w14:paraId="2354F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07867F56">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1</w:t>
            </w:r>
          </w:p>
        </w:tc>
        <w:tc>
          <w:tcPr>
            <w:tcW w:w="3783" w:type="dxa"/>
            <w:noWrap w:val="0"/>
            <w:vAlign w:val="center"/>
          </w:tcPr>
          <w:p w14:paraId="3762ED75">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可研批复文号</w:t>
            </w:r>
          </w:p>
        </w:tc>
        <w:tc>
          <w:tcPr>
            <w:tcW w:w="5250" w:type="dxa"/>
            <w:noWrap w:val="0"/>
            <w:vAlign w:val="center"/>
          </w:tcPr>
          <w:p w14:paraId="036137C3">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snapToGrid w:val="0"/>
                <w:sz w:val="24"/>
                <w:szCs w:val="24"/>
                <w:highlight w:val="none"/>
              </w:rPr>
              <w:t>/</w:t>
            </w:r>
          </w:p>
        </w:tc>
      </w:tr>
      <w:tr w14:paraId="32567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20B91BB0">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2</w:t>
            </w:r>
          </w:p>
        </w:tc>
        <w:tc>
          <w:tcPr>
            <w:tcW w:w="3783" w:type="dxa"/>
            <w:noWrap w:val="0"/>
            <w:vAlign w:val="center"/>
          </w:tcPr>
          <w:p w14:paraId="194C432A">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项目核准/备案文号</w:t>
            </w:r>
          </w:p>
        </w:tc>
        <w:tc>
          <w:tcPr>
            <w:tcW w:w="5250" w:type="dxa"/>
            <w:noWrap w:val="0"/>
            <w:vAlign w:val="center"/>
          </w:tcPr>
          <w:p w14:paraId="392B1302">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snapToGrid w:val="0"/>
                <w:sz w:val="24"/>
                <w:szCs w:val="24"/>
                <w:highlight w:val="none"/>
              </w:rPr>
              <w:t>/</w:t>
            </w:r>
          </w:p>
        </w:tc>
      </w:tr>
      <w:tr w14:paraId="22EEF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57152B37">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3</w:t>
            </w:r>
          </w:p>
        </w:tc>
        <w:tc>
          <w:tcPr>
            <w:tcW w:w="3783" w:type="dxa"/>
            <w:noWrap w:val="0"/>
            <w:vAlign w:val="center"/>
          </w:tcPr>
          <w:p w14:paraId="56C82162">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t>资金落实情况</w:t>
            </w:r>
          </w:p>
        </w:tc>
        <w:tc>
          <w:tcPr>
            <w:tcW w:w="5250" w:type="dxa"/>
            <w:noWrap w:val="0"/>
            <w:vAlign w:val="center"/>
          </w:tcPr>
          <w:p w14:paraId="6532B7B3">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snapToGrid w:val="0"/>
                <w:color w:val="auto"/>
                <w:sz w:val="24"/>
                <w:szCs w:val="24"/>
                <w:highlight w:val="none"/>
              </w:rPr>
              <w:t>穗发改报〔2026〕62号</w:t>
            </w:r>
          </w:p>
        </w:tc>
      </w:tr>
      <w:tr w14:paraId="208C4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09588D6A">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4</w:t>
            </w:r>
          </w:p>
        </w:tc>
        <w:tc>
          <w:tcPr>
            <w:tcW w:w="3783" w:type="dxa"/>
            <w:noWrap w:val="0"/>
            <w:vAlign w:val="center"/>
          </w:tcPr>
          <w:p w14:paraId="7DCCCC09">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项目建设单位</w:t>
            </w:r>
          </w:p>
        </w:tc>
        <w:tc>
          <w:tcPr>
            <w:tcW w:w="5250" w:type="dxa"/>
            <w:noWrap w:val="0"/>
            <w:vAlign w:val="center"/>
          </w:tcPr>
          <w:p w14:paraId="72FCF570">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广东电网有限责任公司广州供电局</w:t>
            </w:r>
          </w:p>
        </w:tc>
      </w:tr>
      <w:tr w14:paraId="0781E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577D3F9A">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5</w:t>
            </w:r>
          </w:p>
        </w:tc>
        <w:tc>
          <w:tcPr>
            <w:tcW w:w="3783" w:type="dxa"/>
            <w:noWrap w:val="0"/>
            <w:vAlign w:val="center"/>
          </w:tcPr>
          <w:p w14:paraId="3B3D72E6">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项目建设地点</w:t>
            </w:r>
          </w:p>
        </w:tc>
        <w:tc>
          <w:tcPr>
            <w:tcW w:w="5250" w:type="dxa"/>
            <w:noWrap w:val="0"/>
            <w:vAlign w:val="center"/>
          </w:tcPr>
          <w:p w14:paraId="2CBF935E">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广州市</w:t>
            </w:r>
          </w:p>
        </w:tc>
      </w:tr>
      <w:tr w14:paraId="5F942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76" w:type="dxa"/>
            <w:noWrap w:val="0"/>
            <w:vAlign w:val="center"/>
          </w:tcPr>
          <w:p w14:paraId="731C961D">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6</w:t>
            </w:r>
          </w:p>
        </w:tc>
        <w:tc>
          <w:tcPr>
            <w:tcW w:w="3783" w:type="dxa"/>
            <w:noWrap w:val="0"/>
            <w:vAlign w:val="center"/>
          </w:tcPr>
          <w:p w14:paraId="379080CA">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工期/服务期</w:t>
            </w:r>
          </w:p>
        </w:tc>
        <w:tc>
          <w:tcPr>
            <w:tcW w:w="5250" w:type="dxa"/>
            <w:noWrap w:val="0"/>
            <w:vAlign w:val="center"/>
          </w:tcPr>
          <w:p w14:paraId="7C6A23C2">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both"/>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合同签订之日起至2028年12月31日</w:t>
            </w:r>
          </w:p>
        </w:tc>
      </w:tr>
    </w:tbl>
    <w:p w14:paraId="555375BE">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4"/>
          <w:szCs w:val="24"/>
          <w:highlight w:val="none"/>
          <w:u w:val="none"/>
          <w:lang w:val="en-US" w:eastAsia="zh-CN"/>
        </w:rPr>
      </w:pPr>
    </w:p>
    <w:p w14:paraId="5F3C6BCE">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u w:val="none"/>
          <w:lang w:val="en-US" w:eastAsia="zh-CN"/>
        </w:rPr>
        <w:t>一、项目概况</w:t>
      </w:r>
    </w:p>
    <w:p w14:paraId="08883C72">
      <w:pPr>
        <w:shd w:val="clear" w:color="auto" w:fill="auto"/>
        <w:spacing w:line="360" w:lineRule="auto"/>
        <w:ind w:firstLine="480" w:firstLineChars="200"/>
        <w:rPr>
          <w:rFonts w:hint="eastAsia" w:asciiTheme="minorEastAsia" w:hAnsiTheme="minorEastAsia" w:eastAsiaTheme="minorEastAsia" w:cstheme="minorEastAsia"/>
          <w:b w:val="0"/>
          <w:bCs w:val="0"/>
          <w:i w:val="0"/>
          <w:iCs/>
          <w:color w:val="auto"/>
          <w:kern w:val="2"/>
          <w:sz w:val="24"/>
          <w:szCs w:val="24"/>
          <w:highlight w:val="none"/>
          <w:u w:val="single"/>
          <w:lang w:val="en-US" w:eastAsia="zh-CN" w:bidi="ar-SA"/>
        </w:rPr>
      </w:pPr>
      <w:r>
        <w:rPr>
          <w:rFonts w:hint="eastAsia" w:asciiTheme="minorEastAsia" w:hAnsiTheme="minorEastAsia" w:eastAsiaTheme="minorEastAsia" w:cstheme="minorEastAsia"/>
          <w:b w:val="0"/>
          <w:bCs w:val="0"/>
          <w:i w:val="0"/>
          <w:iCs/>
          <w:color w:val="auto"/>
          <w:kern w:val="2"/>
          <w:sz w:val="24"/>
          <w:szCs w:val="24"/>
          <w:highlight w:val="none"/>
          <w:u w:val="single"/>
          <w:lang w:val="en-US" w:eastAsia="zh-CN" w:bidi="ar-SA"/>
        </w:rPr>
        <w:t>当前由发电企业或项目投资主体自建的新能源、储能及用户侧配套送出工程，往往具有突发性强、建设周期短的特点。由电网公司投资建设的对侧变电站产权分界点内（即电网资产红线内）的间隔扩建工程，其建设时序难以与电源或用户自建的配套送出工程同步。综上，对于由电网公司负责投资建设的新能源、储能、用户接入系统对侧间隔扩建工程，客观上存在网源协调不同步的矛盾，难以实现同步投产目标。现针对由电网负责建设的新能源、储能及用户接入系统对侧间隔扩建工程的可研勘察设计开展相关框架采购，具体项目数量及项目规模以实际需求为准。</w:t>
      </w:r>
    </w:p>
    <w:p w14:paraId="3D26C83A">
      <w:pPr>
        <w:keepNext w:val="0"/>
        <w:keepLines w:val="0"/>
        <w:pageBreakBefore w:val="0"/>
        <w:kinsoku/>
        <w:wordWrap/>
        <w:overflowPunct/>
        <w:topLinePunct w:val="0"/>
        <w:autoSpaceDE/>
        <w:autoSpaceDN/>
        <w:bidi w:val="0"/>
        <w:adjustRightInd/>
        <w:snapToGrid/>
        <w:spacing w:before="157" w:beforeLines="50" w:after="157" w:afterLines="50"/>
        <w:textAlignment w:val="auto"/>
        <w:rPr>
          <w:rFonts w:hint="eastAsia"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二、招标采购范围</w:t>
      </w:r>
    </w:p>
    <w:p w14:paraId="44A8E61E">
      <w:pPr>
        <w:spacing w:line="360" w:lineRule="auto"/>
        <w:ind w:firstLine="480" w:firstLineChars="200"/>
        <w:rPr>
          <w:rFonts w:hint="eastAsia" w:asciiTheme="minorEastAsia" w:hAnsiTheme="minorEastAsia" w:eastAsiaTheme="minorEastAsia" w:cstheme="minorEastAsia"/>
          <w:b w:val="0"/>
          <w:bCs w:val="0"/>
          <w:i w:val="0"/>
          <w:iCs/>
          <w:color w:val="auto"/>
          <w:kern w:val="2"/>
          <w:sz w:val="24"/>
          <w:szCs w:val="24"/>
          <w:highlight w:val="none"/>
          <w:u w:val="single"/>
          <w:lang w:val="en-US" w:eastAsia="zh-CN" w:bidi="ar-SA"/>
        </w:rPr>
      </w:pPr>
      <w:r>
        <w:rPr>
          <w:rFonts w:hint="eastAsia" w:asciiTheme="minorEastAsia" w:hAnsiTheme="minorEastAsia" w:eastAsiaTheme="minorEastAsia" w:cstheme="minorEastAsia"/>
          <w:b w:val="0"/>
          <w:bCs w:val="0"/>
          <w:i w:val="0"/>
          <w:iCs/>
          <w:color w:val="auto"/>
          <w:kern w:val="2"/>
          <w:sz w:val="24"/>
          <w:szCs w:val="24"/>
          <w:highlight w:val="none"/>
          <w:u w:val="single"/>
          <w:lang w:val="en-US" w:eastAsia="zh-CN" w:bidi="ar-SA"/>
        </w:rPr>
        <w:t>包括（1）可行性研究工作，可研勘察，编制工程可行性研究报告，开展必要的专题研究工作（必要性需经甲方出具文件），协助取得工程涉及相关业主的同意意见等工作；</w:t>
      </w:r>
    </w:p>
    <w:p w14:paraId="73E017B1">
      <w:pPr>
        <w:spacing w:line="360" w:lineRule="auto"/>
        <w:ind w:firstLine="480" w:firstLineChars="200"/>
        <w:rPr>
          <w:rFonts w:hint="eastAsia"/>
          <w:highlight w:val="none"/>
          <w:lang w:val="en-US" w:eastAsia="zh-CN"/>
        </w:rPr>
      </w:pPr>
      <w:r>
        <w:rPr>
          <w:rFonts w:hint="eastAsia" w:asciiTheme="minorEastAsia" w:hAnsiTheme="minorEastAsia" w:eastAsiaTheme="minorEastAsia" w:cstheme="minorEastAsia"/>
          <w:b w:val="0"/>
          <w:bCs w:val="0"/>
          <w:i w:val="0"/>
          <w:iCs/>
          <w:color w:val="auto"/>
          <w:kern w:val="2"/>
          <w:sz w:val="24"/>
          <w:szCs w:val="24"/>
          <w:highlight w:val="none"/>
          <w:u w:val="single"/>
          <w:lang w:val="en-US" w:eastAsia="zh-CN" w:bidi="ar-SA"/>
        </w:rPr>
        <w:t>（2）勘察（包含超前钻，如有 发生，按实结算），初步设计，施工图设计，概算，施工图预算，配合甲方完成施工图预算审查相关工作，并按甲方要求时间提供相应资料，招标配合，施工招标限价初稿编制，配合提供施工招标图纸，现场技术服务，竣工图编制，设计配合结算及总结算报告编制，参加水土保持设施验收会议（参与现场查勘、会议汇报及会上答疑等)，电子化移交，应建设单位要求进行设计单位自身勘察设计工作要求以外的调可研（调投资）和收资工作（如与项目相 关的建设场地清理、管线迁移、科技项目等），使用合法的标准设计和典型造价文件，初步设计审查时按要求提供标准设计和典型造价应用的授权码，按要求在标准设计和典型造价应用管理平台备案和上报相关工程项目资料，协助办理竣工线路复测，物资设备录入，全面开展样板点的标准建设等，以及工程实施过程中相应的设计服务等工作</w:t>
      </w:r>
      <w:r>
        <w:rPr>
          <w:rFonts w:hint="eastAsia" w:ascii="宋体" w:hAnsi="宋体"/>
          <w:color w:val="auto"/>
          <w:sz w:val="24"/>
          <w:szCs w:val="24"/>
          <w:highlight w:val="none"/>
          <w:u w:val="single"/>
        </w:rPr>
        <w:t>。</w:t>
      </w:r>
    </w:p>
    <w:p w14:paraId="3D6DC738">
      <w:pPr>
        <w:pStyle w:val="3"/>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三、报价表</w:t>
      </w:r>
    </w:p>
    <w:tbl>
      <w:tblPr>
        <w:tblStyle w:val="12"/>
        <w:tblW w:w="9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2691"/>
        <w:gridCol w:w="1531"/>
        <w:gridCol w:w="1531"/>
        <w:gridCol w:w="1871"/>
        <w:gridCol w:w="1361"/>
      </w:tblGrid>
      <w:tr w14:paraId="7E335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012" w:type="dxa"/>
            <w:tcBorders>
              <w:tl2br w:val="nil"/>
              <w:tr2bl w:val="nil"/>
            </w:tcBorders>
            <w:vAlign w:val="center"/>
          </w:tcPr>
          <w:p w14:paraId="6727CFFB">
            <w:pPr>
              <w:tabs>
                <w:tab w:val="left" w:pos="900"/>
              </w:tabs>
              <w:snapToGrid w:val="0"/>
              <w:ind w:right="-24"/>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序号</w:t>
            </w:r>
          </w:p>
        </w:tc>
        <w:tc>
          <w:tcPr>
            <w:tcW w:w="2691" w:type="dxa"/>
            <w:tcBorders>
              <w:tl2br w:val="nil"/>
              <w:tr2bl w:val="nil"/>
            </w:tcBorders>
            <w:vAlign w:val="center"/>
          </w:tcPr>
          <w:p w14:paraId="7C7D9595">
            <w:pPr>
              <w:tabs>
                <w:tab w:val="left" w:pos="900"/>
              </w:tabs>
              <w:snapToGrid w:val="0"/>
              <w:ind w:right="-24"/>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标的名称</w:t>
            </w:r>
          </w:p>
        </w:tc>
        <w:tc>
          <w:tcPr>
            <w:tcW w:w="1531" w:type="dxa"/>
            <w:tcBorders>
              <w:tl2br w:val="nil"/>
              <w:tr2bl w:val="nil"/>
            </w:tcBorders>
            <w:vAlign w:val="center"/>
          </w:tcPr>
          <w:p w14:paraId="7AF88555">
            <w:pPr>
              <w:tabs>
                <w:tab w:val="left" w:pos="900"/>
              </w:tabs>
              <w:snapToGrid w:val="0"/>
              <w:spacing w:before="120" w:after="120"/>
              <w:ind w:right="-24"/>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预计发包价(元)</w:t>
            </w:r>
          </w:p>
        </w:tc>
        <w:tc>
          <w:tcPr>
            <w:tcW w:w="1531" w:type="dxa"/>
            <w:tcBorders>
              <w:tl2br w:val="nil"/>
              <w:tr2bl w:val="nil"/>
            </w:tcBorders>
            <w:vAlign w:val="center"/>
          </w:tcPr>
          <w:p w14:paraId="73E39549">
            <w:pPr>
              <w:tabs>
                <w:tab w:val="left" w:pos="900"/>
              </w:tabs>
              <w:snapToGrid w:val="0"/>
              <w:spacing w:before="120" w:after="120"/>
              <w:ind w:right="-24"/>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投标下浮率（%）</w:t>
            </w:r>
          </w:p>
        </w:tc>
        <w:tc>
          <w:tcPr>
            <w:tcW w:w="1871" w:type="dxa"/>
            <w:tcBorders>
              <w:tl2br w:val="nil"/>
              <w:tr2bl w:val="nil"/>
            </w:tcBorders>
            <w:vAlign w:val="center"/>
          </w:tcPr>
          <w:p w14:paraId="1C01452C">
            <w:pPr>
              <w:tabs>
                <w:tab w:val="left" w:pos="900"/>
              </w:tabs>
              <w:snapToGrid w:val="0"/>
              <w:spacing w:before="120" w:after="120"/>
              <w:ind w:right="-24"/>
              <w:jc w:val="center"/>
              <w:rPr>
                <w:rFonts w:ascii="仿宋_GB2312" w:hAnsi="宋体"/>
                <w:b/>
                <w:bCs/>
                <w:color w:val="000000" w:themeColor="text1"/>
                <w:szCs w:val="32"/>
                <w14:textFill>
                  <w14:solidFill>
                    <w14:schemeClr w14:val="tx1"/>
                  </w14:solidFill>
                </w14:textFill>
              </w:rPr>
            </w:pPr>
            <w:r>
              <w:rPr>
                <w:rFonts w:hint="eastAsia" w:ascii="仿宋_GB2312" w:hAnsi="宋体"/>
                <w:b/>
                <w:bCs/>
                <w:color w:val="000000" w:themeColor="text1"/>
                <w:szCs w:val="32"/>
                <w14:textFill>
                  <w14:solidFill>
                    <w14:schemeClr w14:val="tx1"/>
                  </w14:solidFill>
                </w14:textFill>
              </w:rPr>
              <w:t>投标报价</w:t>
            </w:r>
          </w:p>
          <w:p w14:paraId="13508F66">
            <w:pPr>
              <w:tabs>
                <w:tab w:val="left" w:pos="900"/>
              </w:tabs>
              <w:snapToGrid w:val="0"/>
              <w:spacing w:before="120" w:after="120"/>
              <w:ind w:right="-24"/>
              <w:jc w:val="center"/>
              <w:rPr>
                <w:rFonts w:ascii="宋体" w:hAnsi="宋体"/>
                <w:b/>
                <w:bCs/>
                <w:color w:val="000000" w:themeColor="text1"/>
                <w14:textFill>
                  <w14:solidFill>
                    <w14:schemeClr w14:val="tx1"/>
                  </w14:solidFill>
                </w14:textFill>
              </w:rPr>
            </w:pPr>
            <w:r>
              <w:rPr>
                <w:rFonts w:hint="eastAsia" w:ascii="仿宋_GB2312" w:hAnsi="宋体"/>
                <w:b/>
                <w:bCs/>
                <w:color w:val="000000" w:themeColor="text1"/>
                <w:szCs w:val="32"/>
                <w14:textFill>
                  <w14:solidFill>
                    <w14:schemeClr w14:val="tx1"/>
                  </w14:solidFill>
                </w14:textFill>
              </w:rPr>
              <w:t>（元）</w:t>
            </w:r>
          </w:p>
        </w:tc>
        <w:tc>
          <w:tcPr>
            <w:tcW w:w="1361" w:type="dxa"/>
            <w:tcBorders>
              <w:tl2br w:val="nil"/>
              <w:tr2bl w:val="nil"/>
            </w:tcBorders>
            <w:vAlign w:val="center"/>
          </w:tcPr>
          <w:p w14:paraId="7DE2B680">
            <w:pPr>
              <w:tabs>
                <w:tab w:val="left" w:pos="900"/>
              </w:tabs>
              <w:snapToGrid w:val="0"/>
              <w:spacing w:before="120" w:after="120"/>
              <w:ind w:right="-24"/>
              <w:jc w:val="cente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备注</w:t>
            </w:r>
          </w:p>
        </w:tc>
      </w:tr>
      <w:tr w14:paraId="4B46F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4" w:hRule="atLeast"/>
          <w:jc w:val="center"/>
        </w:trPr>
        <w:tc>
          <w:tcPr>
            <w:tcW w:w="1012" w:type="dxa"/>
            <w:tcBorders>
              <w:tl2br w:val="nil"/>
              <w:tr2bl w:val="nil"/>
            </w:tcBorders>
            <w:vAlign w:val="center"/>
          </w:tcPr>
          <w:p w14:paraId="1E707CDC">
            <w:pPr>
              <w:tabs>
                <w:tab w:val="left" w:pos="900"/>
              </w:tabs>
              <w:snapToGrid w:val="0"/>
              <w:spacing w:before="60" w:after="120"/>
              <w:ind w:right="-24"/>
              <w:jc w:val="center"/>
              <w:rPr>
                <w:rFonts w:asciiTheme="minorEastAsia" w:hAnsiTheme="minorEastAsia" w:eastAsiaTheme="minorEastAsia" w:cstheme="minorEastAsia"/>
                <w:snapToGrid w:val="0"/>
                <w:color w:val="000000" w:themeColor="text1"/>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szCs w:val="21"/>
                <w14:textFill>
                  <w14:solidFill>
                    <w14:schemeClr w14:val="tx1"/>
                  </w14:solidFill>
                </w14:textFill>
              </w:rPr>
              <w:t>1</w:t>
            </w:r>
          </w:p>
        </w:tc>
        <w:tc>
          <w:tcPr>
            <w:tcW w:w="2691" w:type="dxa"/>
            <w:tcBorders>
              <w:tl2br w:val="nil"/>
              <w:tr2bl w:val="nil"/>
            </w:tcBorders>
            <w:vAlign w:val="center"/>
          </w:tcPr>
          <w:p w14:paraId="7E4D15D0">
            <w:pPr>
              <w:tabs>
                <w:tab w:val="left" w:pos="900"/>
              </w:tabs>
              <w:snapToGrid w:val="0"/>
              <w:spacing w:before="60" w:after="120"/>
              <w:ind w:right="-24"/>
              <w:jc w:val="center"/>
              <w:rPr>
                <w:rFonts w:asciiTheme="minorEastAsia" w:hAnsiTheme="minorEastAsia" w:eastAsiaTheme="minorEastAsia" w:cstheme="minorEastAsia"/>
                <w:snapToGrid w:val="0"/>
                <w:color w:val="000000" w:themeColor="text1"/>
                <w:szCs w:val="21"/>
                <w14:textFill>
                  <w14:solidFill>
                    <w14:schemeClr w14:val="tx1"/>
                  </w14:solidFill>
                </w14:textFill>
              </w:rPr>
            </w:pPr>
            <w:r>
              <w:rPr>
                <w:rFonts w:hint="eastAsia" w:asciiTheme="minorEastAsia" w:hAnsiTheme="minorEastAsia" w:eastAsiaTheme="minorEastAsia" w:cstheme="minorEastAsia"/>
                <w:snapToGrid w:val="0"/>
                <w:color w:val="000000" w:themeColor="text1"/>
                <w:szCs w:val="21"/>
                <w:highlight w:val="none"/>
                <w:lang w:val="en-US" w:eastAsia="zh-CN"/>
                <w14:textFill>
                  <w14:solidFill>
                    <w14:schemeClr w14:val="tx1"/>
                  </w14:solidFill>
                </w14:textFill>
              </w:rPr>
              <w:t>2026-2028年度广州供电局35千伏至110千伏新能源、储能及用户接入系统对侧间隔扩建工程可研及勘察设计框架招标</w:t>
            </w:r>
            <w:bookmarkStart w:id="1" w:name="_GoBack"/>
            <w:bookmarkEnd w:id="1"/>
          </w:p>
        </w:tc>
        <w:tc>
          <w:tcPr>
            <w:tcW w:w="1531" w:type="dxa"/>
            <w:tcBorders>
              <w:tl2br w:val="nil"/>
              <w:tr2bl w:val="nil"/>
            </w:tcBorders>
            <w:vAlign w:val="center"/>
          </w:tcPr>
          <w:p w14:paraId="58726B7F">
            <w:pPr>
              <w:tabs>
                <w:tab w:val="left" w:pos="900"/>
              </w:tabs>
              <w:snapToGrid w:val="0"/>
              <w:spacing w:before="60" w:after="120"/>
              <w:ind w:right="-24"/>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1560000</w:t>
            </w:r>
          </w:p>
        </w:tc>
        <w:tc>
          <w:tcPr>
            <w:tcW w:w="1531" w:type="dxa"/>
            <w:tcBorders>
              <w:tl2br w:val="nil"/>
              <w:tr2bl w:val="nil"/>
            </w:tcBorders>
            <w:vAlign w:val="center"/>
          </w:tcPr>
          <w:p w14:paraId="12E32457">
            <w:pPr>
              <w:tabs>
                <w:tab w:val="left" w:pos="900"/>
              </w:tabs>
              <w:snapToGrid w:val="0"/>
              <w:spacing w:before="60" w:after="120"/>
              <w:ind w:right="-24"/>
              <w:jc w:val="center"/>
              <w:rPr>
                <w:rFonts w:ascii="宋体" w:hAnsi="宋体"/>
                <w:color w:val="000000" w:themeColor="text1"/>
                <w:u w:val="single"/>
                <w14:textFill>
                  <w14:solidFill>
                    <w14:schemeClr w14:val="tx1"/>
                  </w14:solidFill>
                </w14:textFill>
              </w:rPr>
            </w:pP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w:t>
            </w:r>
          </w:p>
        </w:tc>
        <w:tc>
          <w:tcPr>
            <w:tcW w:w="1871" w:type="dxa"/>
            <w:tcBorders>
              <w:tl2br w:val="nil"/>
              <w:tr2bl w:val="nil"/>
            </w:tcBorders>
          </w:tcPr>
          <w:p w14:paraId="4B82AF39">
            <w:pPr>
              <w:tabs>
                <w:tab w:val="left" w:pos="900"/>
              </w:tabs>
              <w:snapToGrid w:val="0"/>
              <w:spacing w:before="60" w:after="120"/>
              <w:ind w:right="-24"/>
              <w:jc w:val="center"/>
              <w:rPr>
                <w:rFonts w:ascii="宋体" w:hAnsi="宋体"/>
                <w:color w:val="000000" w:themeColor="text1"/>
                <w14:textFill>
                  <w14:solidFill>
                    <w14:schemeClr w14:val="tx1"/>
                  </w14:solidFill>
                </w14:textFill>
              </w:rPr>
            </w:pPr>
          </w:p>
        </w:tc>
        <w:tc>
          <w:tcPr>
            <w:tcW w:w="1361" w:type="dxa"/>
            <w:tcBorders>
              <w:tl2br w:val="nil"/>
              <w:tr2bl w:val="nil"/>
            </w:tcBorders>
            <w:vAlign w:val="center"/>
          </w:tcPr>
          <w:p w14:paraId="6E53D401">
            <w:pPr>
              <w:tabs>
                <w:tab w:val="left" w:pos="900"/>
              </w:tabs>
              <w:snapToGrid w:val="0"/>
              <w:spacing w:before="60" w:after="120"/>
              <w:ind w:right="-24"/>
              <w:jc w:val="center"/>
              <w:rPr>
                <w:rFonts w:ascii="宋体" w:hAnsi="宋体"/>
                <w:color w:val="000000" w:themeColor="text1"/>
                <w14:textFill>
                  <w14:solidFill>
                    <w14:schemeClr w14:val="tx1"/>
                  </w14:solidFill>
                </w14:textFill>
              </w:rPr>
            </w:pPr>
          </w:p>
        </w:tc>
      </w:tr>
    </w:tbl>
    <w:p w14:paraId="58873861">
      <w:pPr>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jc w:val="both"/>
        <w:rPr>
          <w:rFonts w:hint="eastAsia"/>
          <w:highlight w:val="none"/>
          <w:lang w:val="en-US" w:eastAsia="zh-CN"/>
        </w:rPr>
      </w:pPr>
    </w:p>
    <w:p w14:paraId="376D0D1E">
      <w:pPr>
        <w:pStyle w:val="6"/>
        <w:ind w:firstLine="240" w:firstLineChars="100"/>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报价要求：</w:t>
      </w:r>
    </w:p>
    <w:p w14:paraId="705A2C8C">
      <w:pPr>
        <w:pStyle w:val="6"/>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240" w:firstLineChars="100"/>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（1）按下浮率报价（保留两位小数，如8.88%），同时填报投标报价（投标报价=</w:t>
      </w:r>
      <w:r>
        <w:rPr>
          <w:rFonts w:hint="eastAsia" w:ascii="宋体" w:hAnsi="宋体" w:cs="宋体"/>
          <w:color w:val="auto"/>
          <w:kern w:val="2"/>
          <w:sz w:val="24"/>
          <w:szCs w:val="24"/>
          <w:highlight w:val="none"/>
          <w:u w:val="none"/>
          <w:lang w:val="en-US" w:eastAsia="zh-CN" w:bidi="ar-SA"/>
        </w:rPr>
        <w:t>预计发包价</w:t>
      </w:r>
      <w:r>
        <w:rPr>
          <w:rFonts w:hint="eastAsia" w:ascii="宋体" w:hAnsi="宋体" w:eastAsia="宋体" w:cs="宋体"/>
          <w:color w:val="auto"/>
          <w:kern w:val="2"/>
          <w:sz w:val="24"/>
          <w:szCs w:val="24"/>
          <w:highlight w:val="none"/>
          <w:u w:val="none"/>
          <w:lang w:val="en-US" w:eastAsia="zh-CN" w:bidi="ar-SA"/>
        </w:rPr>
        <w:t>*（1-投标下浮率），四舍五入保留两位小数）。当投标报价与投标下浮率计算结果不一致时，以投标下浮率为准，按上述公式修订投标报价。</w:t>
      </w:r>
    </w:p>
    <w:p w14:paraId="43A1E555">
      <w:pPr>
        <w:pStyle w:val="6"/>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240" w:firstLineChars="100"/>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（2）投标下浮率不低于0%为有效报价；当投标下浮率＞</w:t>
      </w:r>
      <w:r>
        <w:rPr>
          <w:rFonts w:hint="eastAsia" w:ascii="宋体" w:hAnsi="宋体" w:cs="宋体"/>
          <w:color w:val="auto"/>
          <w:kern w:val="2"/>
          <w:sz w:val="24"/>
          <w:szCs w:val="24"/>
          <w:highlight w:val="none"/>
          <w:u w:val="none"/>
          <w:lang w:val="en-US" w:eastAsia="zh-CN" w:bidi="ar-SA"/>
        </w:rPr>
        <w:t>20</w:t>
      </w:r>
      <w:r>
        <w:rPr>
          <w:rFonts w:hint="eastAsia" w:ascii="宋体" w:hAnsi="宋体" w:eastAsia="宋体" w:cs="宋体"/>
          <w:color w:val="auto"/>
          <w:kern w:val="2"/>
          <w:sz w:val="24"/>
          <w:szCs w:val="24"/>
          <w:highlight w:val="none"/>
          <w:u w:val="none"/>
          <w:lang w:val="en-US" w:eastAsia="zh-CN" w:bidi="ar-SA"/>
        </w:rPr>
        <w:t>%时应附成本分析报告，充分说明单价和费用的组成、降低成本的合理措施及在其他工程中应用过的经验等，经评审通过后方可视为有效报价。</w:t>
      </w:r>
    </w:p>
    <w:p w14:paraId="0ABF85C7">
      <w:pPr>
        <w:pStyle w:val="6"/>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240" w:firstLineChars="100"/>
        <w:textAlignment w:val="auto"/>
        <w:rPr>
          <w:rFonts w:hint="eastAsia"/>
          <w:highlight w:val="none"/>
          <w:lang w:val="en-US" w:eastAsia="zh-CN"/>
        </w:rPr>
      </w:pPr>
      <w:r>
        <w:rPr>
          <w:rFonts w:hint="eastAsia" w:ascii="宋体" w:hAnsi="宋体" w:eastAsia="宋体" w:cs="宋体"/>
          <w:color w:val="auto"/>
          <w:kern w:val="2"/>
          <w:sz w:val="24"/>
          <w:szCs w:val="24"/>
          <w:highlight w:val="none"/>
          <w:u w:val="none"/>
          <w:lang w:val="en-US" w:eastAsia="zh-CN" w:bidi="ar-SA"/>
        </w:rPr>
        <w:t>（3）价格分计算时，投标人评标价按（100-投标人填写的下浮数值）参与计算。如：下浮率为1.88％时，评标价按（100-1.88）参与计算。</w:t>
      </w:r>
    </w:p>
    <w:p w14:paraId="2050275B">
      <w:pPr>
        <w:pStyle w:val="3"/>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四、结算方式</w:t>
      </w:r>
    </w:p>
    <w:p w14:paraId="625D4FC9">
      <w:pPr>
        <w:spacing w:before="156" w:beforeLines="50" w:after="156" w:afterLines="50" w:line="480" w:lineRule="auto"/>
        <w:ind w:firstLine="480" w:firstLineChars="200"/>
        <w:rPr>
          <w:rFonts w:hint="eastAsia" w:ascii="宋体" w:hAnsi="宋体" w:eastAsia="宋体" w:cs="宋体"/>
          <w:color w:val="auto"/>
          <w:kern w:val="2"/>
          <w:sz w:val="24"/>
          <w:szCs w:val="24"/>
          <w:highlight w:val="none"/>
          <w:u w:val="single"/>
          <w:lang w:val="en-US" w:eastAsia="zh-CN" w:bidi="ar-SA"/>
        </w:rPr>
      </w:pPr>
      <w:r>
        <w:rPr>
          <w:rFonts w:hint="eastAsia" w:asciiTheme="minorEastAsia" w:hAnsiTheme="minorEastAsia" w:eastAsiaTheme="minorEastAsia" w:cstheme="minorEastAsia"/>
          <w:b w:val="0"/>
          <w:bCs w:val="0"/>
          <w:snapToGrid w:val="0"/>
          <w:color w:val="auto"/>
          <w:sz w:val="24"/>
          <w:szCs w:val="24"/>
          <w:u w:val="single"/>
        </w:rPr>
        <w:t>按实结算，结算时按中标结果、依据审定工作量及按照合同结算条款进行结算。</w:t>
      </w:r>
      <w:r>
        <w:rPr>
          <w:rFonts w:hint="eastAsia" w:ascii="宋体" w:hAnsi="宋体" w:eastAsia="宋体" w:cs="宋体"/>
          <w:color w:val="auto"/>
          <w:kern w:val="2"/>
          <w:sz w:val="24"/>
          <w:szCs w:val="24"/>
          <w:highlight w:val="none"/>
          <w:u w:val="single"/>
          <w:lang w:val="en-US" w:eastAsia="zh-CN" w:bidi="ar-SA"/>
        </w:rPr>
        <w:t xml:space="preserve">                                                                      </w:t>
      </w:r>
    </w:p>
    <w:p w14:paraId="33EAAFB8">
      <w:pPr>
        <w:keepNext w:val="0"/>
        <w:keepLines w:val="0"/>
        <w:pageBreakBefore w:val="0"/>
        <w:widowControl w:val="0"/>
        <w:kinsoku/>
        <w:wordWrap/>
        <w:overflowPunct/>
        <w:topLinePunct w:val="0"/>
        <w:autoSpaceDE/>
        <w:autoSpaceDN/>
        <w:bidi w:val="0"/>
        <w:adjustRightInd/>
        <w:snapToGrid/>
        <w:spacing w:before="157" w:beforeLines="50" w:after="157" w:afterLines="50" w:line="480" w:lineRule="auto"/>
        <w:textAlignment w:val="auto"/>
        <w:rPr>
          <w:rFonts w:hint="default"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五、分包要求</w:t>
      </w:r>
    </w:p>
    <w:p w14:paraId="423564F7">
      <w:pPr>
        <w:pStyle w:val="11"/>
        <w:numPr>
          <w:ilvl w:val="0"/>
          <w:numId w:val="0"/>
        </w:numPr>
        <w:rPr>
          <w:rFonts w:hint="eastAsia"/>
          <w:sz w:val="24"/>
          <w:szCs w:val="24"/>
          <w:highlight w:val="none"/>
          <w:lang w:eastAsia="zh-CN"/>
        </w:rPr>
      </w:pPr>
      <w:r>
        <w:rPr>
          <w:rFonts w:hint="default" w:ascii="Wingdings" w:hAnsi="Wingdings" w:cs="Wingdings"/>
          <w:sz w:val="24"/>
          <w:szCs w:val="24"/>
          <w:highlight w:val="none"/>
        </w:rPr>
        <w:sym w:font="Wingdings" w:char="00FE"/>
      </w:r>
      <w:r>
        <w:rPr>
          <w:rFonts w:hint="eastAsia"/>
          <w:sz w:val="24"/>
          <w:szCs w:val="24"/>
          <w:highlight w:val="none"/>
          <w:lang w:eastAsia="zh-CN"/>
        </w:rPr>
        <w:t>不允许分包</w:t>
      </w:r>
    </w:p>
    <w:p w14:paraId="40299240">
      <w:pPr>
        <w:pStyle w:val="11"/>
        <w:numPr>
          <w:ilvl w:val="0"/>
          <w:numId w:val="0"/>
        </w:numPr>
        <w:rPr>
          <w:rFonts w:hint="eastAsia"/>
          <w:sz w:val="24"/>
          <w:szCs w:val="24"/>
          <w:highlight w:val="none"/>
          <w:lang w:eastAsia="zh-CN"/>
        </w:rPr>
      </w:pPr>
      <w:r>
        <w:rPr>
          <w:rFonts w:hint="default" w:ascii="Wingdings" w:hAnsi="Wingdings" w:cs="Wingdings"/>
          <w:sz w:val="24"/>
          <w:szCs w:val="24"/>
          <w:highlight w:val="none"/>
          <w:lang w:eastAsia="zh-CN"/>
        </w:rPr>
        <w:sym w:font="Wingdings" w:char="00A8"/>
      </w:r>
      <w:r>
        <w:rPr>
          <w:rFonts w:hint="eastAsia"/>
          <w:sz w:val="24"/>
          <w:szCs w:val="24"/>
          <w:highlight w:val="none"/>
          <w:lang w:eastAsia="zh-CN"/>
        </w:rPr>
        <w:t>允许分包，但必须符合以下要求：</w:t>
      </w:r>
    </w:p>
    <w:p w14:paraId="6FFF2EC0">
      <w:pPr>
        <w:keepNext w:val="0"/>
        <w:keepLines w:val="0"/>
        <w:pageBreakBefore w:val="0"/>
        <w:widowControl w:val="0"/>
        <w:kinsoku/>
        <w:wordWrap/>
        <w:overflowPunct/>
        <w:topLinePunct w:val="0"/>
        <w:autoSpaceDE/>
        <w:autoSpaceDN/>
        <w:bidi w:val="0"/>
        <w:adjustRightInd/>
        <w:snapToGrid w:val="0"/>
        <w:spacing w:line="560" w:lineRule="atLeast"/>
        <w:textAlignment w:val="auto"/>
        <w:rPr>
          <w:rFonts w:hint="eastAsia" w:asciiTheme="minorEastAsia" w:hAnsiTheme="minorEastAsia" w:eastAsiaTheme="minorEastAsia" w:cstheme="minorEastAsia"/>
          <w:color w:val="auto"/>
          <w:kern w:val="0"/>
          <w:sz w:val="24"/>
          <w:szCs w:val="24"/>
          <w:highlight w:val="none"/>
          <w:lang w:val="en-US" w:eastAsia="zh-CN" w:bidi="ar"/>
        </w:rPr>
      </w:pPr>
      <w:r>
        <w:rPr>
          <w:rFonts w:hint="eastAsia" w:asciiTheme="minorEastAsia" w:hAnsiTheme="minorEastAsia" w:eastAsiaTheme="minorEastAsia" w:cstheme="minorEastAsia"/>
          <w:color w:val="auto"/>
          <w:kern w:val="0"/>
          <w:sz w:val="24"/>
          <w:szCs w:val="24"/>
          <w:highlight w:val="none"/>
          <w:lang w:val="en-US" w:eastAsia="zh-CN" w:bidi="ar"/>
        </w:rPr>
        <w:t>（1）除建设工程主体部分的勘察、设计外，经建设单位书面同意，设计承包单位可以将建设工程其他</w:t>
      </w:r>
      <w:r>
        <w:rPr>
          <w:color w:val="auto"/>
          <w:sz w:val="24"/>
          <w:szCs w:val="24"/>
          <w:highlight w:val="none"/>
        </w:rPr>
        <w:t>非主体</w:t>
      </w:r>
      <w:r>
        <w:rPr>
          <w:rFonts w:hint="eastAsia"/>
          <w:color w:val="auto"/>
          <w:sz w:val="24"/>
          <w:szCs w:val="24"/>
          <w:highlight w:val="none"/>
        </w:rPr>
        <w:t>、非关键</w:t>
      </w:r>
      <w:r>
        <w:rPr>
          <w:rFonts w:hint="eastAsia" w:asciiTheme="minorEastAsia" w:hAnsiTheme="minorEastAsia" w:eastAsiaTheme="minorEastAsia" w:cstheme="minorEastAsia"/>
          <w:color w:val="auto"/>
          <w:kern w:val="0"/>
          <w:sz w:val="24"/>
          <w:szCs w:val="24"/>
          <w:highlight w:val="none"/>
          <w:lang w:val="en-US" w:eastAsia="zh-CN" w:bidi="ar"/>
        </w:rPr>
        <w:t>部分的勘察、设计分包给其他具有相应资质等级的建设工程勘察、设计单位。</w:t>
      </w:r>
    </w:p>
    <w:p w14:paraId="24BA758F">
      <w:pPr>
        <w:keepNext w:val="0"/>
        <w:keepLines w:val="0"/>
        <w:pageBreakBefore w:val="0"/>
        <w:widowControl w:val="0"/>
        <w:kinsoku/>
        <w:wordWrap/>
        <w:overflowPunct/>
        <w:topLinePunct w:val="0"/>
        <w:autoSpaceDE/>
        <w:autoSpaceDN/>
        <w:bidi w:val="0"/>
        <w:adjustRightInd/>
        <w:snapToGrid w:val="0"/>
        <w:spacing w:line="560" w:lineRule="atLeast"/>
        <w:textAlignment w:val="auto"/>
        <w:rPr>
          <w:rFonts w:hint="eastAsia" w:asciiTheme="minorEastAsia" w:hAnsiTheme="minorEastAsia" w:eastAsiaTheme="minorEastAsia" w:cstheme="minorEastAsia"/>
          <w:color w:val="auto"/>
          <w:kern w:val="0"/>
          <w:sz w:val="24"/>
          <w:szCs w:val="24"/>
          <w:highlight w:val="none"/>
          <w:lang w:val="en-US" w:eastAsia="zh-CN" w:bidi="ar"/>
        </w:rPr>
      </w:pPr>
      <w:r>
        <w:rPr>
          <w:rFonts w:hint="eastAsia" w:asciiTheme="minorEastAsia" w:hAnsiTheme="minorEastAsia" w:eastAsiaTheme="minorEastAsia" w:cstheme="minorEastAsia"/>
          <w:color w:val="auto"/>
          <w:kern w:val="0"/>
          <w:sz w:val="24"/>
          <w:szCs w:val="24"/>
          <w:highlight w:val="none"/>
          <w:lang w:val="en-US" w:eastAsia="zh-CN" w:bidi="ar"/>
        </w:rPr>
        <w:t>（2）勘察、设计承包单位不得将承揽的工程勘察、设计业务转包。</w:t>
      </w:r>
    </w:p>
    <w:p w14:paraId="21BF6E71">
      <w:pPr>
        <w:pStyle w:val="9"/>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（3）其他：</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p>
    <w:p w14:paraId="77906A9B">
      <w:pPr>
        <w:rPr>
          <w:rFonts w:hint="eastAsia" w:ascii="宋体" w:hAnsi="宋体" w:eastAsia="宋体" w:cs="宋体"/>
          <w:color w:val="auto"/>
          <w:kern w:val="2"/>
          <w:sz w:val="24"/>
          <w:szCs w:val="24"/>
          <w:highlight w:val="none"/>
          <w:u w:val="single"/>
          <w:lang w:val="en-US" w:eastAsia="zh-CN" w:bidi="ar-SA"/>
        </w:rPr>
      </w:pPr>
    </w:p>
    <w:p w14:paraId="2986D9C0">
      <w:pPr>
        <w:rPr>
          <w:rFonts w:hint="default"/>
          <w:highlight w:val="none"/>
          <w:lang w:val="en-US" w:eastAsia="zh-CN"/>
        </w:rPr>
      </w:pPr>
    </w:p>
    <w:p w14:paraId="3CA10C0E">
      <w:pPr>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br w:type="page"/>
      </w:r>
    </w:p>
    <w:p w14:paraId="49A7E24B">
      <w:pPr>
        <w:pStyle w:val="9"/>
        <w:keepNext w:val="0"/>
        <w:keepLines w:val="0"/>
        <w:pageBreakBefore w:val="0"/>
        <w:widowControl w:val="0"/>
        <w:numPr>
          <w:ilvl w:val="0"/>
          <w:numId w:val="2"/>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技术标准、要求及图纸（对应招标文件 第五章）</w:t>
      </w:r>
    </w:p>
    <w:p w14:paraId="30305F60">
      <w:pPr>
        <w:pStyle w:val="3"/>
        <w:spacing w:before="0" w:after="0" w:line="240" w:lineRule="auto"/>
        <w:rPr>
          <w:rFonts w:hint="eastAsia" w:asciiTheme="minorEastAsia" w:hAnsiTheme="minorEastAsia" w:eastAsiaTheme="minorEastAsia" w:cstheme="minorEastAsia"/>
          <w:i w:val="0"/>
          <w:iCs/>
          <w:color w:val="auto"/>
          <w:sz w:val="24"/>
          <w:szCs w:val="24"/>
          <w:highlight w:val="none"/>
        </w:rPr>
      </w:pPr>
      <w:r>
        <w:rPr>
          <w:rFonts w:hint="eastAsia" w:asciiTheme="minorEastAsia" w:hAnsiTheme="minorEastAsia" w:eastAsiaTheme="minorEastAsia" w:cstheme="minorEastAsia"/>
          <w:i w:val="0"/>
          <w:iCs/>
          <w:color w:val="auto"/>
          <w:sz w:val="24"/>
          <w:szCs w:val="24"/>
          <w:highlight w:val="none"/>
          <w:lang w:eastAsia="zh-CN"/>
        </w:rPr>
        <w:t>一、</w:t>
      </w:r>
      <w:r>
        <w:rPr>
          <w:rFonts w:hint="eastAsia" w:asciiTheme="minorEastAsia" w:hAnsiTheme="minorEastAsia" w:eastAsiaTheme="minorEastAsia" w:cstheme="minorEastAsia"/>
          <w:i w:val="0"/>
          <w:iCs/>
          <w:color w:val="auto"/>
          <w:sz w:val="24"/>
          <w:szCs w:val="24"/>
          <w:highlight w:val="none"/>
        </w:rPr>
        <w:t xml:space="preserve"> 管理规范和技术（规范）标准（</w:t>
      </w:r>
      <w:r>
        <w:rPr>
          <w:rFonts w:hint="eastAsia" w:asciiTheme="minorEastAsia" w:hAnsiTheme="minorEastAsia" w:eastAsiaTheme="minorEastAsia" w:cstheme="minorEastAsia"/>
          <w:i w:val="0"/>
          <w:iCs/>
          <w:color w:val="auto"/>
          <w:sz w:val="24"/>
          <w:szCs w:val="24"/>
          <w:highlight w:val="none"/>
          <w:lang w:eastAsia="zh-CN"/>
        </w:rPr>
        <w:t>详见</w:t>
      </w:r>
      <w:r>
        <w:rPr>
          <w:rFonts w:hint="eastAsia" w:asciiTheme="minorEastAsia" w:hAnsiTheme="minorEastAsia" w:eastAsiaTheme="minorEastAsia" w:cstheme="minorEastAsia"/>
          <w:i w:val="0"/>
          <w:iCs/>
          <w:color w:val="auto"/>
          <w:sz w:val="24"/>
          <w:szCs w:val="24"/>
          <w:highlight w:val="none"/>
        </w:rPr>
        <w:t>合同附件）</w:t>
      </w:r>
    </w:p>
    <w:p w14:paraId="76C92331">
      <w:pPr>
        <w:pStyle w:val="9"/>
        <w:rPr>
          <w:rFonts w:hint="eastAsia" w:asciiTheme="minorEastAsia" w:hAnsiTheme="minorEastAsia" w:eastAsiaTheme="minorEastAsia" w:cstheme="minorEastAsia"/>
          <w:i w:val="0"/>
          <w:iCs/>
          <w:color w:val="auto"/>
          <w:sz w:val="24"/>
          <w:szCs w:val="24"/>
          <w:highlight w:val="none"/>
        </w:rPr>
      </w:pPr>
    </w:p>
    <w:p w14:paraId="46032D89">
      <w:pPr>
        <w:pStyle w:val="3"/>
        <w:spacing w:before="0" w:after="0" w:line="240" w:lineRule="auto"/>
        <w:rPr>
          <w:rFonts w:hint="eastAsia" w:asciiTheme="minorEastAsia" w:hAnsiTheme="minorEastAsia" w:eastAsiaTheme="minorEastAsia" w:cstheme="minorEastAsia"/>
          <w:i w:val="0"/>
          <w:iCs/>
          <w:color w:val="auto"/>
          <w:sz w:val="24"/>
          <w:szCs w:val="24"/>
          <w:highlight w:val="none"/>
        </w:rPr>
      </w:pPr>
      <w:r>
        <w:rPr>
          <w:rFonts w:hint="eastAsia" w:asciiTheme="minorEastAsia" w:hAnsiTheme="minorEastAsia" w:eastAsiaTheme="minorEastAsia" w:cstheme="minorEastAsia"/>
          <w:i w:val="0"/>
          <w:iCs/>
          <w:color w:val="auto"/>
          <w:sz w:val="24"/>
          <w:szCs w:val="24"/>
          <w:highlight w:val="none"/>
          <w:lang w:eastAsia="zh-CN"/>
        </w:rPr>
        <w:t>二、</w:t>
      </w:r>
      <w:r>
        <w:rPr>
          <w:rFonts w:hint="eastAsia" w:asciiTheme="minorEastAsia" w:hAnsiTheme="minorEastAsia" w:eastAsiaTheme="minorEastAsia" w:cstheme="minorEastAsia"/>
          <w:i w:val="0"/>
          <w:iCs/>
          <w:color w:val="auto"/>
          <w:sz w:val="24"/>
          <w:szCs w:val="24"/>
          <w:highlight w:val="none"/>
        </w:rPr>
        <w:t>技术</w:t>
      </w:r>
      <w:r>
        <w:rPr>
          <w:rFonts w:hint="eastAsia" w:asciiTheme="minorEastAsia" w:hAnsiTheme="minorEastAsia" w:eastAsiaTheme="minorEastAsia" w:cstheme="minorEastAsia"/>
          <w:i w:val="0"/>
          <w:iCs/>
          <w:color w:val="auto"/>
          <w:sz w:val="24"/>
          <w:szCs w:val="24"/>
          <w:highlight w:val="none"/>
          <w:lang w:val="en-US" w:eastAsia="zh-CN"/>
        </w:rPr>
        <w:t>及管理</w:t>
      </w:r>
      <w:r>
        <w:rPr>
          <w:rFonts w:hint="eastAsia" w:asciiTheme="minorEastAsia" w:hAnsiTheme="minorEastAsia" w:eastAsiaTheme="minorEastAsia" w:cstheme="minorEastAsia"/>
          <w:i w:val="0"/>
          <w:iCs/>
          <w:color w:val="auto"/>
          <w:sz w:val="24"/>
          <w:szCs w:val="24"/>
          <w:highlight w:val="none"/>
        </w:rPr>
        <w:t>要求</w:t>
      </w:r>
    </w:p>
    <w:p w14:paraId="599EB8F8">
      <w:pPr>
        <w:autoSpaceDE w:val="0"/>
        <w:autoSpaceDN w:val="0"/>
        <w:adjustRightInd w:val="0"/>
        <w:rPr>
          <w:rFonts w:hint="eastAsia" w:asciiTheme="minorEastAsia" w:hAnsiTheme="minorEastAsia" w:eastAsiaTheme="minorEastAsia" w:cstheme="minorEastAsia"/>
          <w:i w:val="0"/>
          <w:iCs/>
          <w:color w:val="auto"/>
          <w:kern w:val="0"/>
          <w:sz w:val="24"/>
          <w:szCs w:val="24"/>
          <w:highlight w:val="none"/>
          <w:lang w:val="zh-CN"/>
        </w:rPr>
      </w:pPr>
      <w:r>
        <w:rPr>
          <w:rFonts w:hint="eastAsia" w:asciiTheme="minorEastAsia" w:hAnsiTheme="minorEastAsia" w:eastAsiaTheme="minorEastAsia" w:cstheme="minorEastAsia"/>
          <w:i w:val="0"/>
          <w:iCs/>
          <w:color w:val="auto"/>
          <w:kern w:val="0"/>
          <w:sz w:val="24"/>
          <w:szCs w:val="24"/>
          <w:highlight w:val="none"/>
          <w:lang w:val="zh-CN"/>
        </w:rPr>
        <w:t>（一）满足南方电网公司基建管理制度、建设单位的质量、环境和职业健康安全管理体系文件、其他有关制度和规定。</w:t>
      </w:r>
    </w:p>
    <w:p w14:paraId="2382A027">
      <w:pPr>
        <w:pStyle w:val="3"/>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val="0"/>
          <w:bCs/>
          <w:i w:val="0"/>
          <w:iCs/>
          <w:color w:val="auto"/>
          <w:kern w:val="0"/>
          <w:sz w:val="24"/>
          <w:szCs w:val="24"/>
          <w:highlight w:val="none"/>
          <w:lang w:val="zh-CN"/>
        </w:rPr>
      </w:pPr>
      <w:r>
        <w:rPr>
          <w:rFonts w:hint="eastAsia" w:asciiTheme="minorEastAsia" w:hAnsiTheme="minorEastAsia" w:eastAsiaTheme="minorEastAsia" w:cstheme="minorEastAsia"/>
          <w:b w:val="0"/>
          <w:bCs/>
          <w:i w:val="0"/>
          <w:iCs/>
          <w:color w:val="auto"/>
          <w:kern w:val="0"/>
          <w:sz w:val="24"/>
          <w:szCs w:val="24"/>
          <w:highlight w:val="none"/>
          <w:lang w:val="zh-CN"/>
        </w:rPr>
        <w:t>（二）符合图纸及技术文件的要求（</w:t>
      </w:r>
      <w:r>
        <w:rPr>
          <w:rFonts w:hint="eastAsia" w:asciiTheme="minorEastAsia" w:hAnsiTheme="minorEastAsia" w:eastAsiaTheme="minorEastAsia" w:cstheme="minorEastAsia"/>
          <w:b w:val="0"/>
          <w:bCs/>
          <w:i w:val="0"/>
          <w:iCs/>
          <w:color w:val="auto"/>
          <w:kern w:val="0"/>
          <w:sz w:val="24"/>
          <w:szCs w:val="24"/>
          <w:highlight w:val="none"/>
          <w:lang w:val="en-US" w:eastAsia="zh-CN"/>
        </w:rPr>
        <w:t>如有，详见招标文件附件）</w:t>
      </w:r>
      <w:r>
        <w:rPr>
          <w:rFonts w:hint="eastAsia" w:asciiTheme="minorEastAsia" w:hAnsiTheme="minorEastAsia" w:eastAsiaTheme="minorEastAsia" w:cstheme="minorEastAsia"/>
          <w:b w:val="0"/>
          <w:bCs/>
          <w:i w:val="0"/>
          <w:iCs/>
          <w:color w:val="auto"/>
          <w:kern w:val="0"/>
          <w:sz w:val="24"/>
          <w:szCs w:val="24"/>
          <w:highlight w:val="none"/>
          <w:lang w:val="zh-CN"/>
        </w:rPr>
        <w:t>。</w:t>
      </w:r>
    </w:p>
    <w:p w14:paraId="1F7AE66E">
      <w:pPr>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5BB95EC7">
      <w:pPr>
        <w:pStyle w:val="9"/>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28"/>
          <w:szCs w:val="28"/>
          <w:highlight w:val="none"/>
          <w:u w:val="none"/>
          <w:lang w:val="en-US" w:eastAsia="zh-CN"/>
        </w:rPr>
      </w:pPr>
    </w:p>
    <w:p w14:paraId="6BB08C54">
      <w:pPr>
        <w:rPr>
          <w:rFonts w:hint="eastAsia" w:ascii="宋体" w:hAnsi="宋体" w:eastAsia="宋体" w:cs="宋体"/>
          <w:color w:val="auto"/>
          <w:sz w:val="24"/>
          <w:szCs w:val="24"/>
          <w:highlight w:val="none"/>
          <w:u w:val="single"/>
          <w:vertAlign w:val="baseline"/>
          <w:lang w:val="en-US" w:eastAsia="zh-CN"/>
        </w:rPr>
      </w:pPr>
    </w:p>
    <w:p w14:paraId="3D5C8E6E">
      <w:pPr>
        <w:pStyle w:val="9"/>
        <w:keepNext w:val="0"/>
        <w:keepLines w:val="0"/>
        <w:pageBreakBefore w:val="0"/>
        <w:widowControl w:val="0"/>
        <w:kinsoku/>
        <w:wordWrap/>
        <w:overflowPunct/>
        <w:topLinePunct w:val="0"/>
        <w:autoSpaceDE/>
        <w:autoSpaceDN/>
        <w:bidi w:val="0"/>
        <w:adjustRightInd/>
        <w:snapToGrid/>
        <w:spacing w:line="480" w:lineRule="atLeast"/>
        <w:textAlignment w:val="auto"/>
        <w:rPr>
          <w:rFonts w:hint="eastAsia" w:ascii="宋体" w:hAnsi="宋体" w:eastAsia="宋体" w:cs="宋体"/>
          <w:color w:val="auto"/>
          <w:sz w:val="24"/>
          <w:szCs w:val="24"/>
          <w:highlight w:val="none"/>
          <w:u w:val="single"/>
          <w:lang w:val="en-US" w:eastAsia="zh-CN"/>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EE20F8"/>
    <w:multiLevelType w:val="singleLevel"/>
    <w:tmpl w:val="EAEE20F8"/>
    <w:lvl w:ilvl="0" w:tentative="0">
      <w:start w:val="2"/>
      <w:numFmt w:val="chineseCounting"/>
      <w:suff w:val="nothing"/>
      <w:lvlText w:val="第%1部分."/>
      <w:lvlJc w:val="left"/>
      <w:rPr>
        <w:rFonts w:hint="eastAsia"/>
      </w:rPr>
    </w:lvl>
  </w:abstractNum>
  <w:abstractNum w:abstractNumId="1">
    <w:nsid w:val="0D7920FF"/>
    <w:multiLevelType w:val="singleLevel"/>
    <w:tmpl w:val="0D7920FF"/>
    <w:lvl w:ilvl="0" w:tentative="0">
      <w:start w:val="1"/>
      <w:numFmt w:val="chineseCounting"/>
      <w:suff w:val="nothing"/>
      <w:lvlText w:val="第%1部分."/>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F737D8"/>
    <w:rsid w:val="001270A5"/>
    <w:rsid w:val="007A4AD7"/>
    <w:rsid w:val="016D037B"/>
    <w:rsid w:val="04A24F71"/>
    <w:rsid w:val="04B73549"/>
    <w:rsid w:val="05817C07"/>
    <w:rsid w:val="05EC7950"/>
    <w:rsid w:val="075F78B6"/>
    <w:rsid w:val="076F3B3B"/>
    <w:rsid w:val="07CA37DF"/>
    <w:rsid w:val="07CE18DD"/>
    <w:rsid w:val="09285011"/>
    <w:rsid w:val="09CB07BB"/>
    <w:rsid w:val="0AFD4F98"/>
    <w:rsid w:val="0BC07002"/>
    <w:rsid w:val="0C632966"/>
    <w:rsid w:val="0E2F4C02"/>
    <w:rsid w:val="0E3616E0"/>
    <w:rsid w:val="0E904D87"/>
    <w:rsid w:val="0F81532F"/>
    <w:rsid w:val="104014F1"/>
    <w:rsid w:val="107144D2"/>
    <w:rsid w:val="10E7084B"/>
    <w:rsid w:val="116419AD"/>
    <w:rsid w:val="11DF6CFE"/>
    <w:rsid w:val="13383335"/>
    <w:rsid w:val="14440D4B"/>
    <w:rsid w:val="148B3088"/>
    <w:rsid w:val="14B666F3"/>
    <w:rsid w:val="15056A61"/>
    <w:rsid w:val="15D94F1F"/>
    <w:rsid w:val="16AD03B2"/>
    <w:rsid w:val="18E57496"/>
    <w:rsid w:val="1A386933"/>
    <w:rsid w:val="1A4F176B"/>
    <w:rsid w:val="1B314BA8"/>
    <w:rsid w:val="1B663F82"/>
    <w:rsid w:val="1C2D4629"/>
    <w:rsid w:val="1C43636C"/>
    <w:rsid w:val="1D376F7C"/>
    <w:rsid w:val="1D904223"/>
    <w:rsid w:val="1E537DB4"/>
    <w:rsid w:val="1EF70AA2"/>
    <w:rsid w:val="1F653C49"/>
    <w:rsid w:val="1FF914D4"/>
    <w:rsid w:val="20735046"/>
    <w:rsid w:val="216F4D5B"/>
    <w:rsid w:val="23A06953"/>
    <w:rsid w:val="23B738BA"/>
    <w:rsid w:val="241F7AD7"/>
    <w:rsid w:val="24E67795"/>
    <w:rsid w:val="24F737D8"/>
    <w:rsid w:val="25A53853"/>
    <w:rsid w:val="261A1293"/>
    <w:rsid w:val="29847F2C"/>
    <w:rsid w:val="29B554FB"/>
    <w:rsid w:val="2A600AD6"/>
    <w:rsid w:val="2A9A1CF1"/>
    <w:rsid w:val="2AD369D3"/>
    <w:rsid w:val="2CA17C08"/>
    <w:rsid w:val="2CDC553E"/>
    <w:rsid w:val="2D7711A5"/>
    <w:rsid w:val="2DDF66E3"/>
    <w:rsid w:val="2FC94E71"/>
    <w:rsid w:val="2FF65FF8"/>
    <w:rsid w:val="300D195C"/>
    <w:rsid w:val="30BF37B5"/>
    <w:rsid w:val="30CE7B19"/>
    <w:rsid w:val="30ED33D6"/>
    <w:rsid w:val="31C955A9"/>
    <w:rsid w:val="3298366A"/>
    <w:rsid w:val="33B200AF"/>
    <w:rsid w:val="33E61BE2"/>
    <w:rsid w:val="34984755"/>
    <w:rsid w:val="35BF1FB9"/>
    <w:rsid w:val="361736AD"/>
    <w:rsid w:val="362F1373"/>
    <w:rsid w:val="364A40FF"/>
    <w:rsid w:val="36D200CF"/>
    <w:rsid w:val="379951F8"/>
    <w:rsid w:val="38382DC3"/>
    <w:rsid w:val="38DE045C"/>
    <w:rsid w:val="398D7AFC"/>
    <w:rsid w:val="3BB11B52"/>
    <w:rsid w:val="3BF24D81"/>
    <w:rsid w:val="3BFE7BEA"/>
    <w:rsid w:val="3C2E45A0"/>
    <w:rsid w:val="3C4750A3"/>
    <w:rsid w:val="3C4A35F1"/>
    <w:rsid w:val="3DC52364"/>
    <w:rsid w:val="416702DC"/>
    <w:rsid w:val="424051B0"/>
    <w:rsid w:val="44982260"/>
    <w:rsid w:val="44D414C9"/>
    <w:rsid w:val="45164799"/>
    <w:rsid w:val="46472D5E"/>
    <w:rsid w:val="47AE036C"/>
    <w:rsid w:val="496A657E"/>
    <w:rsid w:val="49843C09"/>
    <w:rsid w:val="4B3A1BDA"/>
    <w:rsid w:val="4BF83760"/>
    <w:rsid w:val="4C8349B8"/>
    <w:rsid w:val="4CC4590D"/>
    <w:rsid w:val="4D775A80"/>
    <w:rsid w:val="54216091"/>
    <w:rsid w:val="55C3156A"/>
    <w:rsid w:val="5782183A"/>
    <w:rsid w:val="57BD355E"/>
    <w:rsid w:val="592D5F4A"/>
    <w:rsid w:val="5B0320E2"/>
    <w:rsid w:val="5B8B11A7"/>
    <w:rsid w:val="5B9E2EC4"/>
    <w:rsid w:val="5DBB19FE"/>
    <w:rsid w:val="5E5240AD"/>
    <w:rsid w:val="5EF55030"/>
    <w:rsid w:val="60184133"/>
    <w:rsid w:val="608606DE"/>
    <w:rsid w:val="610E324A"/>
    <w:rsid w:val="61A819AA"/>
    <w:rsid w:val="61B54E59"/>
    <w:rsid w:val="61B87303"/>
    <w:rsid w:val="61F31EFD"/>
    <w:rsid w:val="63066BC7"/>
    <w:rsid w:val="63D0487B"/>
    <w:rsid w:val="64672037"/>
    <w:rsid w:val="64911DA0"/>
    <w:rsid w:val="65945D8D"/>
    <w:rsid w:val="66017FCB"/>
    <w:rsid w:val="6679092A"/>
    <w:rsid w:val="66C35559"/>
    <w:rsid w:val="673D548C"/>
    <w:rsid w:val="67D57489"/>
    <w:rsid w:val="68265523"/>
    <w:rsid w:val="68570F93"/>
    <w:rsid w:val="68587C2F"/>
    <w:rsid w:val="69D43F2F"/>
    <w:rsid w:val="6A287B5E"/>
    <w:rsid w:val="6B303A1A"/>
    <w:rsid w:val="6B5C0EAC"/>
    <w:rsid w:val="6C7424B0"/>
    <w:rsid w:val="6DAA2FDF"/>
    <w:rsid w:val="6E0B0D16"/>
    <w:rsid w:val="6E121228"/>
    <w:rsid w:val="6E2717A7"/>
    <w:rsid w:val="70363C29"/>
    <w:rsid w:val="70D1495F"/>
    <w:rsid w:val="70ED510D"/>
    <w:rsid w:val="735D6314"/>
    <w:rsid w:val="74695E39"/>
    <w:rsid w:val="754C6F3B"/>
    <w:rsid w:val="75B11AFF"/>
    <w:rsid w:val="75D32619"/>
    <w:rsid w:val="766F2031"/>
    <w:rsid w:val="77234D1D"/>
    <w:rsid w:val="780B6A75"/>
    <w:rsid w:val="79F83E18"/>
    <w:rsid w:val="7D0F76D8"/>
    <w:rsid w:val="7D335CF6"/>
    <w:rsid w:val="7E246903"/>
    <w:rsid w:val="7E3420E0"/>
    <w:rsid w:val="7E5C0C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2">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3">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rFonts w:ascii="Times New Roman" w:hAnsi="Times New Roman" w:cs="Times New Roman"/>
      <w:kern w:val="0"/>
      <w:sz w:val="20"/>
      <w:szCs w:val="20"/>
    </w:rPr>
  </w:style>
  <w:style w:type="paragraph" w:styleId="5">
    <w:name w:val="annotation text"/>
    <w:basedOn w:val="1"/>
    <w:qFormat/>
    <w:uiPriority w:val="0"/>
    <w:pPr>
      <w:jc w:val="left"/>
    </w:pPr>
  </w:style>
  <w:style w:type="paragraph" w:styleId="6">
    <w:name w:val="Body Text"/>
    <w:basedOn w:val="1"/>
    <w:next w:val="7"/>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7">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8">
    <w:name w:val="Body Text Indent"/>
    <w:basedOn w:val="1"/>
    <w:qFormat/>
    <w:uiPriority w:val="0"/>
    <w:pPr>
      <w:spacing w:after="120"/>
      <w:ind w:left="420" w:leftChars="200"/>
    </w:pPr>
  </w:style>
  <w:style w:type="paragraph" w:styleId="9">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1">
    <w:name w:val="Body Text First Indent"/>
    <w:basedOn w:val="6"/>
    <w:qFormat/>
    <w:uiPriority w:val="0"/>
    <w:pPr>
      <w:keepNext w:val="0"/>
      <w:keepLines w:val="0"/>
      <w:widowControl w:val="0"/>
      <w:suppressLineNumbers w:val="0"/>
      <w:pBdr>
        <w:top w:val="none" w:color="auto" w:sz="0" w:space="0"/>
        <w:left w:val="none" w:color="auto" w:sz="0" w:space="0"/>
        <w:bottom w:val="none" w:color="auto" w:sz="0" w:space="0"/>
        <w:right w:val="none" w:color="auto" w:sz="0" w:space="0"/>
      </w:pBdr>
      <w:spacing w:beforeLines="50" w:beforeAutospacing="0" w:afterLines="50" w:afterAutospacing="0" w:line="360" w:lineRule="auto"/>
      <w:ind w:firstLine="200" w:firstLineChars="200"/>
      <w:jc w:val="both"/>
    </w:pPr>
    <w:rPr>
      <w:rFonts w:hint="default" w:ascii="Times New Roman" w:hAnsi="Times New Roman" w:eastAsia="宋体" w:cs="Times New Roman"/>
      <w:kern w:val="2"/>
      <w:sz w:val="24"/>
      <w:szCs w:val="24"/>
      <w:lang w:val="en-US" w:eastAsia="zh-CN" w:bidi="ar"/>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目录 21"/>
    <w:basedOn w:val="1"/>
    <w:next w:val="1"/>
    <w:qFormat/>
    <w:uiPriority w:val="0"/>
    <w:pPr>
      <w:spacing w:before="100" w:beforeAutospacing="1" w:after="100" w:afterAutospacing="1"/>
      <w:ind w:left="420" w:leftChars="200"/>
    </w:pPr>
  </w:style>
  <w:style w:type="paragraph" w:customStyle="1" w:styleId="16">
    <w:name w:val="正文首行缩进1"/>
    <w:basedOn w:val="1"/>
    <w:qFormat/>
    <w:uiPriority w:val="0"/>
    <w:pPr>
      <w:spacing w:line="360" w:lineRule="auto"/>
      <w:ind w:firstLine="200" w:firstLineChars="200"/>
    </w:pPr>
    <w:rPr>
      <w:kern w:val="2"/>
      <w:sz w:val="24"/>
      <w:szCs w:val="24"/>
    </w:rPr>
  </w:style>
  <w:style w:type="paragraph" w:styleId="17">
    <w:name w:val="List Paragraph"/>
    <w:basedOn w:val="1"/>
    <w:qFormat/>
    <w:uiPriority w:val="1"/>
    <w:pPr>
      <w:ind w:left="640" w:firstLine="420"/>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1532</Words>
  <Characters>1591</Characters>
  <Lines>0</Lines>
  <Paragraphs>0</Paragraphs>
  <TotalTime>7</TotalTime>
  <ScaleCrop>false</ScaleCrop>
  <LinksUpToDate>false</LinksUpToDate>
  <CharactersWithSpaces>1737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2021-02-24T07:45:00Z</dcterms:created>
  <dc:creator>maja</dc:creator>
  <cp:lastModifiedBy>马骏安</cp:lastModifiedBy>
  <dcterms:modified xsi:type="dcterms:W3CDTF">2026-05-29T02:10:02Z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637AA81A38EE4AC9AC2331DF7A96B0A5</vt:lpwstr>
  </property>
  <property fmtid="{D5CDD505-2E9C-101B-9397-08002B2CF9AE}" pid="4" name="KSOTemplateDocerSaveRecord">
    <vt:lpwstr>eyJoZGlkIjoiNGQxZGUyZmQ5MDU5MjhiNzUxNWY4N2Q0ZGU2Y2VhOTgiLCJ1c2VySWQiOiI3MDM5OTYzMzMifQ==</vt:lpwstr>
  </property>
</Properties>
</file>