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3364B1">
      <w:pPr>
        <w:jc w:val="center"/>
        <w:rPr>
          <w:b/>
          <w:color w:val="auto"/>
          <w:sz w:val="44"/>
          <w:szCs w:val="44"/>
          <w:highlight w:val="none"/>
        </w:rPr>
      </w:pPr>
      <w:bookmarkStart w:id="0" w:name="_Toc339216642"/>
      <w:bookmarkStart w:id="1" w:name="_Toc371453819"/>
      <w:bookmarkStart w:id="2" w:name="_Toc339216643"/>
      <w:bookmarkStart w:id="3" w:name="_Toc244916004"/>
      <w:bookmarkStart w:id="4" w:name="_Toc274903054"/>
      <w:bookmarkStart w:id="5" w:name="_Toc371453820"/>
      <w:bookmarkStart w:id="6" w:name="_Toc274902993"/>
      <w:bookmarkStart w:id="7" w:name="_Toc371343936"/>
      <w:bookmarkStart w:id="8" w:name="_Toc371343937"/>
      <w:bookmarkStart w:id="9" w:name="_Toc323572795"/>
      <w:r>
        <w:rPr>
          <w:rFonts w:hint="eastAsia" w:ascii="黑体" w:hAnsi="黑体" w:eastAsia="黑体" w:cs="黑体"/>
          <w:b w:val="0"/>
          <w:bCs w:val="0"/>
          <w:color w:val="auto"/>
          <w:sz w:val="32"/>
          <w:szCs w:val="32"/>
          <w:lang w:val="en-US" w:eastAsia="zh-CN"/>
        </w:rPr>
        <w:drawing>
          <wp:anchor distT="0" distB="0" distL="114300" distR="114300" simplePos="0" relativeHeight="251660288" behindDoc="1" locked="0" layoutInCell="1" allowOverlap="1">
            <wp:simplePos x="0" y="0"/>
            <wp:positionH relativeFrom="column">
              <wp:posOffset>-939165</wp:posOffset>
            </wp:positionH>
            <wp:positionV relativeFrom="paragraph">
              <wp:posOffset>-986155</wp:posOffset>
            </wp:positionV>
            <wp:extent cx="7765415" cy="10979150"/>
            <wp:effectExtent l="0" t="0" r="6985" b="0"/>
            <wp:wrapNone/>
            <wp:docPr id="11"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0"/>
                    <a:srcRect/>
                    <a:stretch>
                      <a:fillRect/>
                    </a:stretch>
                  </pic:blipFill>
                  <pic:spPr>
                    <a:xfrm>
                      <a:off x="0" y="0"/>
                      <a:ext cx="7765415" cy="10979150"/>
                    </a:xfrm>
                    <a:prstGeom prst="rect">
                      <a:avLst/>
                    </a:prstGeom>
                    <a:noFill/>
                    <a:ln w="9525">
                      <a:noFill/>
                      <a:miter lim="800000"/>
                      <a:headEnd/>
                      <a:tailEnd/>
                    </a:ln>
                  </pic:spPr>
                </pic:pic>
              </a:graphicData>
            </a:graphic>
          </wp:anchor>
        </w:drawing>
      </w:r>
    </w:p>
    <w:p w14:paraId="394C5FBA">
      <w:pPr>
        <w:jc w:val="center"/>
        <w:rPr>
          <w:rFonts w:hint="eastAsia" w:eastAsia="黑体"/>
          <w:b/>
          <w:color w:val="auto"/>
          <w:sz w:val="48"/>
          <w:szCs w:val="48"/>
          <w:highlight w:val="none"/>
        </w:rPr>
      </w:pPr>
    </w:p>
    <w:p w14:paraId="6894AB39">
      <w:pPr>
        <w:jc w:val="center"/>
        <w:rPr>
          <w:rFonts w:hint="eastAsia" w:eastAsia="黑体"/>
          <w:b/>
          <w:color w:val="auto"/>
          <w:sz w:val="48"/>
          <w:szCs w:val="48"/>
          <w:highlight w:val="none"/>
        </w:rPr>
      </w:pPr>
    </w:p>
    <w:p w14:paraId="1B4588E2">
      <w:pPr>
        <w:jc w:val="center"/>
        <w:rPr>
          <w:rFonts w:hint="eastAsia" w:eastAsia="黑体"/>
          <w:b/>
          <w:color w:val="auto"/>
          <w:sz w:val="48"/>
          <w:szCs w:val="48"/>
          <w:highlight w:val="none"/>
        </w:rPr>
      </w:pPr>
    </w:p>
    <w:p w14:paraId="042B3BD2">
      <w:pPr>
        <w:jc w:val="center"/>
        <w:rPr>
          <w:rFonts w:hint="eastAsia" w:eastAsia="黑体"/>
          <w:b/>
          <w:color w:val="auto"/>
          <w:sz w:val="48"/>
          <w:szCs w:val="48"/>
          <w:highlight w:val="none"/>
        </w:rPr>
      </w:pPr>
    </w:p>
    <w:p w14:paraId="7D3E1AED">
      <w:pPr>
        <w:jc w:val="center"/>
        <w:rPr>
          <w:rFonts w:hint="eastAsia" w:eastAsia="黑体"/>
          <w:b/>
          <w:color w:val="auto"/>
          <w:sz w:val="48"/>
          <w:szCs w:val="48"/>
          <w:highlight w:val="none"/>
        </w:rPr>
      </w:pPr>
    </w:p>
    <w:p w14:paraId="3F5290D7">
      <w:pPr>
        <w:jc w:val="center"/>
        <w:rPr>
          <w:rFonts w:hint="eastAsia" w:eastAsia="黑体"/>
          <w:b/>
          <w:color w:val="auto"/>
          <w:sz w:val="48"/>
          <w:szCs w:val="48"/>
          <w:highlight w:val="none"/>
        </w:rPr>
      </w:pPr>
    </w:p>
    <w:p w14:paraId="5C7A45F0">
      <w:pPr>
        <w:jc w:val="center"/>
        <w:rPr>
          <w:rFonts w:hint="eastAsia" w:eastAsia="黑体"/>
          <w:b/>
          <w:color w:val="auto"/>
          <w:sz w:val="48"/>
          <w:szCs w:val="48"/>
          <w:highlight w:val="none"/>
        </w:rPr>
      </w:pPr>
    </w:p>
    <w:p w14:paraId="5766F719">
      <w:pPr>
        <w:jc w:val="center"/>
        <w:rPr>
          <w:rFonts w:eastAsia="黑体"/>
          <w:b/>
          <w:color w:val="auto"/>
          <w:sz w:val="48"/>
          <w:szCs w:val="48"/>
          <w:highlight w:val="none"/>
        </w:rPr>
      </w:pPr>
      <w:r>
        <w:rPr>
          <w:rFonts w:hint="eastAsia" w:ascii="黑体" w:hAnsi="黑体" w:eastAsia="黑体"/>
          <w:b/>
          <w:color w:val="auto"/>
          <w:sz w:val="52"/>
          <w:szCs w:val="52"/>
          <w:highlight w:val="none"/>
          <w:lang w:eastAsia="zh-CN"/>
        </w:rPr>
        <w:t>超高压大理局2026年高精度输变电人员作业安全距离判别系统研究开发零星采购项目询价材</w:t>
      </w:r>
      <w:r>
        <w:rPr>
          <w:rFonts w:hint="eastAsia" w:eastAsia="黑体"/>
          <w:b/>
          <w:color w:val="auto"/>
          <w:sz w:val="48"/>
          <w:szCs w:val="48"/>
          <w:highlight w:val="none"/>
        </w:rPr>
        <w:t>料</w:t>
      </w:r>
    </w:p>
    <w:p w14:paraId="37BD0E2D">
      <w:pPr>
        <w:rPr>
          <w:rFonts w:ascii="黑体" w:hAnsi="黑体" w:eastAsia="黑体"/>
          <w:b/>
          <w:color w:val="auto"/>
          <w:sz w:val="32"/>
          <w:szCs w:val="32"/>
          <w:highlight w:val="none"/>
        </w:rPr>
      </w:pPr>
    </w:p>
    <w:p w14:paraId="2604C7AE">
      <w:pPr>
        <w:jc w:val="center"/>
        <w:rPr>
          <w:rFonts w:ascii="黑体" w:hAnsi="黑体" w:eastAsia="黑体"/>
          <w:b/>
          <w:color w:val="auto"/>
          <w:sz w:val="32"/>
          <w:szCs w:val="32"/>
          <w:highlight w:val="none"/>
        </w:rPr>
      </w:pPr>
    </w:p>
    <w:p w14:paraId="350917B6">
      <w:pPr>
        <w:spacing w:line="280" w:lineRule="exact"/>
        <w:jc w:val="center"/>
        <w:rPr>
          <w:rFonts w:ascii="黑体" w:hAnsi="黑体" w:eastAsia="黑体"/>
          <w:b/>
          <w:color w:val="auto"/>
          <w:sz w:val="30"/>
          <w:szCs w:val="30"/>
          <w:highlight w:val="none"/>
        </w:rPr>
      </w:pPr>
    </w:p>
    <w:p w14:paraId="30602243">
      <w:pPr>
        <w:spacing w:line="280" w:lineRule="exact"/>
        <w:jc w:val="center"/>
        <w:rPr>
          <w:rFonts w:ascii="黑体" w:hAnsi="黑体" w:eastAsia="黑体"/>
          <w:b/>
          <w:color w:val="auto"/>
          <w:sz w:val="30"/>
          <w:szCs w:val="30"/>
          <w:highlight w:val="none"/>
        </w:rPr>
      </w:pPr>
    </w:p>
    <w:p w14:paraId="68ECC62B">
      <w:pPr>
        <w:spacing w:line="280" w:lineRule="exact"/>
        <w:rPr>
          <w:rFonts w:ascii="黑体" w:hAnsi="黑体" w:eastAsia="黑体"/>
          <w:b/>
          <w:color w:val="auto"/>
          <w:sz w:val="30"/>
          <w:szCs w:val="30"/>
          <w:highlight w:val="none"/>
        </w:rPr>
      </w:pPr>
    </w:p>
    <w:p w14:paraId="440D423F">
      <w:pPr>
        <w:spacing w:line="280" w:lineRule="exact"/>
        <w:rPr>
          <w:rFonts w:ascii="黑体" w:hAnsi="黑体" w:eastAsia="黑体"/>
          <w:b/>
          <w:color w:val="auto"/>
          <w:sz w:val="30"/>
          <w:szCs w:val="30"/>
          <w:highlight w:val="none"/>
        </w:rPr>
      </w:pPr>
    </w:p>
    <w:p w14:paraId="73EF6A92">
      <w:pPr>
        <w:spacing w:line="280" w:lineRule="exact"/>
        <w:rPr>
          <w:rFonts w:ascii="黑体" w:hAnsi="黑体" w:eastAsia="黑体"/>
          <w:b/>
          <w:color w:val="auto"/>
          <w:sz w:val="30"/>
          <w:szCs w:val="30"/>
          <w:highlight w:val="none"/>
        </w:rPr>
      </w:pPr>
    </w:p>
    <w:p w14:paraId="3676E347">
      <w:pPr>
        <w:spacing w:line="280" w:lineRule="exact"/>
        <w:rPr>
          <w:rFonts w:ascii="黑体" w:hAnsi="黑体" w:eastAsia="黑体"/>
          <w:b/>
          <w:color w:val="auto"/>
          <w:sz w:val="30"/>
          <w:szCs w:val="30"/>
          <w:highlight w:val="none"/>
        </w:rPr>
      </w:pPr>
    </w:p>
    <w:p w14:paraId="3CC7052F">
      <w:pPr>
        <w:spacing w:line="280" w:lineRule="exact"/>
        <w:rPr>
          <w:rFonts w:ascii="黑体" w:hAnsi="黑体" w:eastAsia="黑体"/>
          <w:b/>
          <w:color w:val="auto"/>
          <w:sz w:val="30"/>
          <w:szCs w:val="30"/>
          <w:highlight w:val="none"/>
        </w:rPr>
      </w:pPr>
    </w:p>
    <w:p w14:paraId="2566C65C">
      <w:pPr>
        <w:spacing w:line="280" w:lineRule="exact"/>
        <w:rPr>
          <w:rFonts w:ascii="黑体" w:hAnsi="黑体" w:eastAsia="黑体"/>
          <w:b/>
          <w:color w:val="auto"/>
          <w:sz w:val="30"/>
          <w:szCs w:val="30"/>
          <w:highlight w:val="none"/>
        </w:rPr>
      </w:pPr>
    </w:p>
    <w:p w14:paraId="0E69D1D6">
      <w:pPr>
        <w:spacing w:line="280" w:lineRule="exact"/>
        <w:rPr>
          <w:rFonts w:ascii="黑体" w:hAnsi="黑体" w:eastAsia="黑体"/>
          <w:b/>
          <w:color w:val="auto"/>
          <w:sz w:val="30"/>
          <w:szCs w:val="30"/>
          <w:highlight w:val="none"/>
        </w:rPr>
      </w:pPr>
    </w:p>
    <w:p w14:paraId="2D0D2B64">
      <w:pPr>
        <w:spacing w:line="280" w:lineRule="exact"/>
        <w:rPr>
          <w:rFonts w:ascii="黑体" w:hAnsi="黑体" w:eastAsia="黑体"/>
          <w:b/>
          <w:color w:val="auto"/>
          <w:sz w:val="30"/>
          <w:szCs w:val="30"/>
          <w:highlight w:val="none"/>
        </w:rPr>
      </w:pPr>
    </w:p>
    <w:p w14:paraId="4764DD15">
      <w:pPr>
        <w:spacing w:line="280" w:lineRule="exact"/>
        <w:rPr>
          <w:rFonts w:ascii="黑体" w:hAnsi="黑体" w:eastAsia="黑体"/>
          <w:b/>
          <w:color w:val="auto"/>
          <w:sz w:val="30"/>
          <w:szCs w:val="30"/>
          <w:highlight w:val="none"/>
        </w:rPr>
      </w:pPr>
    </w:p>
    <w:p w14:paraId="522BB51A">
      <w:pPr>
        <w:spacing w:line="280" w:lineRule="exact"/>
        <w:rPr>
          <w:rFonts w:ascii="黑体" w:hAnsi="黑体" w:eastAsia="黑体"/>
          <w:b/>
          <w:color w:val="auto"/>
          <w:sz w:val="30"/>
          <w:szCs w:val="30"/>
          <w:highlight w:val="none"/>
        </w:rPr>
      </w:pPr>
    </w:p>
    <w:p w14:paraId="5D2ABE2C">
      <w:pPr>
        <w:spacing w:line="280" w:lineRule="exact"/>
        <w:rPr>
          <w:rFonts w:ascii="黑体" w:hAnsi="黑体" w:eastAsia="黑体"/>
          <w:b/>
          <w:color w:val="auto"/>
          <w:sz w:val="30"/>
          <w:szCs w:val="30"/>
          <w:highlight w:val="none"/>
        </w:rPr>
      </w:pPr>
    </w:p>
    <w:p w14:paraId="59F38965">
      <w:pPr>
        <w:spacing w:line="280" w:lineRule="exact"/>
        <w:rPr>
          <w:rFonts w:ascii="黑体" w:hAnsi="黑体" w:eastAsia="黑体"/>
          <w:b/>
          <w:color w:val="auto"/>
          <w:sz w:val="30"/>
          <w:szCs w:val="30"/>
          <w:highlight w:val="none"/>
        </w:rPr>
      </w:pPr>
    </w:p>
    <w:p w14:paraId="7FF0B2B2">
      <w:pPr>
        <w:spacing w:before="480" w:beforeLines="200" w:line="320" w:lineRule="exact"/>
        <w:jc w:val="both"/>
        <w:rPr>
          <w:rFonts w:hint="eastAsia" w:ascii="宋体" w:hAnsi="宋体" w:cs="宋体"/>
          <w:color w:val="auto"/>
          <w:sz w:val="30"/>
          <w:szCs w:val="30"/>
          <w:highlight w:val="none"/>
        </w:rPr>
      </w:pPr>
    </w:p>
    <w:p w14:paraId="23D6AEFD">
      <w:pPr>
        <w:spacing w:before="480" w:beforeLines="200" w:line="320" w:lineRule="exact"/>
        <w:jc w:val="center"/>
        <w:rPr>
          <w:rFonts w:hint="eastAsia"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t>超高压</w:t>
      </w:r>
      <w:r>
        <w:rPr>
          <w:rFonts w:hint="eastAsia" w:ascii="宋体" w:hAnsi="宋体" w:cs="宋体"/>
          <w:color w:val="auto"/>
          <w:sz w:val="30"/>
          <w:szCs w:val="30"/>
          <w:highlight w:val="none"/>
          <w:lang w:eastAsia="zh-CN"/>
        </w:rPr>
        <w:t>输电</w:t>
      </w:r>
      <w:r>
        <w:rPr>
          <w:rFonts w:hint="eastAsia" w:ascii="宋体" w:hAnsi="宋体" w:cs="宋体"/>
          <w:color w:val="auto"/>
          <w:sz w:val="30"/>
          <w:szCs w:val="30"/>
          <w:highlight w:val="none"/>
        </w:rPr>
        <w:t>公司大理局</w:t>
      </w:r>
      <w:r>
        <w:rPr>
          <w:rFonts w:hint="eastAsia" w:ascii="宋体" w:hAnsi="宋体" w:cs="宋体"/>
          <w:color w:val="auto"/>
          <w:sz w:val="30"/>
          <w:szCs w:val="30"/>
          <w:highlight w:val="none"/>
          <w:lang w:eastAsia="zh-CN"/>
        </w:rPr>
        <w:t>生产技术部</w:t>
      </w:r>
    </w:p>
    <w:p w14:paraId="073E0190">
      <w:pPr>
        <w:spacing w:before="480" w:beforeLines="200" w:line="320" w:lineRule="exact"/>
        <w:jc w:val="center"/>
        <w:rPr>
          <w:rFonts w:ascii="仿宋_GB2312" w:eastAsia="仿宋_GB2312"/>
          <w:color w:val="auto"/>
          <w:szCs w:val="21"/>
          <w:highlight w:val="none"/>
        </w:rPr>
      </w:pPr>
      <w:r>
        <w:rPr>
          <w:rFonts w:hint="eastAsia" w:ascii="宋体" w:hAnsi="宋体" w:cs="宋体"/>
          <w:color w:val="auto"/>
          <w:sz w:val="30"/>
          <w:szCs w:val="30"/>
          <w:highlight w:val="none"/>
        </w:rPr>
        <w:t>202</w:t>
      </w:r>
      <w:r>
        <w:rPr>
          <w:rFonts w:hint="eastAsia" w:ascii="宋体" w:hAnsi="宋体" w:cs="宋体"/>
          <w:color w:val="auto"/>
          <w:sz w:val="30"/>
          <w:szCs w:val="30"/>
          <w:highlight w:val="none"/>
          <w:lang w:val="en-US" w:eastAsia="zh-CN"/>
        </w:rPr>
        <w:t>6</w:t>
      </w:r>
      <w:r>
        <w:rPr>
          <w:rFonts w:hint="eastAsia" w:ascii="宋体" w:hAnsi="宋体" w:cs="宋体"/>
          <w:color w:val="auto"/>
          <w:sz w:val="30"/>
          <w:szCs w:val="30"/>
          <w:highlight w:val="none"/>
        </w:rPr>
        <w:t>年</w:t>
      </w:r>
      <w:r>
        <w:rPr>
          <w:rFonts w:hint="eastAsia" w:ascii="宋体" w:hAnsi="宋体" w:cs="宋体"/>
          <w:color w:val="auto"/>
          <w:sz w:val="30"/>
          <w:szCs w:val="30"/>
          <w:highlight w:val="none"/>
          <w:lang w:val="en-US" w:eastAsia="zh-CN"/>
        </w:rPr>
        <w:t>07</w:t>
      </w:r>
      <w:r>
        <w:rPr>
          <w:rFonts w:hint="eastAsia" w:ascii="宋体" w:hAnsi="宋体" w:cs="宋体"/>
          <w:color w:val="auto"/>
          <w:sz w:val="30"/>
          <w:szCs w:val="30"/>
          <w:highlight w:val="none"/>
        </w:rPr>
        <w:t>月</w:t>
      </w:r>
    </w:p>
    <w:p w14:paraId="179DB088">
      <w:pPr>
        <w:rPr>
          <w:rFonts w:ascii="宋体" w:hAnsi="宋体"/>
          <w:b/>
          <w:color w:val="auto"/>
          <w:sz w:val="24"/>
          <w:highlight w:val="none"/>
        </w:rPr>
        <w:sectPr>
          <w:headerReference r:id="rId3" w:type="default"/>
          <w:footerReference r:id="rId4" w:type="default"/>
          <w:pgSz w:w="11907" w:h="16839"/>
          <w:pgMar w:top="1417" w:right="1134" w:bottom="1134" w:left="1417" w:header="907" w:footer="1134" w:gutter="0"/>
          <w:cols w:space="720" w:num="1"/>
          <w:docGrid w:linePitch="312" w:charSpace="0"/>
        </w:sectPr>
      </w:pPr>
    </w:p>
    <w:bookmarkEnd w:id="0"/>
    <w:bookmarkEnd w:id="1"/>
    <w:bookmarkEnd w:id="2"/>
    <w:bookmarkEnd w:id="3"/>
    <w:bookmarkEnd w:id="4"/>
    <w:bookmarkEnd w:id="5"/>
    <w:bookmarkEnd w:id="6"/>
    <w:bookmarkEnd w:id="7"/>
    <w:bookmarkEnd w:id="8"/>
    <w:bookmarkEnd w:id="9"/>
    <w:p w14:paraId="72B9EF1C">
      <w:pPr>
        <w:numPr>
          <w:ilvl w:val="0"/>
          <w:numId w:val="0"/>
        </w:numPr>
        <w:adjustRightInd w:val="0"/>
        <w:snapToGrid w:val="0"/>
        <w:spacing w:line="360" w:lineRule="auto"/>
        <w:ind w:firstLine="482" w:firstLineChars="200"/>
        <w:rPr>
          <w:rFonts w:ascii="宋体" w:hAnsi="宋体"/>
          <w:b/>
          <w:bCs/>
          <w:color w:val="auto"/>
          <w:sz w:val="24"/>
          <w:highlight w:val="none"/>
        </w:rPr>
      </w:pPr>
      <w:bookmarkStart w:id="10" w:name="_Toc371153697"/>
      <w:bookmarkStart w:id="11" w:name="_Toc369269815"/>
      <w:bookmarkStart w:id="12" w:name="_Toc371344042"/>
      <w:bookmarkStart w:id="13" w:name="_Toc372699294"/>
      <w:bookmarkStart w:id="14" w:name="_Toc399839020"/>
      <w:r>
        <w:rPr>
          <w:rFonts w:hint="eastAsia" w:ascii="宋体" w:hAnsi="宋体"/>
          <w:b/>
          <w:bCs/>
          <w:color w:val="auto"/>
          <w:sz w:val="24"/>
          <w:highlight w:val="none"/>
          <w:lang w:val="en-US" w:eastAsia="zh-CN"/>
        </w:rPr>
        <w:t xml:space="preserve">1 </w:t>
      </w:r>
      <w:r>
        <w:rPr>
          <w:rFonts w:hint="eastAsia" w:ascii="宋体" w:hAnsi="宋体"/>
          <w:b/>
          <w:bCs/>
          <w:color w:val="auto"/>
          <w:sz w:val="24"/>
          <w:highlight w:val="none"/>
        </w:rPr>
        <w:t>项目名称</w:t>
      </w:r>
    </w:p>
    <w:p w14:paraId="68F9ACFE">
      <w:pPr>
        <w:numPr>
          <w:ilvl w:val="0"/>
          <w:numId w:val="0"/>
        </w:numPr>
        <w:adjustRightInd w:val="0"/>
        <w:snapToGrid w:val="0"/>
        <w:spacing w:line="360" w:lineRule="auto"/>
        <w:ind w:firstLine="480" w:firstLineChars="200"/>
        <w:rPr>
          <w:rFonts w:hint="eastAsia" w:ascii="宋体" w:hAnsi="宋体"/>
          <w:b/>
          <w:bCs/>
          <w:color w:val="auto"/>
          <w:sz w:val="24"/>
          <w:highlight w:val="none"/>
          <w:lang w:val="en-US" w:eastAsia="zh-CN"/>
        </w:rPr>
      </w:pPr>
      <w:r>
        <w:rPr>
          <w:rFonts w:hint="eastAsia" w:ascii="宋体" w:hAnsi="宋体"/>
          <w:b w:val="0"/>
          <w:bCs w:val="0"/>
          <w:color w:val="auto"/>
          <w:sz w:val="24"/>
          <w:highlight w:val="none"/>
          <w:lang w:val="en-US" w:eastAsia="zh-CN"/>
        </w:rPr>
        <w:t>超高压大理局2026年高精度输变电人员作业安全距离判别系统研究开发零星采购项目</w:t>
      </w:r>
    </w:p>
    <w:p w14:paraId="17912E15">
      <w:pPr>
        <w:numPr>
          <w:ilvl w:val="0"/>
          <w:numId w:val="0"/>
        </w:num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2 </w:t>
      </w:r>
      <w:r>
        <w:rPr>
          <w:rFonts w:hint="eastAsia" w:ascii="宋体" w:hAnsi="宋体"/>
          <w:b/>
          <w:bCs/>
          <w:color w:val="auto"/>
          <w:sz w:val="24"/>
          <w:highlight w:val="none"/>
        </w:rPr>
        <w:t>项目需求内容</w:t>
      </w:r>
    </w:p>
    <w:p w14:paraId="2F6E16BE">
      <w:pPr>
        <w:widowControl w:val="0"/>
        <w:numPr>
          <w:ilvl w:val="0"/>
          <w:numId w:val="0"/>
        </w:numPr>
        <w:adjustRightInd w:val="0"/>
        <w:snapToGrid w:val="0"/>
        <w:spacing w:line="360" w:lineRule="auto"/>
        <w:ind w:left="0" w:leftChars="0" w:firstLine="480" w:firstLineChars="200"/>
        <w:jc w:val="both"/>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电力作业包含输电线路野外施工、变电站设备检修、带电作业等多项高风险作业场景，普遍存在作业环境复杂、站内设备密集、现场工况多变等特点。目前现场作业的安全距离判别仍主要采用人工勘查、手持设备测量、经验主观判定的传统模式，整体智能化管控能力薄弱，存在测量精度不足、多场景适配性差、风险预警滞后等突出问题，难以适配现代化电力安全生产管控要求，具体核心痛点如下。</w:t>
      </w:r>
    </w:p>
    <w:p w14:paraId="1C8A79ED">
      <w:pPr>
        <w:widowControl w:val="0"/>
        <w:numPr>
          <w:ilvl w:val="0"/>
          <w:numId w:val="0"/>
        </w:numPr>
        <w:adjustRightInd w:val="0"/>
        <w:snapToGrid w:val="0"/>
        <w:spacing w:line="360" w:lineRule="auto"/>
        <w:ind w:left="0" w:leftChars="0" w:firstLine="480" w:firstLineChars="200"/>
        <w:jc w:val="both"/>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一是传统测量方式误差大、场景局限性强。输电作业多分布于山地、丘陵等复杂地形，变电作业存在设备排布密集、空间狭小、遮挡干扰多等问题，人工估测及手持设备测量结果易受地形地貌、光照视角、人为操作偏差等因素干扰，测量精度难以保障，无法精准判定现场作业安全状态，极易引发安全误判、漏判问题。</w:t>
      </w:r>
    </w:p>
    <w:p w14:paraId="1E741FF7">
      <w:pPr>
        <w:widowControl w:val="0"/>
        <w:numPr>
          <w:ilvl w:val="0"/>
          <w:numId w:val="0"/>
        </w:numPr>
        <w:adjustRightInd w:val="0"/>
        <w:snapToGrid w:val="0"/>
        <w:spacing w:line="360" w:lineRule="auto"/>
        <w:ind w:left="0" w:leftChars="0" w:firstLine="480" w:firstLineChars="200"/>
        <w:jc w:val="both"/>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二是适配场景单一，存在安全管控盲区。传统判别模式仅适用于常规输电线路场景，无法兼顾输电、变电多品类设备的差异化作业需求。不同电压等级、不同作业类型对应的安全距离标准差异显著，人工判别校核效率低下、容错率低，易因标准套用错误、距离核算滞后埋下安全隐患，无法实现输变电全域作业的精准风险管控。</w:t>
      </w:r>
    </w:p>
    <w:p w14:paraId="5435BF96">
      <w:pPr>
        <w:widowControl w:val="0"/>
        <w:numPr>
          <w:ilvl w:val="0"/>
          <w:numId w:val="0"/>
        </w:numPr>
        <w:adjustRightInd w:val="0"/>
        <w:snapToGrid w:val="0"/>
        <w:spacing w:line="360" w:lineRule="auto"/>
        <w:ind w:left="0" w:leftChars="0" w:firstLine="480" w:firstLineChars="200"/>
        <w:jc w:val="both"/>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三是多源技术数据孤立，智能化支撑能力不足。当前电力行业已积累成熟的激光点云建模数据与现场视觉监控数据，但两类数据独立应用、未形成融合赋能体系，未能充分发挥激光点云高精度三维建模、机器视觉实时动态感知的技术优势。行业缺乏一体化智能判别工具，无法实现作业全过程动态监测、精准测距与实时风险预警。</w:t>
      </w:r>
    </w:p>
    <w:p w14:paraId="7AE993A0">
      <w:pPr>
        <w:widowControl w:val="0"/>
        <w:numPr>
          <w:ilvl w:val="0"/>
          <w:numId w:val="0"/>
        </w:numPr>
        <w:adjustRightInd w:val="0"/>
        <w:snapToGrid w:val="0"/>
        <w:spacing w:line="360" w:lineRule="auto"/>
        <w:ind w:left="0" w:leftChars="0" w:firstLine="480" w:firstLineChars="200"/>
        <w:jc w:val="both"/>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针对上述行业痛点，本课题依托机器视觉实时感知与激光点云高精度建模融合技术，聚焦输变电全场景作业安全距离判别核心需求，研发搭建一体化智能判别系统。通过双技术互补赋能，弥补单一技术的应用短板，有效解决传统人工判别精度低、效率低、适配性弱、管控滞后等问题，实现输变电作业三维精准建模、动态实时判别、智能风险预警，全面提升现场安全智能化管控水平，同时为后续作业仿真推演、全域风险评估、管控系统迭代升级提供坚实技术支撑。</w:t>
      </w:r>
    </w:p>
    <w:p w14:paraId="74E68742">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3</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技术要求</w:t>
      </w:r>
    </w:p>
    <w:p w14:paraId="230AA8D6">
      <w:pPr>
        <w:adjustRightInd w:val="0"/>
        <w:snapToGrid w:val="0"/>
        <w:spacing w:line="360" w:lineRule="auto"/>
        <w:ind w:firstLine="480" w:firstLineChars="200"/>
        <w:rPr>
          <w:rFonts w:hint="default" w:ascii="宋体" w:hAnsi="宋体"/>
          <w:b w:val="0"/>
          <w:bCs w:val="0"/>
          <w:color w:val="auto"/>
          <w:sz w:val="24"/>
          <w:highlight w:val="none"/>
          <w:lang w:val="en-US" w:eastAsia="zh-CN"/>
        </w:rPr>
      </w:pPr>
      <w:r>
        <w:rPr>
          <w:rFonts w:hint="default" w:ascii="宋体" w:hAnsi="宋体"/>
          <w:b w:val="0"/>
          <w:bCs w:val="0"/>
          <w:color w:val="auto"/>
          <w:sz w:val="24"/>
          <w:highlight w:val="none"/>
          <w:lang w:val="en-US" w:eastAsia="zh-CN"/>
        </w:rPr>
        <w:t>本项目协助研发基于视觉与激光点云融合技术的输变电作业安全距离判别系统，全面覆盖输电野外作业、变电站设备检修、带电操作等核心作业场景，构建高精度、实时化、智能化的安全距离判别管控体系，具体实施内容如下：</w:t>
      </w:r>
    </w:p>
    <w:p w14:paraId="47CC437D">
      <w:pPr>
        <w:adjustRightInd w:val="0"/>
        <w:snapToGrid w:val="0"/>
        <w:spacing w:line="360" w:lineRule="auto"/>
        <w:ind w:firstLine="480" w:firstLineChars="200"/>
        <w:rPr>
          <w:rFonts w:hint="default"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3.1</w:t>
      </w:r>
      <w:r>
        <w:rPr>
          <w:rFonts w:hint="default" w:ascii="宋体" w:hAnsi="宋体"/>
          <w:b w:val="0"/>
          <w:bCs w:val="0"/>
          <w:color w:val="auto"/>
          <w:sz w:val="24"/>
          <w:highlight w:val="none"/>
          <w:lang w:val="en-US" w:eastAsia="zh-CN"/>
        </w:rPr>
        <w:t>配合完成系统整体架构设计与双技术融合优化。搭建视觉与激光点云协同融合的系统总体框架，优化点云数据去噪、配准、轻量化建模核心算法，迭代升级机器视觉的设备识别、轮廓提取。实现三维点云模型与实时视觉影像的数据融合，完成多源数据坐标统一与可视化展示，开发安全距离智能判别、超限风险预警核心功能模块，预留系统功能拓展、外部设备及平台对接接口，支撑后续系统迭代升级。</w:t>
      </w:r>
    </w:p>
    <w:p w14:paraId="40F422D0">
      <w:pPr>
        <w:adjustRightInd w:val="0"/>
        <w:snapToGrid w:val="0"/>
        <w:spacing w:line="360" w:lineRule="auto"/>
        <w:ind w:firstLine="480" w:firstLineChars="200"/>
        <w:rPr>
          <w:rFonts w:hint="default"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3.</w:t>
      </w:r>
      <w:r>
        <w:rPr>
          <w:rFonts w:hint="default" w:ascii="宋体" w:hAnsi="宋体"/>
          <w:b w:val="0"/>
          <w:bCs w:val="0"/>
          <w:color w:val="auto"/>
          <w:sz w:val="24"/>
          <w:highlight w:val="none"/>
          <w:lang w:val="en-US" w:eastAsia="zh-CN"/>
        </w:rPr>
        <w:t>2协助研发系统核心功能，构建标准化作业管控流程。贴合输变电多场景作业管控需求，研发三维模型管理、视觉实时监测、点云精准测距、安全距离智能判别等核心功能。优化精简数据处理、模型更新、安全校核等全流程业务环节，建立适配不同电压等级、不同作业类型的标准化判别机制，彻底替代传统人工判别模式，显著提升现场安全管控的精准度与工作效率。</w:t>
      </w:r>
    </w:p>
    <w:p w14:paraId="192CE9D5">
      <w:pPr>
        <w:adjustRightInd w:val="0"/>
        <w:snapToGrid w:val="0"/>
        <w:spacing w:line="360" w:lineRule="auto"/>
        <w:ind w:firstLine="480" w:firstLineChars="200"/>
        <w:rPr>
          <w:rFonts w:hint="default" w:ascii="宋体" w:hAnsi="宋体"/>
          <w:b w:val="0"/>
          <w:bCs w:val="0"/>
          <w:color w:val="auto"/>
          <w:sz w:val="24"/>
          <w:highlight w:val="none"/>
          <w:lang w:val="en-US" w:eastAsia="zh-CN"/>
        </w:rPr>
      </w:pPr>
      <w:r>
        <w:rPr>
          <w:rFonts w:hint="default" w:ascii="宋体" w:hAnsi="宋体"/>
          <w:b w:val="0"/>
          <w:bCs w:val="0"/>
          <w:color w:val="auto"/>
          <w:sz w:val="24"/>
          <w:highlight w:val="none"/>
          <w:lang w:val="en-US" w:eastAsia="zh-CN"/>
        </w:rPr>
        <w:t>3.</w:t>
      </w:r>
      <w:r>
        <w:rPr>
          <w:rFonts w:hint="eastAsia" w:ascii="宋体" w:hAnsi="宋体"/>
          <w:b w:val="0"/>
          <w:bCs w:val="0"/>
          <w:color w:val="auto"/>
          <w:sz w:val="24"/>
          <w:highlight w:val="none"/>
          <w:lang w:val="en-US" w:eastAsia="zh-CN"/>
        </w:rPr>
        <w:t>3配合建立配套保障体系，完善数据加密安全、现有设备适配、合规审查保障及技术迭代机制，严格遵循公司管理要求，确保系统合规、稳定、高效落地。</w:t>
      </w:r>
    </w:p>
    <w:p w14:paraId="6BFCED84">
      <w:pPr>
        <w:adjustRightInd w:val="0"/>
        <w:snapToGrid w:val="0"/>
        <w:spacing w:line="360" w:lineRule="auto"/>
        <w:ind w:firstLine="480" w:firstLineChars="200"/>
        <w:rPr>
          <w:rFonts w:hint="default"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3.4交付成果：研制一套基于视觉与激光点云技术的输变电人员作业安全距离判别系统原型、分析处理工具，配合开展技术创新总结提炼及保护、论文编写相关工作。</w:t>
      </w:r>
    </w:p>
    <w:p w14:paraId="38696AED">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4 </w:t>
      </w:r>
      <w:r>
        <w:rPr>
          <w:rFonts w:hint="eastAsia" w:ascii="宋体" w:hAnsi="宋体"/>
          <w:b/>
          <w:bCs/>
          <w:color w:val="auto"/>
          <w:sz w:val="24"/>
          <w:highlight w:val="none"/>
          <w:lang w:eastAsia="zh-CN"/>
        </w:rPr>
        <w:t>项目</w:t>
      </w:r>
      <w:r>
        <w:rPr>
          <w:rFonts w:hint="eastAsia" w:ascii="宋体" w:hAnsi="宋体"/>
          <w:b/>
          <w:bCs/>
          <w:color w:val="auto"/>
          <w:sz w:val="24"/>
          <w:highlight w:val="none"/>
          <w:lang w:val="en-US" w:eastAsia="zh-CN"/>
        </w:rPr>
        <w:t>服务</w:t>
      </w:r>
      <w:r>
        <w:rPr>
          <w:rFonts w:hint="eastAsia" w:ascii="宋体" w:hAnsi="宋体"/>
          <w:b/>
          <w:bCs/>
          <w:color w:val="auto"/>
          <w:sz w:val="24"/>
          <w:highlight w:val="none"/>
        </w:rPr>
        <w:t>清单</w:t>
      </w:r>
    </w:p>
    <w:tbl>
      <w:tblPr>
        <w:tblStyle w:val="20"/>
        <w:tblW w:w="8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83"/>
        <w:gridCol w:w="2602"/>
        <w:gridCol w:w="954"/>
        <w:gridCol w:w="973"/>
        <w:gridCol w:w="3120"/>
      </w:tblGrid>
      <w:tr w14:paraId="07353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5" w:hRule="atLeast"/>
          <w:jc w:val="center"/>
        </w:trPr>
        <w:tc>
          <w:tcPr>
            <w:tcW w:w="783" w:type="dxa"/>
            <w:tcBorders>
              <w:tl2br w:val="nil"/>
              <w:tr2bl w:val="nil"/>
            </w:tcBorders>
            <w:shd w:val="clear" w:color="auto" w:fill="auto"/>
            <w:vAlign w:val="center"/>
          </w:tcPr>
          <w:p w14:paraId="35528D49">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bidi="ar"/>
              </w:rPr>
              <w:t>序号</w:t>
            </w:r>
          </w:p>
        </w:tc>
        <w:tc>
          <w:tcPr>
            <w:tcW w:w="2602" w:type="dxa"/>
            <w:tcBorders>
              <w:tl2br w:val="nil"/>
              <w:tr2bl w:val="nil"/>
            </w:tcBorders>
            <w:shd w:val="clear" w:color="auto" w:fill="auto"/>
            <w:vAlign w:val="center"/>
          </w:tcPr>
          <w:p w14:paraId="7D3141AC">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服务内容</w:t>
            </w:r>
          </w:p>
        </w:tc>
        <w:tc>
          <w:tcPr>
            <w:tcW w:w="954" w:type="dxa"/>
            <w:tcBorders>
              <w:tl2br w:val="nil"/>
              <w:tr2bl w:val="nil"/>
            </w:tcBorders>
            <w:shd w:val="clear" w:color="auto" w:fill="auto"/>
            <w:vAlign w:val="center"/>
          </w:tcPr>
          <w:p w14:paraId="14FBA61E">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bidi="ar"/>
              </w:rPr>
              <w:t>单位</w:t>
            </w:r>
          </w:p>
        </w:tc>
        <w:tc>
          <w:tcPr>
            <w:tcW w:w="973" w:type="dxa"/>
            <w:tcBorders>
              <w:tl2br w:val="nil"/>
              <w:tr2bl w:val="nil"/>
            </w:tcBorders>
            <w:shd w:val="clear" w:color="auto" w:fill="auto"/>
            <w:vAlign w:val="center"/>
          </w:tcPr>
          <w:p w14:paraId="38A0E61F">
            <w:pPr>
              <w:widowControl/>
              <w:jc w:val="center"/>
              <w:textAlignment w:val="center"/>
              <w:rPr>
                <w:rFonts w:asciiTheme="minorEastAsia" w:hAnsiTheme="minorEastAsia" w:eastAsiaTheme="minorEastAsia" w:cstheme="minorEastAsia"/>
                <w:b/>
                <w:bCs/>
                <w:color w:val="auto"/>
                <w:kern w:val="0"/>
                <w:sz w:val="24"/>
                <w:highlight w:val="none"/>
                <w:lang w:bidi="ar"/>
              </w:rPr>
            </w:pPr>
            <w:r>
              <w:rPr>
                <w:rFonts w:hint="eastAsia" w:asciiTheme="minorEastAsia" w:hAnsiTheme="minorEastAsia" w:eastAsiaTheme="minorEastAsia" w:cstheme="minorEastAsia"/>
                <w:b/>
                <w:bCs/>
                <w:color w:val="auto"/>
                <w:kern w:val="0"/>
                <w:sz w:val="24"/>
                <w:highlight w:val="none"/>
                <w:lang w:bidi="ar"/>
              </w:rPr>
              <w:t>数量</w:t>
            </w:r>
          </w:p>
        </w:tc>
        <w:tc>
          <w:tcPr>
            <w:tcW w:w="3120" w:type="dxa"/>
            <w:tcBorders>
              <w:tl2br w:val="nil"/>
              <w:tr2bl w:val="nil"/>
            </w:tcBorders>
            <w:shd w:val="clear" w:color="auto" w:fill="auto"/>
            <w:vAlign w:val="center"/>
          </w:tcPr>
          <w:p w14:paraId="1C740398">
            <w:pPr>
              <w:widowControl/>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14:paraId="02CDE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783" w:type="dxa"/>
            <w:tcBorders>
              <w:tl2br w:val="nil"/>
              <w:tr2bl w:val="nil"/>
            </w:tcBorders>
            <w:shd w:val="clear" w:color="auto" w:fill="auto"/>
            <w:vAlign w:val="center"/>
          </w:tcPr>
          <w:p w14:paraId="407E91CF">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1</w:t>
            </w:r>
          </w:p>
        </w:tc>
        <w:tc>
          <w:tcPr>
            <w:tcW w:w="2602" w:type="dxa"/>
            <w:tcBorders>
              <w:tl2br w:val="nil"/>
              <w:tr2bl w:val="nil"/>
            </w:tcBorders>
            <w:shd w:val="clear" w:color="auto" w:fill="auto"/>
            <w:vAlign w:val="center"/>
          </w:tcPr>
          <w:p w14:paraId="7288FC54">
            <w:pPr>
              <w:widowControl/>
              <w:jc w:val="center"/>
              <w:textAlignment w:val="center"/>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协助开展</w:t>
            </w:r>
            <w:r>
              <w:rPr>
                <w:rFonts w:hint="eastAsia" w:ascii="宋体" w:hAnsi="宋体"/>
                <w:color w:val="auto"/>
                <w:sz w:val="24"/>
                <w:highlight w:val="none"/>
                <w:lang w:eastAsia="zh-CN"/>
              </w:rPr>
              <w:t>高精度输电线路带电作业安全距离核算系统研究开发</w:t>
            </w:r>
          </w:p>
        </w:tc>
        <w:tc>
          <w:tcPr>
            <w:tcW w:w="954" w:type="dxa"/>
            <w:tcBorders>
              <w:tl2br w:val="nil"/>
              <w:tr2bl w:val="nil"/>
            </w:tcBorders>
            <w:shd w:val="clear" w:color="auto" w:fill="auto"/>
            <w:vAlign w:val="center"/>
          </w:tcPr>
          <w:p w14:paraId="4F8F5FF8">
            <w:pPr>
              <w:adjustRightInd w:val="0"/>
              <w:snapToGrid w:val="0"/>
              <w:spacing w:line="360" w:lineRule="auto"/>
              <w:jc w:val="center"/>
              <w:rPr>
                <w:rFonts w:hint="eastAsia" w:ascii="宋体" w:hAnsi="宋体" w:eastAsia="宋体" w:cs="宋体"/>
                <w:b w:val="0"/>
                <w:bCs w:val="0"/>
                <w:color w:val="auto"/>
                <w:kern w:val="0"/>
                <w:sz w:val="20"/>
                <w:szCs w:val="21"/>
                <w:lang w:val="en-US" w:eastAsia="zh-CN" w:bidi="ar-SA"/>
              </w:rPr>
            </w:pPr>
            <w:r>
              <w:rPr>
                <w:rFonts w:hint="eastAsia" w:asciiTheme="minorEastAsia" w:hAnsiTheme="minorEastAsia" w:eastAsiaTheme="minorEastAsia" w:cstheme="minorEastAsia"/>
                <w:color w:val="auto"/>
                <w:sz w:val="24"/>
                <w:highlight w:val="none"/>
                <w:lang w:val="en-US" w:eastAsia="zh-CN"/>
              </w:rPr>
              <w:t>项</w:t>
            </w:r>
          </w:p>
        </w:tc>
        <w:tc>
          <w:tcPr>
            <w:tcW w:w="973" w:type="dxa"/>
            <w:tcBorders>
              <w:tl2br w:val="nil"/>
              <w:tr2bl w:val="nil"/>
            </w:tcBorders>
            <w:shd w:val="clear" w:color="auto" w:fill="auto"/>
            <w:vAlign w:val="center"/>
          </w:tcPr>
          <w:p w14:paraId="0EE02AA4">
            <w:pPr>
              <w:widowControl/>
              <w:jc w:val="center"/>
              <w:textAlignment w:val="center"/>
              <w:rPr>
                <w:rFonts w:hint="default" w:asciiTheme="minorEastAsia" w:hAnsiTheme="minorEastAsia" w:eastAsiaTheme="minorEastAsia" w:cstheme="minorEastAsia"/>
                <w:color w:val="auto"/>
                <w:kern w:val="0"/>
                <w:sz w:val="24"/>
                <w:highlight w:val="none"/>
                <w:lang w:val="en-US" w:eastAsia="zh-CN" w:bidi="ar"/>
              </w:rPr>
            </w:pPr>
            <w:r>
              <w:rPr>
                <w:rFonts w:hint="eastAsia" w:asciiTheme="minorEastAsia" w:hAnsiTheme="minorEastAsia" w:eastAsiaTheme="minorEastAsia" w:cstheme="minorEastAsia"/>
                <w:color w:val="auto"/>
                <w:kern w:val="0"/>
                <w:sz w:val="24"/>
                <w:highlight w:val="none"/>
                <w:lang w:val="en-US" w:eastAsia="zh-CN" w:bidi="ar"/>
              </w:rPr>
              <w:t xml:space="preserve">1 </w:t>
            </w:r>
          </w:p>
        </w:tc>
        <w:tc>
          <w:tcPr>
            <w:tcW w:w="3120" w:type="dxa"/>
            <w:tcBorders>
              <w:tl2br w:val="nil"/>
              <w:tr2bl w:val="nil"/>
            </w:tcBorders>
            <w:shd w:val="clear" w:color="auto" w:fill="auto"/>
            <w:vAlign w:val="center"/>
          </w:tcPr>
          <w:p w14:paraId="7979C301">
            <w:pPr>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详见技术要求3</w:t>
            </w:r>
          </w:p>
        </w:tc>
      </w:tr>
      <w:bookmarkEnd w:id="10"/>
      <w:bookmarkEnd w:id="11"/>
      <w:bookmarkEnd w:id="12"/>
      <w:bookmarkEnd w:id="13"/>
      <w:bookmarkEnd w:id="14"/>
    </w:tbl>
    <w:p w14:paraId="21728AA3">
      <w:pPr>
        <w:spacing w:line="36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5 </w:t>
      </w:r>
      <w:r>
        <w:rPr>
          <w:rFonts w:hint="eastAsia" w:ascii="宋体" w:hAnsi="宋体" w:cs="宋体"/>
          <w:b/>
          <w:bCs/>
          <w:color w:val="auto"/>
          <w:sz w:val="24"/>
          <w:highlight w:val="none"/>
        </w:rPr>
        <w:t>售后服务要求</w:t>
      </w:r>
    </w:p>
    <w:p w14:paraId="7960774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发票要求：报价单位可提供符合规定税率的全额增值税专用发票。</w:t>
      </w:r>
    </w:p>
    <w:p w14:paraId="367DCBE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质保期及售后服务响应要求：质保期不少于1年，质保期内有任何质量问题将免费进行修理、更换；售后服务的响应时间在4小时内；提供技术支持。</w:t>
      </w:r>
    </w:p>
    <w:p w14:paraId="41CFD18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.3</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交付时间及地点要求：交货时间为202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日前，交货地点为中国南方电网有限责任公司超高压输电公司大理局。</w:t>
      </w:r>
    </w:p>
    <w:p w14:paraId="1DD9CB6C">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 </w:t>
      </w:r>
      <w:r>
        <w:rPr>
          <w:rFonts w:hint="eastAsia" w:ascii="宋体" w:hAnsi="宋体" w:cs="宋体"/>
          <w:b/>
          <w:bCs/>
          <w:color w:val="auto"/>
          <w:sz w:val="24"/>
          <w:highlight w:val="none"/>
        </w:rPr>
        <w:t>报价文件格式要求</w:t>
      </w:r>
    </w:p>
    <w:p w14:paraId="1CD3025C">
      <w:pPr>
        <w:spacing w:line="360" w:lineRule="auto"/>
        <w:ind w:firstLine="480" w:firstLineChars="200"/>
        <w:rPr>
          <w:rFonts w:hint="eastAsia" w:ascii="宋体" w:hAnsi="宋体" w:cs="宋体"/>
          <w:b/>
          <w:bCs/>
          <w:color w:val="auto"/>
          <w:sz w:val="24"/>
          <w:highlight w:val="none"/>
          <w:lang w:val="en-US" w:eastAsia="zh-CN"/>
        </w:rPr>
      </w:pPr>
      <w:r>
        <w:rPr>
          <w:rFonts w:hint="eastAsia" w:ascii="宋体" w:hAnsi="宋体" w:cs="宋体"/>
          <w:color w:val="auto"/>
          <w:sz w:val="24"/>
          <w:highlight w:val="none"/>
          <w:lang w:val="en-US" w:eastAsia="zh-CN"/>
        </w:rPr>
        <w:t xml:space="preserve">6.1 </w:t>
      </w:r>
      <w:r>
        <w:rPr>
          <w:rFonts w:hint="eastAsia" w:ascii="宋体" w:hAnsi="宋体" w:cs="宋体"/>
          <w:b/>
          <w:bCs/>
          <w:color w:val="auto"/>
          <w:sz w:val="24"/>
          <w:highlight w:val="none"/>
        </w:rPr>
        <w:t>报价单位需提供盖章版（单位行政印章）纸质报价文件</w:t>
      </w:r>
      <w:r>
        <w:rPr>
          <w:rFonts w:hint="eastAsia" w:ascii="宋体" w:hAnsi="宋体" w:cs="宋体"/>
          <w:color w:val="auto"/>
          <w:sz w:val="24"/>
          <w:highlight w:val="none"/>
        </w:rPr>
        <w:t>，报价文件包括但不限于：报价表、品质、售后服务及相关资质文件（复印件），</w:t>
      </w:r>
      <w:r>
        <w:rPr>
          <w:rFonts w:hint="eastAsia" w:ascii="宋体" w:hAnsi="宋体"/>
          <w:b/>
          <w:bCs/>
          <w:color w:val="auto"/>
          <w:sz w:val="24"/>
          <w:highlight w:val="none"/>
        </w:rPr>
        <w:t>《</w:t>
      </w:r>
      <w:r>
        <w:rPr>
          <w:rFonts w:hint="eastAsia" w:ascii="宋体" w:hAnsi="宋体" w:cs="宋体"/>
          <w:b/>
          <w:bCs/>
          <w:color w:val="auto"/>
          <w:sz w:val="24"/>
          <w:highlight w:val="none"/>
        </w:rPr>
        <w:t>报价文件格式》</w:t>
      </w:r>
      <w:r>
        <w:rPr>
          <w:rFonts w:hint="eastAsia" w:ascii="宋体" w:hAnsi="宋体" w:cs="宋体"/>
          <w:b/>
          <w:bCs/>
          <w:color w:val="auto"/>
          <w:sz w:val="24"/>
          <w:highlight w:val="none"/>
          <w:lang w:eastAsia="zh-CN"/>
        </w:rPr>
        <w:t>详见附件</w:t>
      </w:r>
      <w:r>
        <w:rPr>
          <w:rFonts w:hint="eastAsia" w:ascii="宋体" w:hAnsi="宋体" w:cs="宋体"/>
          <w:b/>
          <w:bCs/>
          <w:color w:val="auto"/>
          <w:sz w:val="24"/>
          <w:highlight w:val="none"/>
          <w:lang w:val="en-US" w:eastAsia="zh-CN"/>
        </w:rPr>
        <w:t>1。</w:t>
      </w:r>
    </w:p>
    <w:p w14:paraId="416A9A05">
      <w:pPr>
        <w:numPr>
          <w:ilvl w:val="0"/>
          <w:numId w:val="3"/>
        </w:numPr>
        <w:spacing w:line="360" w:lineRule="auto"/>
        <w:ind w:firstLine="482" w:firstLineChars="200"/>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合同条款说明</w:t>
      </w:r>
    </w:p>
    <w:p w14:paraId="33045E6B">
      <w:pPr>
        <w:spacing w:line="360" w:lineRule="auto"/>
        <w:ind w:firstLine="480" w:firstLineChars="200"/>
        <w:rPr>
          <w:rFonts w:hint="eastAsia" w:ascii="宋体" w:hAnsi="宋体" w:cs="宋体"/>
          <w:b/>
          <w:bCs/>
          <w:color w:val="auto"/>
          <w:sz w:val="24"/>
          <w:highlight w:val="none"/>
          <w:lang w:val="en-US" w:eastAsia="zh-CN"/>
        </w:rPr>
      </w:pPr>
      <w:r>
        <w:rPr>
          <w:rFonts w:hint="eastAsia" w:ascii="宋体" w:hAnsi="宋体" w:cs="宋体"/>
          <w:color w:val="auto"/>
          <w:sz w:val="24"/>
          <w:highlight w:val="none"/>
          <w:lang w:val="en-US" w:eastAsia="zh-CN"/>
        </w:rPr>
        <w:t>7.1采购人和成交供应商应当在零星采购成交通知书发出之日起30日内，根据询价材料和成交供应商的报价文件订立书面合同。</w:t>
      </w:r>
    </w:p>
    <w:p w14:paraId="1A2017F7">
      <w:pPr>
        <w:spacing w:line="360" w:lineRule="auto"/>
        <w:ind w:firstLine="480" w:firstLineChars="200"/>
        <w:rPr>
          <w:rFonts w:hint="eastAsia" w:ascii="宋体" w:hAnsi="宋体" w:cs="宋体"/>
          <w:b/>
          <w:bCs/>
          <w:color w:val="auto"/>
          <w:sz w:val="24"/>
          <w:highlight w:val="none"/>
          <w:lang w:val="en-US" w:eastAsia="zh-CN"/>
        </w:rPr>
        <w:sectPr>
          <w:headerReference r:id="rId5" w:type="default"/>
          <w:footerReference r:id="rId6" w:type="default"/>
          <w:pgSz w:w="11906" w:h="16838"/>
          <w:pgMar w:top="1440" w:right="1800" w:bottom="1440" w:left="1800" w:header="851" w:footer="992" w:gutter="0"/>
          <w:pgNumType w:fmt="decimal" w:start="1"/>
          <w:cols w:space="720" w:num="1"/>
          <w:docGrid w:type="lines" w:linePitch="312" w:charSpace="0"/>
        </w:sectPr>
      </w:pPr>
      <w:r>
        <w:rPr>
          <w:rFonts w:hint="eastAsia" w:ascii="宋体" w:hAnsi="宋体" w:cs="宋体"/>
          <w:b w:val="0"/>
          <w:bCs w:val="0"/>
          <w:color w:val="auto"/>
          <w:sz w:val="24"/>
          <w:highlight w:val="none"/>
          <w:lang w:val="en-US" w:eastAsia="zh-CN"/>
        </w:rPr>
        <w:t>7.2合同签署完成后，</w:t>
      </w:r>
      <w:r>
        <w:rPr>
          <w:rFonts w:hint="eastAsia" w:ascii="宋体" w:hAnsi="宋体" w:cs="宋体"/>
          <w:color w:val="auto"/>
          <w:sz w:val="24"/>
          <w:highlight w:val="none"/>
          <w:lang w:val="en-US" w:eastAsia="zh-CN"/>
        </w:rPr>
        <w:t>成交供应商应当在3个月内完成技术合同认定登记。</w:t>
      </w:r>
    </w:p>
    <w:p w14:paraId="438CCFB8">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lang w:eastAsia="zh-CN"/>
        </w:rPr>
        <w:t>附件</w:t>
      </w:r>
      <w:r>
        <w:rPr>
          <w:rFonts w:hint="eastAsia"/>
          <w:b/>
          <w:bCs/>
          <w:color w:val="auto"/>
          <w:spacing w:val="10"/>
          <w:kern w:val="0"/>
          <w:sz w:val="28"/>
          <w:szCs w:val="28"/>
          <w:highlight w:val="none"/>
          <w:lang w:val="en-US" w:eastAsia="zh-CN"/>
        </w:rPr>
        <w:t>1：</w:t>
      </w:r>
      <w:r>
        <w:rPr>
          <w:rFonts w:hint="eastAsia"/>
          <w:b/>
          <w:bCs/>
          <w:color w:val="auto"/>
          <w:spacing w:val="10"/>
          <w:kern w:val="0"/>
          <w:sz w:val="28"/>
          <w:szCs w:val="28"/>
          <w:highlight w:val="none"/>
        </w:rPr>
        <w:t>《报价文件格式》:</w:t>
      </w:r>
    </w:p>
    <w:p w14:paraId="6DB2E745">
      <w:pPr>
        <w:spacing w:line="360" w:lineRule="auto"/>
        <w:jc w:val="center"/>
        <w:outlineLvl w:val="5"/>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Xxx单位</w:t>
      </w:r>
      <w:r>
        <w:rPr>
          <w:rFonts w:hint="eastAsia" w:ascii="宋体" w:hAnsi="宋体" w:eastAsia="宋体" w:cs="宋体"/>
          <w:b/>
          <w:bCs/>
          <w:color w:val="auto"/>
          <w:sz w:val="28"/>
          <w:szCs w:val="28"/>
        </w:rPr>
        <w:t>报价表</w:t>
      </w:r>
    </w:p>
    <w:p w14:paraId="6D3669A2">
      <w:pPr>
        <w:spacing w:line="360" w:lineRule="auto"/>
        <w:jc w:val="center"/>
        <w:outlineLvl w:val="5"/>
        <w:rPr>
          <w:rFonts w:hint="eastAsia" w:ascii="宋体" w:hAnsi="宋体" w:eastAsia="宋体" w:cs="宋体"/>
          <w:b/>
          <w:bCs/>
          <w:color w:val="auto"/>
          <w:spacing w:val="10"/>
          <w:kern w:val="0"/>
          <w:sz w:val="21"/>
          <w:szCs w:val="21"/>
        </w:rPr>
      </w:pPr>
      <w:r>
        <w:rPr>
          <w:rFonts w:hint="eastAsia" w:ascii="宋体" w:hAnsi="宋体" w:eastAsia="宋体" w:cs="宋体"/>
          <w:b/>
          <w:bCs/>
          <w:color w:val="auto"/>
          <w:spacing w:val="10"/>
          <w:kern w:val="0"/>
          <w:sz w:val="21"/>
          <w:szCs w:val="21"/>
        </w:rPr>
        <w:t>包含但不限于以下内容报价</w:t>
      </w:r>
    </w:p>
    <w:p w14:paraId="6F815F95">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报价方名称(盖公章</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单位：元</w:t>
      </w:r>
    </w:p>
    <w:tbl>
      <w:tblPr>
        <w:tblStyle w:val="21"/>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94"/>
        <w:gridCol w:w="446"/>
        <w:gridCol w:w="681"/>
        <w:gridCol w:w="1108"/>
        <w:gridCol w:w="1214"/>
        <w:gridCol w:w="2182"/>
      </w:tblGrid>
      <w:tr w14:paraId="26785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14:paraId="2644B6FB">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序号</w:t>
            </w:r>
          </w:p>
        </w:tc>
        <w:tc>
          <w:tcPr>
            <w:tcW w:w="2494" w:type="dxa"/>
            <w:vAlign w:val="center"/>
          </w:tcPr>
          <w:p w14:paraId="4E4C44C1">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项目名称</w:t>
            </w:r>
          </w:p>
        </w:tc>
        <w:tc>
          <w:tcPr>
            <w:tcW w:w="446" w:type="dxa"/>
            <w:vAlign w:val="center"/>
          </w:tcPr>
          <w:p w14:paraId="48387705">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单位</w:t>
            </w:r>
          </w:p>
        </w:tc>
        <w:tc>
          <w:tcPr>
            <w:tcW w:w="681" w:type="dxa"/>
            <w:vAlign w:val="center"/>
          </w:tcPr>
          <w:p w14:paraId="2D653CBA">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数量</w:t>
            </w:r>
          </w:p>
        </w:tc>
        <w:tc>
          <w:tcPr>
            <w:tcW w:w="1108" w:type="dxa"/>
            <w:vAlign w:val="center"/>
          </w:tcPr>
          <w:p w14:paraId="4F59E5E4">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单价（元）</w:t>
            </w:r>
          </w:p>
        </w:tc>
        <w:tc>
          <w:tcPr>
            <w:tcW w:w="1214" w:type="dxa"/>
            <w:vAlign w:val="center"/>
          </w:tcPr>
          <w:p w14:paraId="7C53F734">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总价（元）</w:t>
            </w:r>
          </w:p>
        </w:tc>
        <w:tc>
          <w:tcPr>
            <w:tcW w:w="2182" w:type="dxa"/>
            <w:vAlign w:val="center"/>
          </w:tcPr>
          <w:p w14:paraId="68E88504">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备注</w:t>
            </w:r>
          </w:p>
        </w:tc>
      </w:tr>
      <w:tr w14:paraId="55B7A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8" w:hRule="atLeast"/>
        </w:trPr>
        <w:tc>
          <w:tcPr>
            <w:tcW w:w="715" w:type="dxa"/>
            <w:vAlign w:val="center"/>
          </w:tcPr>
          <w:p w14:paraId="6558AD5C">
            <w:pPr>
              <w:adjustRightInd w:val="0"/>
              <w:snapToGrid w:val="0"/>
              <w:spacing w:line="360" w:lineRule="auto"/>
              <w:jc w:val="center"/>
              <w:rPr>
                <w:rFonts w:hint="eastAsia" w:ascii="宋体" w:hAnsi="宋体" w:cs="宋体"/>
                <w:b/>
                <w:bCs/>
                <w:color w:val="auto"/>
                <w:kern w:val="0"/>
                <w:sz w:val="20"/>
                <w:szCs w:val="21"/>
              </w:rPr>
            </w:pPr>
            <w:r>
              <w:rPr>
                <w:rFonts w:hint="eastAsia" w:ascii="宋体" w:hAnsi="宋体" w:cs="宋体"/>
                <w:color w:val="auto"/>
                <w:kern w:val="0"/>
                <w:sz w:val="20"/>
                <w:szCs w:val="21"/>
              </w:rPr>
              <w:t>1</w:t>
            </w:r>
          </w:p>
        </w:tc>
        <w:tc>
          <w:tcPr>
            <w:tcW w:w="2494" w:type="dxa"/>
            <w:vAlign w:val="center"/>
          </w:tcPr>
          <w:p w14:paraId="5923DE7C">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r>
              <w:rPr>
                <w:rFonts w:hint="eastAsia" w:ascii="宋体" w:hAnsi="宋体" w:eastAsia="宋体" w:cs="宋体"/>
                <w:b w:val="0"/>
                <w:bCs w:val="0"/>
                <w:color w:val="auto"/>
                <w:kern w:val="0"/>
                <w:sz w:val="20"/>
                <w:szCs w:val="21"/>
                <w:lang w:val="en-US" w:eastAsia="zh-CN"/>
              </w:rPr>
              <w:t>超高压大理局2026年高精度输变电人员作业安全距离判别系统研究开发零星采购项目</w:t>
            </w:r>
          </w:p>
        </w:tc>
        <w:tc>
          <w:tcPr>
            <w:tcW w:w="446" w:type="dxa"/>
            <w:vAlign w:val="center"/>
          </w:tcPr>
          <w:p w14:paraId="52CA20C3">
            <w:pPr>
              <w:adjustRightInd w:val="0"/>
              <w:snapToGrid w:val="0"/>
              <w:spacing w:line="360" w:lineRule="auto"/>
              <w:jc w:val="center"/>
              <w:rPr>
                <w:rFonts w:hint="eastAsia" w:ascii="宋体" w:hAnsi="宋体" w:eastAsia="宋体" w:cs="宋体"/>
                <w:b w:val="0"/>
                <w:bCs w:val="0"/>
                <w:color w:val="auto"/>
                <w:kern w:val="0"/>
                <w:sz w:val="20"/>
                <w:szCs w:val="21"/>
                <w:lang w:eastAsia="zh-CN"/>
              </w:rPr>
            </w:pPr>
            <w:r>
              <w:rPr>
                <w:rFonts w:hint="eastAsia" w:ascii="宋体" w:hAnsi="宋体" w:cs="宋体"/>
                <w:b w:val="0"/>
                <w:bCs w:val="0"/>
                <w:color w:val="auto"/>
                <w:kern w:val="0"/>
                <w:sz w:val="20"/>
                <w:szCs w:val="21"/>
                <w:lang w:val="en-US" w:eastAsia="zh-CN"/>
              </w:rPr>
              <w:t>项</w:t>
            </w:r>
          </w:p>
        </w:tc>
        <w:tc>
          <w:tcPr>
            <w:tcW w:w="681" w:type="dxa"/>
            <w:vAlign w:val="center"/>
          </w:tcPr>
          <w:p w14:paraId="7DB32B22">
            <w:pPr>
              <w:adjustRightInd w:val="0"/>
              <w:snapToGrid w:val="0"/>
              <w:spacing w:line="360" w:lineRule="auto"/>
              <w:jc w:val="center"/>
              <w:rPr>
                <w:rFonts w:hint="eastAsia" w:ascii="宋体" w:hAnsi="宋体" w:cs="宋体"/>
                <w:b w:val="0"/>
                <w:bCs w:val="0"/>
                <w:color w:val="auto"/>
                <w:kern w:val="0"/>
                <w:sz w:val="20"/>
                <w:szCs w:val="21"/>
              </w:rPr>
            </w:pPr>
            <w:r>
              <w:rPr>
                <w:rFonts w:hint="eastAsia" w:ascii="宋体" w:hAnsi="宋体" w:cs="宋体"/>
                <w:b w:val="0"/>
                <w:bCs w:val="0"/>
                <w:color w:val="auto"/>
                <w:kern w:val="0"/>
                <w:sz w:val="20"/>
                <w:szCs w:val="21"/>
              </w:rPr>
              <w:t>1</w:t>
            </w:r>
          </w:p>
        </w:tc>
        <w:tc>
          <w:tcPr>
            <w:tcW w:w="1108" w:type="dxa"/>
            <w:vAlign w:val="center"/>
          </w:tcPr>
          <w:p w14:paraId="30AA8BB6">
            <w:pPr>
              <w:adjustRightInd w:val="0"/>
              <w:snapToGrid w:val="0"/>
              <w:spacing w:line="360" w:lineRule="auto"/>
              <w:jc w:val="center"/>
              <w:rPr>
                <w:rFonts w:hint="eastAsia" w:ascii="宋体" w:hAnsi="宋体" w:cs="宋体"/>
                <w:b w:val="0"/>
                <w:bCs w:val="0"/>
                <w:color w:val="auto"/>
                <w:kern w:val="0"/>
                <w:sz w:val="20"/>
                <w:szCs w:val="21"/>
              </w:rPr>
            </w:pPr>
          </w:p>
        </w:tc>
        <w:tc>
          <w:tcPr>
            <w:tcW w:w="1214" w:type="dxa"/>
            <w:vAlign w:val="center"/>
          </w:tcPr>
          <w:p w14:paraId="19ADE090">
            <w:pPr>
              <w:adjustRightInd w:val="0"/>
              <w:snapToGrid w:val="0"/>
              <w:spacing w:line="360" w:lineRule="auto"/>
              <w:jc w:val="center"/>
              <w:rPr>
                <w:rFonts w:hint="eastAsia" w:ascii="宋体" w:hAnsi="宋体" w:cs="宋体"/>
                <w:b w:val="0"/>
                <w:bCs w:val="0"/>
                <w:color w:val="auto"/>
                <w:kern w:val="0"/>
                <w:sz w:val="20"/>
                <w:szCs w:val="21"/>
              </w:rPr>
            </w:pPr>
          </w:p>
        </w:tc>
        <w:tc>
          <w:tcPr>
            <w:tcW w:w="2182" w:type="dxa"/>
            <w:vAlign w:val="center"/>
          </w:tcPr>
          <w:p w14:paraId="03FDB0C1">
            <w:pPr>
              <w:numPr>
                <w:ilvl w:val="0"/>
                <w:numId w:val="0"/>
              </w:numPr>
              <w:adjustRightInd w:val="0"/>
              <w:snapToGrid w:val="0"/>
              <w:spacing w:line="360" w:lineRule="auto"/>
              <w:jc w:val="both"/>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1、包含执行本项目所发的所有费用；</w:t>
            </w:r>
          </w:p>
          <w:p w14:paraId="1E2AB4DA">
            <w:pPr>
              <w:adjustRightInd w:val="0"/>
              <w:snapToGrid w:val="0"/>
              <w:spacing w:line="360" w:lineRule="auto"/>
              <w:jc w:val="both"/>
              <w:rPr>
                <w:rFonts w:hint="eastAsia" w:ascii="宋体" w:hAnsi="宋体" w:cs="宋体"/>
                <w:b w:val="0"/>
                <w:bCs w:val="0"/>
                <w:color w:val="auto"/>
                <w:kern w:val="0"/>
                <w:sz w:val="20"/>
                <w:szCs w:val="21"/>
              </w:rPr>
            </w:pPr>
            <w:r>
              <w:rPr>
                <w:rFonts w:hint="eastAsia" w:ascii="宋体" w:hAnsi="宋体" w:cs="宋体"/>
                <w:b w:val="0"/>
                <w:bCs w:val="0"/>
                <w:color w:val="auto"/>
                <w:kern w:val="0"/>
                <w:sz w:val="20"/>
                <w:szCs w:val="21"/>
                <w:lang w:val="en-US" w:eastAsia="zh-CN"/>
              </w:rPr>
              <w:t>2、提供全额增值税专用发票。</w:t>
            </w:r>
          </w:p>
        </w:tc>
      </w:tr>
      <w:tr w14:paraId="797E9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840" w:type="dxa"/>
            <w:gridSpan w:val="7"/>
            <w:vAlign w:val="center"/>
          </w:tcPr>
          <w:p w14:paraId="3D9E0B3F">
            <w:pPr>
              <w:adjustRightInd w:val="0"/>
              <w:snapToGrid w:val="0"/>
              <w:spacing w:line="360" w:lineRule="auto"/>
              <w:jc w:val="center"/>
              <w:rPr>
                <w:rFonts w:hint="eastAsia" w:ascii="宋体" w:hAnsi="宋体" w:cs="宋体"/>
                <w:b/>
                <w:bCs/>
                <w:color w:val="auto"/>
                <w:kern w:val="0"/>
                <w:sz w:val="20"/>
                <w:szCs w:val="21"/>
              </w:rPr>
            </w:pPr>
            <w:r>
              <w:rPr>
                <w:rFonts w:hint="eastAsia" w:ascii="宋体" w:hAnsi="宋体" w:cs="宋体"/>
                <w:b/>
                <w:bCs/>
                <w:color w:val="auto"/>
                <w:kern w:val="0"/>
                <w:sz w:val="20"/>
                <w:szCs w:val="21"/>
              </w:rPr>
              <w:t>分项报价清单</w:t>
            </w:r>
          </w:p>
        </w:tc>
      </w:tr>
      <w:tr w14:paraId="43F40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center"/>
          </w:tcPr>
          <w:p w14:paraId="66F3E28B">
            <w:pPr>
              <w:adjustRightInd w:val="0"/>
              <w:snapToGrid w:val="0"/>
              <w:spacing w:line="360" w:lineRule="auto"/>
              <w:jc w:val="center"/>
              <w:rPr>
                <w:rFonts w:hint="eastAsia" w:ascii="宋体" w:hAnsi="宋体" w:cs="宋体"/>
                <w:b/>
                <w:bCs/>
                <w:color w:val="auto"/>
                <w:kern w:val="0"/>
                <w:sz w:val="20"/>
                <w:szCs w:val="21"/>
                <w:lang w:val="en-US" w:eastAsia="zh-CN"/>
              </w:rPr>
            </w:pPr>
            <w:r>
              <w:rPr>
                <w:rFonts w:hint="eastAsia" w:ascii="宋体" w:hAnsi="宋体" w:cs="宋体"/>
                <w:b/>
                <w:bCs/>
                <w:color w:val="auto"/>
                <w:kern w:val="0"/>
                <w:sz w:val="20"/>
                <w:szCs w:val="21"/>
                <w:lang w:val="en-US" w:eastAsia="zh-CN"/>
              </w:rPr>
              <w:t>序号</w:t>
            </w:r>
          </w:p>
        </w:tc>
        <w:tc>
          <w:tcPr>
            <w:tcW w:w="2494" w:type="dxa"/>
            <w:vAlign w:val="center"/>
          </w:tcPr>
          <w:p w14:paraId="48344BB0">
            <w:pPr>
              <w:adjustRightInd w:val="0"/>
              <w:snapToGrid w:val="0"/>
              <w:spacing w:line="240" w:lineRule="auto"/>
              <w:jc w:val="center"/>
              <w:rPr>
                <w:rFonts w:hint="eastAsia" w:ascii="宋体" w:hAnsi="宋体" w:eastAsia="宋体" w:cs="宋体"/>
                <w:b/>
                <w:bCs/>
                <w:color w:val="auto"/>
                <w:kern w:val="0"/>
                <w:sz w:val="20"/>
                <w:szCs w:val="21"/>
                <w:lang w:val="en-US" w:eastAsia="zh-CN"/>
              </w:rPr>
            </w:pPr>
            <w:r>
              <w:rPr>
                <w:rFonts w:hint="eastAsia" w:ascii="宋体" w:hAnsi="宋体" w:cs="宋体"/>
                <w:b/>
                <w:bCs/>
                <w:color w:val="auto"/>
                <w:kern w:val="0"/>
                <w:sz w:val="20"/>
                <w:szCs w:val="21"/>
                <w:lang w:val="en-US" w:eastAsia="zh-CN"/>
              </w:rPr>
              <w:t>采购/服务内容</w:t>
            </w:r>
          </w:p>
        </w:tc>
        <w:tc>
          <w:tcPr>
            <w:tcW w:w="446" w:type="dxa"/>
            <w:vAlign w:val="center"/>
          </w:tcPr>
          <w:p w14:paraId="45173FA0">
            <w:pPr>
              <w:adjustRightInd w:val="0"/>
              <w:snapToGrid w:val="0"/>
              <w:spacing w:line="240" w:lineRule="auto"/>
              <w:jc w:val="center"/>
              <w:rPr>
                <w:rFonts w:hint="eastAsia" w:ascii="宋体" w:hAnsi="宋体" w:eastAsia="宋体" w:cs="宋体"/>
                <w:b/>
                <w:bCs/>
                <w:color w:val="auto"/>
                <w:kern w:val="0"/>
                <w:sz w:val="20"/>
                <w:szCs w:val="21"/>
                <w:lang w:val="en-US" w:eastAsia="zh-CN"/>
              </w:rPr>
            </w:pPr>
            <w:r>
              <w:rPr>
                <w:rFonts w:hint="eastAsia" w:ascii="宋体" w:hAnsi="宋体" w:eastAsia="宋体" w:cs="宋体"/>
                <w:b/>
                <w:bCs/>
                <w:color w:val="auto"/>
                <w:kern w:val="0"/>
                <w:sz w:val="20"/>
                <w:szCs w:val="21"/>
                <w:lang w:val="en-US" w:eastAsia="zh-CN"/>
              </w:rPr>
              <w:t>单位</w:t>
            </w:r>
          </w:p>
        </w:tc>
        <w:tc>
          <w:tcPr>
            <w:tcW w:w="681" w:type="dxa"/>
            <w:vAlign w:val="center"/>
          </w:tcPr>
          <w:p w14:paraId="056FE277">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数量</w:t>
            </w:r>
          </w:p>
        </w:tc>
        <w:tc>
          <w:tcPr>
            <w:tcW w:w="1108" w:type="dxa"/>
            <w:vAlign w:val="center"/>
          </w:tcPr>
          <w:p w14:paraId="3BE5AA56">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单价（元）</w:t>
            </w:r>
          </w:p>
        </w:tc>
        <w:tc>
          <w:tcPr>
            <w:tcW w:w="1214" w:type="dxa"/>
            <w:vAlign w:val="center"/>
          </w:tcPr>
          <w:p w14:paraId="36310D40">
            <w:pPr>
              <w:adjustRightInd w:val="0"/>
              <w:snapToGrid w:val="0"/>
              <w:spacing w:line="360" w:lineRule="auto"/>
              <w:jc w:val="center"/>
              <w:rPr>
                <w:rFonts w:hint="default"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总价（元）</w:t>
            </w:r>
          </w:p>
        </w:tc>
        <w:tc>
          <w:tcPr>
            <w:tcW w:w="2182" w:type="dxa"/>
            <w:vAlign w:val="center"/>
          </w:tcPr>
          <w:p w14:paraId="6CBDF4D9">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备注</w:t>
            </w:r>
          </w:p>
        </w:tc>
      </w:tr>
      <w:tr w14:paraId="69CA3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5" w:type="dxa"/>
            <w:vAlign w:val="center"/>
          </w:tcPr>
          <w:p w14:paraId="3F693F9C">
            <w:pPr>
              <w:adjustRightInd w:val="0"/>
              <w:snapToGrid w:val="0"/>
              <w:spacing w:line="360" w:lineRule="auto"/>
              <w:jc w:val="center"/>
              <w:rPr>
                <w:rFonts w:hint="eastAsia" w:ascii="宋体" w:hAnsi="宋体" w:eastAsia="宋体" w:cs="宋体"/>
                <w:color w:val="auto"/>
                <w:kern w:val="0"/>
                <w:sz w:val="20"/>
                <w:szCs w:val="21"/>
                <w:lang w:eastAsia="zh-CN"/>
              </w:rPr>
            </w:pPr>
            <w:r>
              <w:rPr>
                <w:rFonts w:hint="eastAsia" w:ascii="宋体" w:hAnsi="宋体" w:cs="宋体"/>
                <w:color w:val="auto"/>
                <w:kern w:val="0"/>
                <w:sz w:val="20"/>
                <w:szCs w:val="21"/>
                <w:lang w:val="en-US" w:eastAsia="zh-CN"/>
              </w:rPr>
              <w:t>1</w:t>
            </w:r>
          </w:p>
        </w:tc>
        <w:tc>
          <w:tcPr>
            <w:tcW w:w="2494" w:type="dxa"/>
            <w:vAlign w:val="center"/>
          </w:tcPr>
          <w:p w14:paraId="2A525551">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default" w:ascii="宋体" w:hAnsi="宋体" w:eastAsia="宋体" w:cs="宋体"/>
                <w:b w:val="0"/>
                <w:bCs w:val="0"/>
                <w:color w:val="auto"/>
                <w:kern w:val="0"/>
                <w:sz w:val="20"/>
                <w:szCs w:val="21"/>
                <w:lang w:val="en-US" w:eastAsia="zh-CN"/>
              </w:rPr>
              <w:t>配合完成系统整体架构设计与双技术融合优化</w:t>
            </w:r>
          </w:p>
        </w:tc>
        <w:tc>
          <w:tcPr>
            <w:tcW w:w="446" w:type="dxa"/>
            <w:vAlign w:val="center"/>
          </w:tcPr>
          <w:p w14:paraId="0CCA2377">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81" w:type="dxa"/>
            <w:vAlign w:val="center"/>
          </w:tcPr>
          <w:p w14:paraId="4C85E135">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14:paraId="0621826E">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14:paraId="29AA33BB">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14:paraId="6CBD1547">
            <w:pPr>
              <w:adjustRightInd w:val="0"/>
              <w:snapToGrid w:val="0"/>
              <w:spacing w:line="240" w:lineRule="auto"/>
              <w:jc w:val="center"/>
              <w:rPr>
                <w:rFonts w:hint="eastAsia" w:ascii="宋体" w:hAnsi="宋体" w:cs="宋体"/>
                <w:color w:val="auto"/>
                <w:kern w:val="0"/>
                <w:sz w:val="20"/>
                <w:szCs w:val="21"/>
                <w:lang w:val="en-US" w:eastAsia="zh-CN"/>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14:paraId="00FDE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5" w:type="dxa"/>
            <w:vAlign w:val="center"/>
          </w:tcPr>
          <w:p w14:paraId="1A4A49E3">
            <w:pPr>
              <w:adjustRightInd w:val="0"/>
              <w:snapToGrid w:val="0"/>
              <w:spacing w:line="360" w:lineRule="auto"/>
              <w:jc w:val="center"/>
              <w:rPr>
                <w:rFonts w:hint="default" w:ascii="宋体" w:hAnsi="宋体" w:cs="宋体"/>
                <w:color w:val="auto"/>
                <w:kern w:val="0"/>
                <w:sz w:val="20"/>
                <w:szCs w:val="21"/>
                <w:lang w:val="en-US" w:eastAsia="zh-CN"/>
              </w:rPr>
            </w:pPr>
            <w:r>
              <w:rPr>
                <w:rFonts w:hint="eastAsia" w:ascii="宋体" w:hAnsi="宋体" w:cs="宋体"/>
                <w:color w:val="auto"/>
                <w:kern w:val="0"/>
                <w:sz w:val="20"/>
                <w:szCs w:val="21"/>
                <w:lang w:val="en-US" w:eastAsia="zh-CN"/>
              </w:rPr>
              <w:t>2</w:t>
            </w:r>
          </w:p>
        </w:tc>
        <w:tc>
          <w:tcPr>
            <w:tcW w:w="2494" w:type="dxa"/>
            <w:vAlign w:val="center"/>
          </w:tcPr>
          <w:p w14:paraId="05383E6C">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default" w:ascii="宋体" w:hAnsi="宋体" w:eastAsia="宋体" w:cs="宋体"/>
                <w:b w:val="0"/>
                <w:bCs w:val="0"/>
                <w:color w:val="auto"/>
                <w:kern w:val="0"/>
                <w:sz w:val="20"/>
                <w:szCs w:val="21"/>
                <w:lang w:val="en-US" w:eastAsia="zh-CN"/>
              </w:rPr>
              <w:t>协助研发系统核心功能，构建标准化作业管控流程</w:t>
            </w:r>
          </w:p>
        </w:tc>
        <w:tc>
          <w:tcPr>
            <w:tcW w:w="446" w:type="dxa"/>
            <w:vAlign w:val="center"/>
          </w:tcPr>
          <w:p w14:paraId="6614D06F">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81" w:type="dxa"/>
            <w:vAlign w:val="center"/>
          </w:tcPr>
          <w:p w14:paraId="722E4622">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14:paraId="39D8D1B7">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14:paraId="3DF7FD35">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14:paraId="7114EAD8">
            <w:pPr>
              <w:adjustRightInd w:val="0"/>
              <w:snapToGrid w:val="0"/>
              <w:spacing w:line="240" w:lineRule="auto"/>
              <w:jc w:val="center"/>
              <w:rPr>
                <w:rFonts w:hint="eastAsia" w:ascii="宋体" w:hAnsi="宋体" w:cs="宋体"/>
                <w:b w:val="0"/>
                <w:bCs w:val="0"/>
                <w:color w:val="auto"/>
                <w:kern w:val="0"/>
                <w:sz w:val="20"/>
                <w:szCs w:val="21"/>
                <w:lang w:eastAsia="zh-CN"/>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14:paraId="2069A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5" w:type="dxa"/>
            <w:vAlign w:val="center"/>
          </w:tcPr>
          <w:p w14:paraId="1D32E7B2">
            <w:pPr>
              <w:adjustRightInd w:val="0"/>
              <w:snapToGrid w:val="0"/>
              <w:spacing w:line="360" w:lineRule="auto"/>
              <w:jc w:val="center"/>
              <w:rPr>
                <w:rFonts w:hint="default" w:ascii="宋体" w:hAnsi="宋体" w:cs="宋体"/>
                <w:color w:val="auto"/>
                <w:kern w:val="0"/>
                <w:sz w:val="20"/>
                <w:szCs w:val="21"/>
                <w:lang w:val="en-US" w:eastAsia="zh-CN"/>
              </w:rPr>
            </w:pPr>
            <w:r>
              <w:rPr>
                <w:rFonts w:hint="eastAsia" w:ascii="宋体" w:hAnsi="宋体" w:cs="宋体"/>
                <w:color w:val="auto"/>
                <w:kern w:val="0"/>
                <w:sz w:val="20"/>
                <w:szCs w:val="21"/>
                <w:lang w:val="en-US" w:eastAsia="zh-CN"/>
              </w:rPr>
              <w:t>3</w:t>
            </w:r>
          </w:p>
        </w:tc>
        <w:tc>
          <w:tcPr>
            <w:tcW w:w="2494" w:type="dxa"/>
            <w:vAlign w:val="center"/>
          </w:tcPr>
          <w:p w14:paraId="31DDEF13">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default" w:ascii="宋体" w:hAnsi="宋体" w:eastAsia="宋体" w:cs="宋体"/>
                <w:b w:val="0"/>
                <w:bCs w:val="0"/>
                <w:color w:val="auto"/>
                <w:kern w:val="0"/>
                <w:sz w:val="20"/>
                <w:szCs w:val="21"/>
                <w:lang w:val="en-US" w:eastAsia="zh-CN"/>
              </w:rPr>
              <w:t>配合建立配套保障体系，完善数据加密安全</w:t>
            </w:r>
          </w:p>
        </w:tc>
        <w:tc>
          <w:tcPr>
            <w:tcW w:w="446" w:type="dxa"/>
            <w:vAlign w:val="center"/>
          </w:tcPr>
          <w:p w14:paraId="5A798FCB">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81" w:type="dxa"/>
            <w:vAlign w:val="center"/>
          </w:tcPr>
          <w:p w14:paraId="46C3E3FD">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14:paraId="46513A60">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14:paraId="68AFA501">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14:paraId="6653BD6E">
            <w:pPr>
              <w:adjustRightInd w:val="0"/>
              <w:snapToGrid w:val="0"/>
              <w:spacing w:line="240" w:lineRule="auto"/>
              <w:jc w:val="center"/>
              <w:rPr>
                <w:rFonts w:hint="eastAsia" w:ascii="宋体" w:hAnsi="宋体" w:cs="宋体"/>
                <w:b w:val="0"/>
                <w:bCs w:val="0"/>
                <w:color w:val="auto"/>
                <w:kern w:val="0"/>
                <w:sz w:val="20"/>
                <w:szCs w:val="21"/>
                <w:lang w:eastAsia="zh-CN"/>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14:paraId="129C7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715" w:type="dxa"/>
            <w:vAlign w:val="center"/>
          </w:tcPr>
          <w:p w14:paraId="67060562">
            <w:pPr>
              <w:adjustRightInd w:val="0"/>
              <w:snapToGrid w:val="0"/>
              <w:spacing w:line="360" w:lineRule="auto"/>
              <w:jc w:val="center"/>
              <w:rPr>
                <w:rFonts w:hint="eastAsia" w:ascii="宋体" w:hAnsi="宋体" w:cs="宋体"/>
                <w:color w:val="auto"/>
                <w:kern w:val="0"/>
                <w:sz w:val="20"/>
                <w:szCs w:val="21"/>
              </w:rPr>
            </w:pPr>
          </w:p>
        </w:tc>
        <w:tc>
          <w:tcPr>
            <w:tcW w:w="2494" w:type="dxa"/>
            <w:vAlign w:val="center"/>
          </w:tcPr>
          <w:p w14:paraId="57BDABAD">
            <w:pPr>
              <w:adjustRightInd w:val="0"/>
              <w:snapToGrid w:val="0"/>
              <w:spacing w:line="360" w:lineRule="auto"/>
              <w:ind w:firstLine="843" w:firstLineChars="400"/>
              <w:jc w:val="both"/>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合计</w:t>
            </w:r>
          </w:p>
        </w:tc>
        <w:tc>
          <w:tcPr>
            <w:tcW w:w="5631" w:type="dxa"/>
            <w:gridSpan w:val="5"/>
            <w:vAlign w:val="center"/>
          </w:tcPr>
          <w:p w14:paraId="3D992A6A">
            <w:pPr>
              <w:adjustRightInd w:val="0"/>
              <w:snapToGrid w:val="0"/>
              <w:spacing w:line="36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xx元</w:t>
            </w:r>
          </w:p>
        </w:tc>
      </w:tr>
    </w:tbl>
    <w:p w14:paraId="46B0B86B">
      <w:pPr>
        <w:spacing w:line="360" w:lineRule="auto"/>
        <w:rPr>
          <w:rFonts w:ascii="宋体" w:hAnsi="宋体" w:cs="宋体"/>
          <w:color w:val="auto"/>
          <w:szCs w:val="21"/>
        </w:rPr>
      </w:pPr>
      <w:r>
        <w:rPr>
          <w:rFonts w:hint="eastAsia" w:ascii="宋体" w:hAnsi="宋体" w:cs="宋体"/>
          <w:color w:val="auto"/>
          <w:szCs w:val="21"/>
        </w:rPr>
        <w:t>注：</w:t>
      </w:r>
    </w:p>
    <w:p w14:paraId="71FA38E3">
      <w:pPr>
        <w:spacing w:line="360" w:lineRule="auto"/>
        <w:rPr>
          <w:rFonts w:ascii="宋体" w:hAnsi="宋体" w:cs="宋体"/>
          <w:color w:val="auto"/>
          <w:szCs w:val="21"/>
        </w:rPr>
      </w:pPr>
      <w:r>
        <w:rPr>
          <w:rFonts w:hint="eastAsia" w:ascii="宋体" w:hAnsi="宋体" w:cs="宋体"/>
          <w:color w:val="auto"/>
          <w:spacing w:val="-1"/>
          <w:szCs w:val="21"/>
        </w:rPr>
        <w:t>1、若单价和总价有差异，以单价为准；</w:t>
      </w:r>
    </w:p>
    <w:p w14:paraId="487CBAF8">
      <w:pPr>
        <w:spacing w:line="360" w:lineRule="auto"/>
        <w:rPr>
          <w:rFonts w:ascii="宋体" w:hAnsi="宋体" w:cs="宋体"/>
          <w:color w:val="auto"/>
          <w:szCs w:val="21"/>
        </w:rPr>
      </w:pPr>
      <w:r>
        <w:rPr>
          <w:rFonts w:hint="eastAsia" w:ascii="宋体" w:hAnsi="宋体" w:cs="宋体"/>
          <w:color w:val="auto"/>
          <w:spacing w:val="-1"/>
          <w:szCs w:val="21"/>
        </w:rPr>
        <w:t>2、</w:t>
      </w:r>
      <w:r>
        <w:rPr>
          <w:rFonts w:hint="eastAsia" w:ascii="宋体" w:hAnsi="宋体" w:cs="宋体"/>
          <w:bCs/>
          <w:color w:val="auto"/>
          <w:spacing w:val="2"/>
          <w:szCs w:val="21"/>
        </w:rPr>
        <w:t>报价方</w:t>
      </w:r>
      <w:r>
        <w:rPr>
          <w:rFonts w:hint="eastAsia" w:ascii="宋体" w:hAnsi="宋体" w:cs="宋体"/>
          <w:color w:val="auto"/>
          <w:spacing w:val="-1"/>
          <w:szCs w:val="21"/>
        </w:rPr>
        <w:t>为执行本项目所发生的其他一切费用均已包含在总价中；</w:t>
      </w:r>
    </w:p>
    <w:p w14:paraId="361EEBD1">
      <w:pPr>
        <w:spacing w:line="360" w:lineRule="auto"/>
        <w:rPr>
          <w:rFonts w:hint="eastAsia" w:ascii="宋体" w:hAnsi="宋体" w:cs="宋体"/>
          <w:color w:val="auto"/>
          <w:spacing w:val="-1"/>
          <w:szCs w:val="21"/>
        </w:rPr>
      </w:pPr>
      <w:r>
        <w:rPr>
          <w:rFonts w:hint="eastAsia" w:ascii="宋体" w:hAnsi="宋体" w:cs="宋体"/>
          <w:color w:val="auto"/>
          <w:spacing w:val="-1"/>
          <w:szCs w:val="21"/>
        </w:rPr>
        <w:t>3、按照询价文件中的需求进行报价，报价包含运杂费、服务</w:t>
      </w:r>
      <w:r>
        <w:rPr>
          <w:rFonts w:hint="eastAsia" w:ascii="宋体" w:hAnsi="宋体" w:cs="宋体"/>
          <w:color w:val="auto"/>
          <w:spacing w:val="-1"/>
          <w:szCs w:val="21"/>
          <w:lang w:val="en-US" w:eastAsia="zh-CN"/>
        </w:rPr>
        <w:t>/产品</w:t>
      </w:r>
      <w:r>
        <w:rPr>
          <w:rFonts w:hint="eastAsia" w:ascii="宋体" w:hAnsi="宋体" w:cs="宋体"/>
          <w:color w:val="auto"/>
          <w:spacing w:val="-1"/>
          <w:szCs w:val="21"/>
        </w:rPr>
        <w:t>费</w:t>
      </w:r>
      <w:r>
        <w:rPr>
          <w:rFonts w:hint="eastAsia" w:ascii="宋体" w:hAnsi="宋体" w:cs="宋体"/>
          <w:color w:val="auto"/>
          <w:spacing w:val="-1"/>
          <w:szCs w:val="21"/>
          <w:lang w:eastAsia="zh-CN"/>
        </w:rPr>
        <w:t>、税费</w:t>
      </w:r>
      <w:r>
        <w:rPr>
          <w:rFonts w:hint="eastAsia" w:ascii="宋体" w:hAnsi="宋体" w:cs="宋体"/>
          <w:color w:val="auto"/>
          <w:spacing w:val="-1"/>
          <w:szCs w:val="21"/>
        </w:rPr>
        <w:t xml:space="preserve">，发票应按照分项报价清单分项开具对应符合规定税率的全额增值税专用发票。 </w:t>
      </w:r>
    </w:p>
    <w:p w14:paraId="751F4B9E">
      <w:pPr>
        <w:spacing w:line="360" w:lineRule="auto"/>
        <w:jc w:val="right"/>
        <w:rPr>
          <w:rFonts w:hint="eastAsia" w:ascii="宋体" w:hAnsi="宋体" w:cs="宋体"/>
          <w:color w:val="auto"/>
          <w:spacing w:val="-1"/>
          <w:szCs w:val="21"/>
        </w:rPr>
      </w:pPr>
    </w:p>
    <w:p w14:paraId="2ED2DC00">
      <w:pPr>
        <w:wordWrap w:val="0"/>
        <w:spacing w:line="360" w:lineRule="auto"/>
        <w:jc w:val="right"/>
        <w:rPr>
          <w:rFonts w:hint="default" w:ascii="宋体" w:hAnsi="宋体" w:eastAsia="宋体" w:cs="宋体"/>
          <w:color w:val="auto"/>
          <w:spacing w:val="-1"/>
          <w:szCs w:val="21"/>
          <w:lang w:val="en-US" w:eastAsia="zh-CN"/>
        </w:rPr>
      </w:pPr>
      <w:r>
        <w:rPr>
          <w:rFonts w:hint="eastAsia" w:ascii="宋体" w:hAnsi="宋体" w:cs="宋体"/>
          <w:color w:val="auto"/>
          <w:spacing w:val="-1"/>
          <w:szCs w:val="21"/>
        </w:rPr>
        <w:t>法定代表人或其授权代理人签字：</w:t>
      </w:r>
      <w:r>
        <w:rPr>
          <w:rFonts w:hint="eastAsia" w:ascii="宋体" w:hAnsi="宋体" w:cs="宋体"/>
          <w:color w:val="auto"/>
          <w:spacing w:val="-1"/>
          <w:szCs w:val="21"/>
          <w:lang w:val="en-US" w:eastAsia="zh-CN"/>
        </w:rPr>
        <w:t xml:space="preserve">     </w:t>
      </w:r>
    </w:p>
    <w:p w14:paraId="73BB2C5F">
      <w:pPr>
        <w:wordWrap w:val="0"/>
        <w:spacing w:line="360" w:lineRule="auto"/>
        <w:jc w:val="right"/>
        <w:rPr>
          <w:rFonts w:hint="default" w:eastAsia="宋体" w:asciiTheme="minorEastAsia" w:hAnsiTheme="minorEastAsia" w:cstheme="minorEastAsia"/>
          <w:color w:val="auto"/>
          <w:kern w:val="0"/>
          <w:sz w:val="24"/>
          <w:highlight w:val="none"/>
          <w:lang w:val="en-US" w:eastAsia="zh-CN"/>
        </w:rPr>
      </w:pPr>
      <w:r>
        <w:rPr>
          <w:rFonts w:hint="eastAsia" w:ascii="宋体" w:hAnsi="宋体" w:cs="宋体"/>
          <w:color w:val="auto"/>
          <w:spacing w:val="-1"/>
          <w:szCs w:val="21"/>
        </w:rPr>
        <w:t>年     月     日</w:t>
      </w:r>
      <w:r>
        <w:rPr>
          <w:rFonts w:hint="eastAsia" w:ascii="宋体" w:hAnsi="宋体" w:cs="宋体"/>
          <w:color w:val="auto"/>
          <w:spacing w:val="-1"/>
          <w:szCs w:val="21"/>
          <w:lang w:val="en-US" w:eastAsia="zh-CN"/>
        </w:rPr>
        <w:t xml:space="preserve">          </w:t>
      </w:r>
    </w:p>
    <w:p w14:paraId="31D71EDE">
      <w:pPr>
        <w:spacing w:line="360" w:lineRule="auto"/>
        <w:jc w:val="center"/>
        <w:rPr>
          <w:color w:val="auto"/>
          <w:spacing w:val="-1"/>
          <w:sz w:val="24"/>
          <w:highlight w:val="none"/>
        </w:rPr>
        <w:sectPr>
          <w:footerReference r:id="rId7" w:type="default"/>
          <w:pgSz w:w="11906" w:h="16838"/>
          <w:pgMar w:top="1440" w:right="1800" w:bottom="1440" w:left="1800" w:header="851" w:footer="992" w:gutter="0"/>
          <w:pgNumType w:fmt="decimal"/>
          <w:cols w:space="720" w:num="1"/>
          <w:docGrid w:type="lines" w:linePitch="312" w:charSpace="0"/>
        </w:sectPr>
      </w:pPr>
    </w:p>
    <w:p w14:paraId="02D8CCC7">
      <w:pPr>
        <w:spacing w:line="360" w:lineRule="auto"/>
        <w:jc w:val="center"/>
        <w:outlineLvl w:val="5"/>
        <w:rPr>
          <w:rFonts w:ascii="宋体" w:hAnsi="宋体" w:cs="宋体"/>
          <w:color w:val="auto"/>
          <w:szCs w:val="21"/>
          <w:highlight w:val="none"/>
        </w:rPr>
      </w:pPr>
      <w:r>
        <w:rPr>
          <w:rFonts w:hint="eastAsia"/>
          <w:b/>
          <w:bCs/>
          <w:color w:val="auto"/>
          <w:spacing w:val="14"/>
          <w:kern w:val="0"/>
          <w:sz w:val="28"/>
          <w:szCs w:val="28"/>
          <w:highlight w:val="none"/>
        </w:rPr>
        <w:t>品质</w:t>
      </w:r>
    </w:p>
    <w:tbl>
      <w:tblPr>
        <w:tblStyle w:val="20"/>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6422"/>
        <w:gridCol w:w="1544"/>
      </w:tblGrid>
      <w:tr w14:paraId="3B6AEC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14:paraId="61BEB16F">
            <w:pPr>
              <w:widowControl/>
              <w:jc w:val="both"/>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序号</w:t>
            </w:r>
          </w:p>
        </w:tc>
        <w:tc>
          <w:tcPr>
            <w:tcW w:w="6422" w:type="dxa"/>
            <w:tcBorders>
              <w:tl2br w:val="nil"/>
              <w:tr2bl w:val="nil"/>
            </w:tcBorders>
            <w:shd w:val="clear" w:color="auto" w:fill="auto"/>
            <w:vAlign w:val="center"/>
          </w:tcPr>
          <w:p w14:paraId="45069D23">
            <w:pPr>
              <w:widowControl/>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技术要求</w:t>
            </w:r>
          </w:p>
        </w:tc>
        <w:tc>
          <w:tcPr>
            <w:tcW w:w="1544" w:type="dxa"/>
            <w:tcBorders>
              <w:tl2br w:val="nil"/>
              <w:tr2bl w:val="nil"/>
            </w:tcBorders>
            <w:shd w:val="clear" w:color="auto" w:fill="auto"/>
            <w:vAlign w:val="center"/>
          </w:tcPr>
          <w:p w14:paraId="78908671">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14:paraId="798A1490">
            <w:pPr>
              <w:widowControl/>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（填：是/否）</w:t>
            </w:r>
          </w:p>
        </w:tc>
      </w:tr>
      <w:tr w14:paraId="1A73CE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714" w:hRule="exact"/>
          <w:jc w:val="center"/>
        </w:trPr>
        <w:tc>
          <w:tcPr>
            <w:tcW w:w="8554" w:type="dxa"/>
            <w:gridSpan w:val="3"/>
            <w:tcBorders>
              <w:tl2br w:val="nil"/>
              <w:tr2bl w:val="nil"/>
            </w:tcBorders>
            <w:shd w:val="clear" w:color="auto" w:fill="auto"/>
            <w:vAlign w:val="center"/>
          </w:tcPr>
          <w:p w14:paraId="55972B6C">
            <w:pPr>
              <w:jc w:val="center"/>
              <w:rPr>
                <w:rFonts w:hint="eastAsia" w:asciiTheme="minorEastAsia" w:hAnsiTheme="minorEastAsia" w:eastAsiaTheme="minorEastAsia" w:cstheme="minorEastAsia"/>
                <w:color w:val="auto"/>
                <w:sz w:val="24"/>
                <w:highlight w:val="yellow"/>
                <w:lang w:eastAsia="zh-CN"/>
              </w:rPr>
            </w:pPr>
            <w:r>
              <w:rPr>
                <w:rFonts w:hint="eastAsia" w:asciiTheme="minorEastAsia" w:hAnsiTheme="minorEastAsia" w:eastAsiaTheme="minorEastAsia" w:cstheme="minorEastAsia"/>
                <w:color w:val="auto"/>
                <w:sz w:val="24"/>
                <w:highlight w:val="none"/>
                <w:lang w:eastAsia="zh-CN"/>
              </w:rPr>
              <w:t>超高压大理局2026年高精度输变电人员作业安全距离判别系统研究开发零星采购项目</w:t>
            </w:r>
          </w:p>
        </w:tc>
      </w:tr>
      <w:tr w14:paraId="586069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136" w:hRule="exact"/>
          <w:jc w:val="center"/>
        </w:trPr>
        <w:tc>
          <w:tcPr>
            <w:tcW w:w="588" w:type="dxa"/>
            <w:tcBorders>
              <w:tl2br w:val="nil"/>
              <w:tr2bl w:val="nil"/>
            </w:tcBorders>
            <w:shd w:val="clear" w:color="auto" w:fill="auto"/>
            <w:vAlign w:val="center"/>
          </w:tcPr>
          <w:p w14:paraId="15715DDE">
            <w:pPr>
              <w:widowControl/>
              <w:jc w:val="center"/>
              <w:textAlignment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bidi="ar"/>
              </w:rPr>
              <w:t>1</w:t>
            </w:r>
          </w:p>
        </w:tc>
        <w:tc>
          <w:tcPr>
            <w:tcW w:w="6422" w:type="dxa"/>
            <w:tcBorders>
              <w:tl2br w:val="nil"/>
              <w:tr2bl w:val="nil"/>
            </w:tcBorders>
            <w:shd w:val="clear" w:color="auto" w:fill="auto"/>
            <w:vAlign w:val="center"/>
          </w:tcPr>
          <w:p w14:paraId="513BFBEE">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配合完成系统整体架构设计与双技术融合优化。搭建视觉与激光点云协同融合的系统总体框架，优化点云数据去噪、配准、轻量化建模核心算法，迭代升级机器视觉的设备识别、轮廓提取。实现三维点云模型与实时视觉影像的数据融合，完成多源数据坐标统一与可视化展示，开发安全距离智能判别、超限风险预警核心功能模块，预留系统功能拓展、外部设备及平台对接接口，支撑后续系统迭代升级。</w:t>
            </w:r>
          </w:p>
        </w:tc>
        <w:tc>
          <w:tcPr>
            <w:tcW w:w="1544" w:type="dxa"/>
            <w:tcBorders>
              <w:tl2br w:val="nil"/>
              <w:tr2bl w:val="nil"/>
            </w:tcBorders>
            <w:shd w:val="clear" w:color="auto" w:fill="auto"/>
            <w:vAlign w:val="center"/>
          </w:tcPr>
          <w:p w14:paraId="4586F8AA">
            <w:pPr>
              <w:rPr>
                <w:rFonts w:hint="eastAsia" w:ascii="宋体" w:hAnsi="宋体" w:eastAsia="宋体" w:cs="宋体"/>
                <w:color w:val="auto"/>
                <w:sz w:val="21"/>
                <w:szCs w:val="21"/>
                <w:highlight w:val="none"/>
                <w:lang w:val="en-US" w:eastAsia="zh-CN"/>
              </w:rPr>
            </w:pPr>
          </w:p>
        </w:tc>
      </w:tr>
      <w:tr w14:paraId="529901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942" w:hRule="exact"/>
          <w:jc w:val="center"/>
        </w:trPr>
        <w:tc>
          <w:tcPr>
            <w:tcW w:w="588" w:type="dxa"/>
            <w:tcBorders>
              <w:tl2br w:val="nil"/>
              <w:tr2bl w:val="nil"/>
            </w:tcBorders>
            <w:shd w:val="clear" w:color="auto" w:fill="auto"/>
            <w:vAlign w:val="center"/>
          </w:tcPr>
          <w:p w14:paraId="67E670FE">
            <w:pPr>
              <w:widowControl/>
              <w:jc w:val="center"/>
              <w:textAlignment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bidi="ar"/>
              </w:rPr>
              <w:t>2</w:t>
            </w:r>
          </w:p>
        </w:tc>
        <w:tc>
          <w:tcPr>
            <w:tcW w:w="6422" w:type="dxa"/>
            <w:tcBorders>
              <w:tl2br w:val="nil"/>
              <w:tr2bl w:val="nil"/>
            </w:tcBorders>
            <w:shd w:val="clear" w:color="auto" w:fill="auto"/>
            <w:vAlign w:val="center"/>
          </w:tcPr>
          <w:p w14:paraId="09AE7FCF">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协助研发系统核心功能，构建标准化作业管控流程。贴合输变电多场景作业管控需求，研发三维模型管理、视觉实时监测、点云精准测距、安全距离智能判别等核心功能。优化精简数据处理、模型更新、安全校核等全流程业务环节，建立适配不同电压等级、不同作业类型的标准化判别机制，彻底替代传统人工判别模式，显著提升现场安全管控的精准度与工作效率。</w:t>
            </w:r>
          </w:p>
        </w:tc>
        <w:tc>
          <w:tcPr>
            <w:tcW w:w="1544" w:type="dxa"/>
            <w:tcBorders>
              <w:tl2br w:val="nil"/>
              <w:tr2bl w:val="nil"/>
            </w:tcBorders>
            <w:shd w:val="clear" w:color="auto" w:fill="auto"/>
            <w:vAlign w:val="center"/>
          </w:tcPr>
          <w:p w14:paraId="252DEC88">
            <w:pPr>
              <w:rPr>
                <w:rFonts w:hint="eastAsia" w:ascii="宋体" w:hAnsi="宋体" w:eastAsia="宋体" w:cs="宋体"/>
                <w:color w:val="auto"/>
                <w:sz w:val="21"/>
                <w:szCs w:val="21"/>
                <w:highlight w:val="none"/>
                <w:lang w:val="en-US" w:eastAsia="zh-CN"/>
              </w:rPr>
            </w:pPr>
          </w:p>
        </w:tc>
      </w:tr>
      <w:tr w14:paraId="42F581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80" w:hRule="exact"/>
          <w:jc w:val="center"/>
        </w:trPr>
        <w:tc>
          <w:tcPr>
            <w:tcW w:w="588" w:type="dxa"/>
            <w:tcBorders>
              <w:tl2br w:val="nil"/>
              <w:tr2bl w:val="nil"/>
            </w:tcBorders>
            <w:shd w:val="clear" w:color="auto" w:fill="auto"/>
            <w:vAlign w:val="center"/>
          </w:tcPr>
          <w:p w14:paraId="66C15052">
            <w:pPr>
              <w:widowControl/>
              <w:jc w:val="center"/>
              <w:textAlignment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bidi="ar"/>
              </w:rPr>
              <w:t>3</w:t>
            </w:r>
          </w:p>
        </w:tc>
        <w:tc>
          <w:tcPr>
            <w:tcW w:w="6422" w:type="dxa"/>
            <w:tcBorders>
              <w:tl2br w:val="nil"/>
              <w:tr2bl w:val="nil"/>
            </w:tcBorders>
            <w:shd w:val="clear" w:color="auto" w:fill="auto"/>
            <w:vAlign w:val="center"/>
          </w:tcPr>
          <w:p w14:paraId="5DBB8999">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配合建立配套保障体系，完善数据加密安全、现有设备适配、合规审查保障及技术迭代机制，严格遵循公司管理要求，确保系统合规、稳定、高效落地。</w:t>
            </w:r>
          </w:p>
        </w:tc>
        <w:tc>
          <w:tcPr>
            <w:tcW w:w="1544" w:type="dxa"/>
            <w:tcBorders>
              <w:tl2br w:val="nil"/>
              <w:tr2bl w:val="nil"/>
            </w:tcBorders>
            <w:shd w:val="clear" w:color="auto" w:fill="auto"/>
            <w:vAlign w:val="center"/>
          </w:tcPr>
          <w:p w14:paraId="27F0924C">
            <w:pPr>
              <w:jc w:val="center"/>
              <w:rPr>
                <w:rFonts w:hint="eastAsia" w:ascii="宋体" w:hAnsi="宋体" w:eastAsia="宋体" w:cs="宋体"/>
                <w:color w:val="auto"/>
                <w:sz w:val="21"/>
                <w:szCs w:val="21"/>
                <w:highlight w:val="none"/>
              </w:rPr>
            </w:pPr>
          </w:p>
        </w:tc>
      </w:tr>
      <w:tr w14:paraId="06297C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77" w:hRule="exact"/>
          <w:jc w:val="center"/>
        </w:trPr>
        <w:tc>
          <w:tcPr>
            <w:tcW w:w="588" w:type="dxa"/>
            <w:tcBorders>
              <w:tl2br w:val="nil"/>
              <w:tr2bl w:val="nil"/>
            </w:tcBorders>
            <w:shd w:val="clear" w:color="auto" w:fill="auto"/>
            <w:vAlign w:val="center"/>
          </w:tcPr>
          <w:p w14:paraId="0996B710">
            <w:pPr>
              <w:widowControl/>
              <w:jc w:val="center"/>
              <w:textAlignment w:val="center"/>
              <w:rPr>
                <w:rFonts w:hint="eastAsia" w:ascii="宋体" w:hAnsi="宋体" w:eastAsia="宋体" w:cs="宋体"/>
                <w:b w:val="0"/>
                <w:bCs/>
                <w:color w:val="auto"/>
                <w:kern w:val="0"/>
                <w:sz w:val="21"/>
                <w:szCs w:val="21"/>
                <w:highlight w:val="none"/>
                <w:lang w:bidi="ar"/>
              </w:rPr>
            </w:pPr>
            <w:r>
              <w:rPr>
                <w:rFonts w:hint="eastAsia" w:ascii="宋体" w:hAnsi="宋体" w:eastAsia="宋体" w:cs="宋体"/>
                <w:b w:val="0"/>
                <w:bCs/>
                <w:color w:val="auto"/>
                <w:kern w:val="0"/>
                <w:sz w:val="21"/>
                <w:szCs w:val="21"/>
                <w:highlight w:val="none"/>
                <w:lang w:bidi="ar"/>
              </w:rPr>
              <w:t>4</w:t>
            </w:r>
          </w:p>
        </w:tc>
        <w:tc>
          <w:tcPr>
            <w:tcW w:w="6422" w:type="dxa"/>
            <w:tcBorders>
              <w:tl2br w:val="nil"/>
              <w:tr2bl w:val="nil"/>
            </w:tcBorders>
            <w:shd w:val="clear" w:color="auto" w:fill="auto"/>
            <w:vAlign w:val="center"/>
          </w:tcPr>
          <w:p w14:paraId="3156F030">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交付成果：研制一套基于视觉与激光点云技术的输变电人员作业安全距离判别系统原型、分析处理工具，配合开展技术创新总结提炼及保护、论文编写相关工作</w:t>
            </w:r>
            <w:bookmarkStart w:id="15" w:name="_GoBack"/>
            <w:bookmarkEnd w:id="15"/>
            <w:r>
              <w:rPr>
                <w:rFonts w:hint="eastAsia" w:ascii="宋体" w:hAnsi="宋体" w:eastAsia="宋体" w:cs="宋体"/>
                <w:color w:val="auto"/>
                <w:sz w:val="21"/>
                <w:szCs w:val="21"/>
                <w:highlight w:val="none"/>
                <w:lang w:val="en-US" w:eastAsia="zh-CN"/>
              </w:rPr>
              <w:t>。</w:t>
            </w:r>
          </w:p>
          <w:p w14:paraId="5C4D7FEA">
            <w:pPr>
              <w:rPr>
                <w:rFonts w:hint="eastAsia" w:ascii="宋体" w:hAnsi="宋体" w:eastAsia="宋体" w:cs="宋体"/>
                <w:color w:val="auto"/>
                <w:sz w:val="21"/>
                <w:szCs w:val="21"/>
                <w:highlight w:val="none"/>
                <w:lang w:val="en-US" w:eastAsia="zh-CN"/>
              </w:rPr>
            </w:pPr>
          </w:p>
        </w:tc>
        <w:tc>
          <w:tcPr>
            <w:tcW w:w="1544" w:type="dxa"/>
            <w:tcBorders>
              <w:tl2br w:val="nil"/>
              <w:tr2bl w:val="nil"/>
            </w:tcBorders>
            <w:shd w:val="clear" w:color="auto" w:fill="auto"/>
            <w:vAlign w:val="center"/>
          </w:tcPr>
          <w:p w14:paraId="23048B88">
            <w:pPr>
              <w:jc w:val="center"/>
              <w:rPr>
                <w:rFonts w:hint="eastAsia" w:ascii="宋体" w:hAnsi="宋体" w:eastAsia="宋体" w:cs="宋体"/>
                <w:color w:val="auto"/>
                <w:sz w:val="21"/>
                <w:szCs w:val="21"/>
                <w:highlight w:val="none"/>
              </w:rPr>
            </w:pPr>
          </w:p>
        </w:tc>
      </w:tr>
    </w:tbl>
    <w:p w14:paraId="50CC488E">
      <w:pPr>
        <w:tabs>
          <w:tab w:val="left" w:pos="7180"/>
          <w:tab w:val="left" w:pos="7601"/>
        </w:tabs>
        <w:spacing w:line="360" w:lineRule="auto"/>
        <w:jc w:val="right"/>
        <w:rPr>
          <w:rFonts w:hint="eastAsia" w:asciiTheme="minorEastAsia" w:hAnsiTheme="minorEastAsia" w:eastAsiaTheme="minorEastAsia" w:cstheme="minorEastAsia"/>
          <w:color w:val="auto"/>
          <w:spacing w:val="-1"/>
          <w:kern w:val="0"/>
          <w:sz w:val="24"/>
          <w:highlight w:val="none"/>
          <w:lang w:val="zh-CN"/>
        </w:rPr>
      </w:pPr>
    </w:p>
    <w:p w14:paraId="3F3F68F5">
      <w:pPr>
        <w:tabs>
          <w:tab w:val="left" w:pos="7180"/>
          <w:tab w:val="left" w:pos="7601"/>
        </w:tabs>
        <w:spacing w:line="360" w:lineRule="auto"/>
        <w:jc w:val="right"/>
        <w:rPr>
          <w:rFonts w:asciiTheme="minorEastAsia" w:hAnsiTheme="minorEastAsia" w:eastAsiaTheme="minorEastAsia" w:cstheme="minorEastAsia"/>
          <w:color w:val="auto"/>
          <w:spacing w:val="23"/>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zh-CN"/>
        </w:rPr>
        <w:t>报价单位：</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（盖单位章）</w:t>
      </w:r>
    </w:p>
    <w:p w14:paraId="25D4F217">
      <w:pPr>
        <w:tabs>
          <w:tab w:val="left" w:pos="7180"/>
          <w:tab w:val="left" w:pos="7601"/>
        </w:tabs>
        <w:spacing w:line="360" w:lineRule="auto"/>
        <w:jc w:val="left"/>
        <w:rPr>
          <w:rFonts w:asciiTheme="minorEastAsia" w:hAnsiTheme="minorEastAsia" w:eastAsiaTheme="minorEastAsia" w:cstheme="minorEastAsia"/>
          <w:color w:val="auto"/>
          <w:spacing w:val="-1"/>
          <w:kern w:val="0"/>
          <w:sz w:val="24"/>
          <w:highlight w:val="none"/>
          <w:lang w:val="zh-CN"/>
        </w:rPr>
      </w:pPr>
    </w:p>
    <w:p w14:paraId="6C49CFE5">
      <w:pPr>
        <w:tabs>
          <w:tab w:val="left" w:pos="7180"/>
          <w:tab w:val="left" w:pos="7601"/>
        </w:tabs>
        <w:spacing w:line="360" w:lineRule="auto"/>
        <w:jc w:val="right"/>
        <w:rPr>
          <w:rFonts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zh-CN"/>
        </w:rPr>
        <w:t>法定代表人或授权代表：</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（签字）</w:t>
      </w:r>
    </w:p>
    <w:p w14:paraId="259D221D">
      <w:pPr>
        <w:tabs>
          <w:tab w:val="left" w:pos="722"/>
          <w:tab w:val="left" w:pos="1323"/>
        </w:tabs>
        <w:spacing w:line="360" w:lineRule="auto"/>
        <w:ind w:firstLine="6000" w:firstLineChars="2500"/>
        <w:jc w:val="both"/>
        <w:rPr>
          <w:b/>
          <w:bCs/>
          <w:color w:val="auto"/>
          <w:spacing w:val="14"/>
          <w:kern w:val="0"/>
          <w:sz w:val="28"/>
          <w:szCs w:val="28"/>
          <w:highlight w:val="none"/>
        </w:rPr>
      </w:pPr>
      <w:r>
        <w:rPr>
          <w:rFonts w:hint="eastAsia" w:asciiTheme="minorEastAsia" w:hAnsiTheme="minorEastAsia" w:eastAsiaTheme="minorEastAsia" w:cstheme="minorEastAsia"/>
          <w:color w:val="auto"/>
          <w:kern w:val="0"/>
          <w:sz w:val="24"/>
          <w:highlight w:val="none"/>
          <w:lang w:val="zh-CN"/>
        </w:rPr>
        <w:t>年      月      日</w:t>
      </w:r>
    </w:p>
    <w:p w14:paraId="1B885228">
      <w:pPr>
        <w:rPr>
          <w:b/>
          <w:bCs/>
          <w:color w:val="auto"/>
          <w:spacing w:val="14"/>
          <w:kern w:val="0"/>
          <w:sz w:val="28"/>
          <w:szCs w:val="28"/>
          <w:highlight w:val="none"/>
        </w:rPr>
      </w:pPr>
      <w:r>
        <w:rPr>
          <w:b/>
          <w:bCs/>
          <w:color w:val="auto"/>
          <w:spacing w:val="14"/>
          <w:kern w:val="0"/>
          <w:sz w:val="28"/>
          <w:szCs w:val="28"/>
          <w:highlight w:val="none"/>
        </w:rPr>
        <w:br w:type="page"/>
      </w:r>
    </w:p>
    <w:p w14:paraId="52075A5D">
      <w:pPr>
        <w:spacing w:line="360" w:lineRule="auto"/>
        <w:jc w:val="center"/>
        <w:outlineLvl w:val="5"/>
        <w:rPr>
          <w:b/>
          <w:bCs/>
          <w:color w:val="auto"/>
          <w:spacing w:val="14"/>
          <w:kern w:val="0"/>
          <w:sz w:val="28"/>
          <w:szCs w:val="28"/>
          <w:highlight w:val="none"/>
        </w:rPr>
      </w:pPr>
      <w:r>
        <w:rPr>
          <w:rFonts w:hint="eastAsia"/>
          <w:b/>
          <w:bCs/>
          <w:color w:val="auto"/>
          <w:spacing w:val="14"/>
          <w:kern w:val="0"/>
          <w:sz w:val="28"/>
          <w:szCs w:val="28"/>
          <w:highlight w:val="none"/>
        </w:rPr>
        <w:t>售后服务</w:t>
      </w:r>
    </w:p>
    <w:tbl>
      <w:tblPr>
        <w:tblStyle w:val="20"/>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14:paraId="195F1F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14:paraId="4C74E702">
            <w:pPr>
              <w:widowControl/>
              <w:jc w:val="both"/>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14:paraId="5112C0C9">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售后服务要求</w:t>
            </w:r>
          </w:p>
        </w:tc>
        <w:tc>
          <w:tcPr>
            <w:tcW w:w="2046" w:type="dxa"/>
            <w:tcBorders>
              <w:tl2br w:val="nil"/>
              <w:tr2bl w:val="nil"/>
            </w:tcBorders>
            <w:shd w:val="clear" w:color="auto" w:fill="auto"/>
            <w:vAlign w:val="center"/>
          </w:tcPr>
          <w:p w14:paraId="2F1EC49A">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14:paraId="4ACB68F3">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（填：是/否）</w:t>
            </w:r>
          </w:p>
        </w:tc>
      </w:tr>
      <w:tr w14:paraId="5FBBB6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52" w:hRule="exact"/>
          <w:jc w:val="center"/>
        </w:trPr>
        <w:tc>
          <w:tcPr>
            <w:tcW w:w="588" w:type="dxa"/>
            <w:tcBorders>
              <w:tl2br w:val="nil"/>
              <w:tr2bl w:val="nil"/>
            </w:tcBorders>
            <w:shd w:val="clear" w:color="auto" w:fill="auto"/>
            <w:vAlign w:val="center"/>
          </w:tcPr>
          <w:p w14:paraId="5B766CE9">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1</w:t>
            </w:r>
          </w:p>
        </w:tc>
        <w:tc>
          <w:tcPr>
            <w:tcW w:w="5920" w:type="dxa"/>
            <w:tcBorders>
              <w:tl2br w:val="nil"/>
              <w:tr2bl w:val="nil"/>
            </w:tcBorders>
            <w:shd w:val="clear" w:color="auto" w:fill="auto"/>
            <w:vAlign w:val="center"/>
          </w:tcPr>
          <w:p w14:paraId="1B212667">
            <w:pPr>
              <w:spacing w:line="360" w:lineRule="auto"/>
              <w:rPr>
                <w:rFonts w:ascii="宋体" w:hAnsi="宋体" w:cs="宋体"/>
                <w:color w:val="auto"/>
                <w:sz w:val="24"/>
                <w:highlight w:val="none"/>
              </w:rPr>
            </w:pPr>
            <w:r>
              <w:rPr>
                <w:rFonts w:hint="eastAsia" w:ascii="宋体" w:hAnsi="宋体" w:cs="宋体"/>
                <w:b/>
                <w:bCs/>
                <w:color w:val="auto"/>
                <w:sz w:val="24"/>
                <w:highlight w:val="none"/>
              </w:rPr>
              <w:t>发票要求：</w:t>
            </w:r>
            <w:r>
              <w:rPr>
                <w:rFonts w:hint="eastAsia" w:ascii="宋体" w:hAnsi="宋体" w:cs="宋体"/>
                <w:color w:val="auto"/>
                <w:sz w:val="24"/>
                <w:highlight w:val="none"/>
              </w:rPr>
              <w:t>报价单位可提供符合规定税率的全额增值税专用发票。</w:t>
            </w:r>
          </w:p>
          <w:p w14:paraId="2643C1A5">
            <w:pPr>
              <w:widowControl/>
              <w:textAlignment w:val="center"/>
              <w:rPr>
                <w:rFonts w:ascii="宋体" w:hAnsi="宋体"/>
                <w:color w:val="auto"/>
                <w:sz w:val="24"/>
                <w:highlight w:val="none"/>
              </w:rPr>
            </w:pPr>
          </w:p>
        </w:tc>
        <w:tc>
          <w:tcPr>
            <w:tcW w:w="2046" w:type="dxa"/>
            <w:tcBorders>
              <w:tl2br w:val="nil"/>
              <w:tr2bl w:val="nil"/>
            </w:tcBorders>
            <w:shd w:val="clear" w:color="auto" w:fill="auto"/>
            <w:vAlign w:val="center"/>
          </w:tcPr>
          <w:p w14:paraId="75B6DD14">
            <w:pPr>
              <w:jc w:val="center"/>
              <w:rPr>
                <w:rFonts w:asciiTheme="minorEastAsia" w:hAnsiTheme="minorEastAsia" w:eastAsiaTheme="minorEastAsia" w:cstheme="minorEastAsia"/>
                <w:color w:val="auto"/>
                <w:sz w:val="24"/>
                <w:highlight w:val="none"/>
              </w:rPr>
            </w:pPr>
          </w:p>
        </w:tc>
      </w:tr>
      <w:tr w14:paraId="7689C7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559" w:hRule="exact"/>
          <w:jc w:val="center"/>
        </w:trPr>
        <w:tc>
          <w:tcPr>
            <w:tcW w:w="588" w:type="dxa"/>
            <w:tcBorders>
              <w:tl2br w:val="nil"/>
              <w:tr2bl w:val="nil"/>
            </w:tcBorders>
            <w:shd w:val="clear" w:color="auto" w:fill="auto"/>
            <w:vAlign w:val="center"/>
          </w:tcPr>
          <w:p w14:paraId="75B9048D">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2</w:t>
            </w:r>
          </w:p>
        </w:tc>
        <w:tc>
          <w:tcPr>
            <w:tcW w:w="5920" w:type="dxa"/>
            <w:tcBorders>
              <w:tl2br w:val="nil"/>
              <w:tr2bl w:val="nil"/>
            </w:tcBorders>
            <w:shd w:val="clear" w:color="auto" w:fill="auto"/>
            <w:vAlign w:val="center"/>
          </w:tcPr>
          <w:p w14:paraId="2220C3AF">
            <w:pPr>
              <w:spacing w:line="360" w:lineRule="auto"/>
              <w:rPr>
                <w:rFonts w:ascii="宋体" w:hAnsi="宋体"/>
                <w:color w:val="auto"/>
                <w:sz w:val="24"/>
                <w:highlight w:val="none"/>
              </w:rPr>
            </w:pPr>
            <w:r>
              <w:rPr>
                <w:rFonts w:hint="eastAsia" w:ascii="宋体" w:hAnsi="宋体" w:cs="宋体"/>
                <w:b/>
                <w:bCs/>
                <w:color w:val="auto"/>
                <w:sz w:val="24"/>
                <w:highlight w:val="none"/>
              </w:rPr>
              <w:t>质保期及售后服务响应要求：</w:t>
            </w:r>
            <w:r>
              <w:rPr>
                <w:rFonts w:hint="eastAsia" w:ascii="宋体" w:hAnsi="宋体" w:cs="宋体"/>
                <w:color w:val="auto"/>
                <w:sz w:val="24"/>
                <w:highlight w:val="none"/>
              </w:rPr>
              <w:t>质保期不少于1年，质保期内有任何质量问题将免费进行</w:t>
            </w:r>
            <w:r>
              <w:rPr>
                <w:rFonts w:hint="eastAsia" w:ascii="宋体" w:hAnsi="宋体" w:cs="宋体"/>
                <w:color w:val="auto"/>
                <w:sz w:val="24"/>
                <w:highlight w:val="none"/>
                <w:lang w:val="en-US" w:eastAsia="zh-CN"/>
              </w:rPr>
              <w:t>维护</w:t>
            </w:r>
            <w:r>
              <w:rPr>
                <w:rFonts w:hint="eastAsia" w:ascii="宋体" w:hAnsi="宋体" w:cs="宋体"/>
                <w:color w:val="auto"/>
                <w:sz w:val="24"/>
                <w:highlight w:val="none"/>
              </w:rPr>
              <w:t>、更换；售后服务的响应时间在4小时内；提供技术支持。</w:t>
            </w:r>
          </w:p>
        </w:tc>
        <w:tc>
          <w:tcPr>
            <w:tcW w:w="2046" w:type="dxa"/>
            <w:tcBorders>
              <w:tl2br w:val="nil"/>
              <w:tr2bl w:val="nil"/>
            </w:tcBorders>
            <w:shd w:val="clear" w:color="auto" w:fill="auto"/>
            <w:vAlign w:val="center"/>
          </w:tcPr>
          <w:p w14:paraId="37298EFF">
            <w:pPr>
              <w:jc w:val="center"/>
              <w:rPr>
                <w:rFonts w:asciiTheme="minorEastAsia" w:hAnsiTheme="minorEastAsia" w:eastAsiaTheme="minorEastAsia" w:cstheme="minorEastAsia"/>
                <w:color w:val="auto"/>
                <w:sz w:val="24"/>
                <w:highlight w:val="none"/>
              </w:rPr>
            </w:pPr>
          </w:p>
        </w:tc>
      </w:tr>
      <w:tr w14:paraId="657097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437" w:hRule="exact"/>
          <w:jc w:val="center"/>
        </w:trPr>
        <w:tc>
          <w:tcPr>
            <w:tcW w:w="588" w:type="dxa"/>
            <w:tcBorders>
              <w:tl2br w:val="nil"/>
              <w:tr2bl w:val="nil"/>
            </w:tcBorders>
            <w:shd w:val="clear" w:color="auto" w:fill="auto"/>
            <w:vAlign w:val="center"/>
          </w:tcPr>
          <w:p w14:paraId="4F2B0EC3">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3</w:t>
            </w:r>
          </w:p>
        </w:tc>
        <w:tc>
          <w:tcPr>
            <w:tcW w:w="5920" w:type="dxa"/>
            <w:tcBorders>
              <w:tl2br w:val="nil"/>
              <w:tr2bl w:val="nil"/>
            </w:tcBorders>
            <w:shd w:val="clear" w:color="auto" w:fill="auto"/>
            <w:vAlign w:val="center"/>
          </w:tcPr>
          <w:p w14:paraId="6B1B16A1">
            <w:pPr>
              <w:spacing w:line="360" w:lineRule="auto"/>
              <w:rPr>
                <w:rFonts w:ascii="宋体" w:hAnsi="宋体" w:cs="宋体"/>
                <w:color w:val="auto"/>
                <w:sz w:val="24"/>
                <w:highlight w:val="none"/>
              </w:rPr>
            </w:pPr>
            <w:r>
              <w:rPr>
                <w:rFonts w:hint="eastAsia" w:ascii="宋体" w:hAnsi="宋体" w:cs="宋体"/>
                <w:b/>
                <w:bCs/>
                <w:color w:val="auto"/>
                <w:sz w:val="24"/>
                <w:highlight w:val="none"/>
              </w:rPr>
              <w:t>交付时间及地点要求：</w:t>
            </w:r>
            <w:r>
              <w:rPr>
                <w:rFonts w:hint="eastAsia" w:ascii="宋体" w:hAnsi="宋体" w:cs="宋体"/>
                <w:color w:val="auto"/>
                <w:sz w:val="24"/>
                <w:highlight w:val="none"/>
              </w:rPr>
              <w:t>交货时间为202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日前，交货地点为中国南方电网有限责任公司超高压输电公司大理局。</w:t>
            </w:r>
          </w:p>
          <w:p w14:paraId="36753662">
            <w:pPr>
              <w:widowControl/>
              <w:textAlignment w:val="center"/>
              <w:rPr>
                <w:rFonts w:ascii="宋体" w:hAnsi="宋体"/>
                <w:color w:val="auto"/>
                <w:sz w:val="24"/>
                <w:highlight w:val="none"/>
              </w:rPr>
            </w:pPr>
          </w:p>
        </w:tc>
        <w:tc>
          <w:tcPr>
            <w:tcW w:w="2046" w:type="dxa"/>
            <w:tcBorders>
              <w:tl2br w:val="nil"/>
              <w:tr2bl w:val="nil"/>
            </w:tcBorders>
            <w:shd w:val="clear" w:color="auto" w:fill="auto"/>
            <w:vAlign w:val="center"/>
          </w:tcPr>
          <w:p w14:paraId="06C78EF2">
            <w:pPr>
              <w:jc w:val="center"/>
              <w:rPr>
                <w:rFonts w:asciiTheme="minorEastAsia" w:hAnsiTheme="minorEastAsia" w:eastAsiaTheme="minorEastAsia" w:cstheme="minorEastAsia"/>
                <w:color w:val="auto"/>
                <w:sz w:val="24"/>
                <w:highlight w:val="none"/>
              </w:rPr>
            </w:pPr>
          </w:p>
        </w:tc>
      </w:tr>
    </w:tbl>
    <w:p w14:paraId="54152D32">
      <w:pPr>
        <w:spacing w:line="360" w:lineRule="auto"/>
        <w:jc w:val="left"/>
        <w:outlineLvl w:val="5"/>
        <w:rPr>
          <w:color w:val="auto"/>
          <w:kern w:val="0"/>
          <w:sz w:val="24"/>
          <w:highlight w:val="none"/>
        </w:rPr>
      </w:pPr>
    </w:p>
    <w:p w14:paraId="07AA7B66">
      <w:pPr>
        <w:tabs>
          <w:tab w:val="left" w:pos="7180"/>
          <w:tab w:val="left" w:pos="7601"/>
        </w:tabs>
        <w:spacing w:line="360" w:lineRule="auto"/>
        <w:jc w:val="right"/>
        <w:rPr>
          <w:color w:val="auto"/>
          <w:spacing w:val="-1"/>
          <w:kern w:val="0"/>
          <w:sz w:val="24"/>
          <w:highlight w:val="none"/>
          <w:lang w:val="zh-CN"/>
        </w:rPr>
      </w:pPr>
    </w:p>
    <w:p w14:paraId="18079C0B">
      <w:pPr>
        <w:tabs>
          <w:tab w:val="left" w:pos="7180"/>
          <w:tab w:val="left" w:pos="7601"/>
        </w:tabs>
        <w:spacing w:line="360" w:lineRule="auto"/>
        <w:jc w:val="right"/>
        <w:rPr>
          <w:color w:val="auto"/>
          <w:spacing w:val="23"/>
          <w:kern w:val="0"/>
          <w:sz w:val="24"/>
          <w:highlight w:val="none"/>
          <w:lang w:val="zh-CN"/>
        </w:rPr>
      </w:pPr>
      <w:r>
        <w:rPr>
          <w:rFonts w:hint="eastAsia"/>
          <w:color w:val="auto"/>
          <w:spacing w:val="-1"/>
          <w:kern w:val="0"/>
          <w:sz w:val="24"/>
          <w:highlight w:val="none"/>
          <w:lang w:val="zh-CN"/>
        </w:rPr>
        <w:t>报价单位：</w:t>
      </w:r>
      <w:r>
        <w:rPr>
          <w:color w:val="auto"/>
          <w:spacing w:val="-1"/>
          <w:kern w:val="0"/>
          <w:sz w:val="24"/>
          <w:highlight w:val="none"/>
          <w:u w:val="single" w:color="000000"/>
          <w:lang w:val="zh-CN"/>
        </w:rPr>
        <w:t xml:space="preserve">               </w:t>
      </w:r>
      <w:r>
        <w:rPr>
          <w:rFonts w:hint="eastAsia"/>
          <w:color w:val="auto"/>
          <w:kern w:val="0"/>
          <w:sz w:val="24"/>
          <w:highlight w:val="none"/>
          <w:lang w:val="zh-CN"/>
        </w:rPr>
        <w:t>（盖单位章）</w:t>
      </w:r>
    </w:p>
    <w:p w14:paraId="5B364B9D">
      <w:pPr>
        <w:tabs>
          <w:tab w:val="left" w:pos="7180"/>
          <w:tab w:val="left" w:pos="7601"/>
        </w:tabs>
        <w:spacing w:line="360" w:lineRule="auto"/>
        <w:jc w:val="left"/>
        <w:rPr>
          <w:color w:val="auto"/>
          <w:spacing w:val="-1"/>
          <w:kern w:val="0"/>
          <w:sz w:val="24"/>
          <w:highlight w:val="none"/>
          <w:lang w:val="zh-CN"/>
        </w:rPr>
      </w:pPr>
    </w:p>
    <w:p w14:paraId="66ADA164">
      <w:pPr>
        <w:tabs>
          <w:tab w:val="left" w:pos="7180"/>
          <w:tab w:val="left" w:pos="7601"/>
        </w:tabs>
        <w:spacing w:line="360" w:lineRule="auto"/>
        <w:jc w:val="right"/>
        <w:rPr>
          <w:color w:val="auto"/>
          <w:kern w:val="0"/>
          <w:sz w:val="24"/>
          <w:highlight w:val="none"/>
          <w:lang w:val="zh-CN"/>
        </w:rPr>
      </w:pPr>
      <w:r>
        <w:rPr>
          <w:rFonts w:hint="eastAsia"/>
          <w:color w:val="auto"/>
          <w:spacing w:val="-1"/>
          <w:kern w:val="0"/>
          <w:sz w:val="24"/>
          <w:highlight w:val="none"/>
          <w:lang w:val="zh-CN"/>
        </w:rPr>
        <w:t>法定代表人或授权代表：</w:t>
      </w:r>
      <w:r>
        <w:rPr>
          <w:rFonts w:hint="eastAsia"/>
          <w:color w:val="auto"/>
          <w:spacing w:val="-1"/>
          <w:kern w:val="0"/>
          <w:sz w:val="24"/>
          <w:highlight w:val="none"/>
          <w:u w:val="single" w:color="000000"/>
          <w:lang w:val="zh-CN"/>
        </w:rPr>
        <w:t xml:space="preserve">      </w:t>
      </w:r>
      <w:r>
        <w:rPr>
          <w:color w:val="auto"/>
          <w:spacing w:val="-1"/>
          <w:kern w:val="0"/>
          <w:sz w:val="24"/>
          <w:highlight w:val="none"/>
          <w:u w:val="single" w:color="000000"/>
          <w:lang w:val="zh-CN"/>
        </w:rPr>
        <w:t xml:space="preserve">  </w:t>
      </w:r>
      <w:r>
        <w:rPr>
          <w:rFonts w:hint="eastAsia"/>
          <w:color w:val="auto"/>
          <w:kern w:val="0"/>
          <w:sz w:val="24"/>
          <w:highlight w:val="none"/>
          <w:lang w:val="zh-CN"/>
        </w:rPr>
        <w:t>（签字）</w:t>
      </w:r>
    </w:p>
    <w:p w14:paraId="77B4881C">
      <w:pPr>
        <w:tabs>
          <w:tab w:val="left" w:pos="525"/>
          <w:tab w:val="left" w:pos="1051"/>
        </w:tabs>
        <w:wordWrap w:val="0"/>
        <w:spacing w:line="360" w:lineRule="auto"/>
        <w:jc w:val="right"/>
        <w:rPr>
          <w:color w:val="auto"/>
          <w:kern w:val="0"/>
          <w:sz w:val="24"/>
          <w:highlight w:val="none"/>
          <w:lang w:val="zh-CN"/>
        </w:rPr>
      </w:pPr>
    </w:p>
    <w:p w14:paraId="4A590A68">
      <w:pPr>
        <w:tabs>
          <w:tab w:val="left" w:pos="722"/>
          <w:tab w:val="left" w:pos="1323"/>
        </w:tabs>
        <w:spacing w:line="360" w:lineRule="auto"/>
        <w:jc w:val="right"/>
        <w:rPr>
          <w:b/>
          <w:bCs/>
          <w:color w:val="auto"/>
          <w:spacing w:val="13"/>
          <w:kern w:val="0"/>
          <w:sz w:val="28"/>
          <w:szCs w:val="28"/>
          <w:highlight w:val="none"/>
        </w:rPr>
      </w:pPr>
      <w:r>
        <w:rPr>
          <w:rFonts w:hint="eastAsia"/>
          <w:color w:val="auto"/>
          <w:kern w:val="0"/>
          <w:sz w:val="24"/>
          <w:highlight w:val="none"/>
          <w:lang w:val="zh-CN"/>
        </w:rPr>
        <w:t>年</w:t>
      </w:r>
      <w:r>
        <w:rPr>
          <w:color w:val="auto"/>
          <w:kern w:val="0"/>
          <w:sz w:val="24"/>
          <w:highlight w:val="none"/>
          <w:lang w:val="zh-CN"/>
        </w:rPr>
        <w:t xml:space="preserve">      </w:t>
      </w:r>
      <w:r>
        <w:rPr>
          <w:rFonts w:hint="eastAsia"/>
          <w:color w:val="auto"/>
          <w:kern w:val="0"/>
          <w:sz w:val="24"/>
          <w:highlight w:val="none"/>
          <w:lang w:val="zh-CN"/>
        </w:rPr>
        <w:t>月</w:t>
      </w:r>
      <w:r>
        <w:rPr>
          <w:color w:val="auto"/>
          <w:kern w:val="0"/>
          <w:sz w:val="24"/>
          <w:highlight w:val="none"/>
          <w:lang w:val="zh-CN"/>
        </w:rPr>
        <w:t xml:space="preserve">      </w:t>
      </w:r>
      <w:r>
        <w:rPr>
          <w:rFonts w:hint="eastAsia"/>
          <w:color w:val="auto"/>
          <w:kern w:val="0"/>
          <w:sz w:val="24"/>
          <w:highlight w:val="none"/>
          <w:lang w:val="zh-CN"/>
        </w:rPr>
        <w:t>日</w:t>
      </w:r>
    </w:p>
    <w:p w14:paraId="263551B6">
      <w:pPr>
        <w:ind w:firstLine="2150" w:firstLineChars="700"/>
        <w:rPr>
          <w:rFonts w:hint="eastAsia"/>
          <w:b/>
          <w:bCs/>
          <w:color w:val="auto"/>
          <w:spacing w:val="13"/>
          <w:kern w:val="0"/>
          <w:sz w:val="28"/>
          <w:szCs w:val="28"/>
          <w:highlight w:val="none"/>
        </w:rPr>
      </w:pPr>
    </w:p>
    <w:p w14:paraId="5BAA7A38">
      <w:pPr>
        <w:ind w:firstLine="2150" w:firstLineChars="700"/>
        <w:rPr>
          <w:rFonts w:hint="eastAsia"/>
          <w:b/>
          <w:bCs/>
          <w:color w:val="auto"/>
          <w:spacing w:val="13"/>
          <w:kern w:val="0"/>
          <w:sz w:val="28"/>
          <w:szCs w:val="28"/>
          <w:highlight w:val="none"/>
        </w:rPr>
      </w:pPr>
    </w:p>
    <w:p w14:paraId="1133DF90">
      <w:pPr>
        <w:ind w:firstLine="2150" w:firstLineChars="700"/>
        <w:rPr>
          <w:rFonts w:hint="eastAsia"/>
          <w:b/>
          <w:bCs/>
          <w:color w:val="auto"/>
          <w:spacing w:val="13"/>
          <w:kern w:val="0"/>
          <w:sz w:val="28"/>
          <w:szCs w:val="28"/>
          <w:highlight w:val="none"/>
        </w:rPr>
      </w:pPr>
    </w:p>
    <w:p w14:paraId="14543FF7">
      <w:pPr>
        <w:ind w:firstLine="2150" w:firstLineChars="700"/>
        <w:rPr>
          <w:rFonts w:hint="eastAsia"/>
          <w:b/>
          <w:bCs/>
          <w:color w:val="auto"/>
          <w:spacing w:val="13"/>
          <w:kern w:val="0"/>
          <w:sz w:val="28"/>
          <w:szCs w:val="28"/>
          <w:highlight w:val="none"/>
        </w:rPr>
      </w:pPr>
    </w:p>
    <w:p w14:paraId="72403C16">
      <w:pPr>
        <w:ind w:firstLine="2150" w:firstLineChars="700"/>
        <w:rPr>
          <w:rFonts w:hint="eastAsia"/>
          <w:b/>
          <w:bCs/>
          <w:color w:val="auto"/>
          <w:spacing w:val="13"/>
          <w:kern w:val="0"/>
          <w:sz w:val="28"/>
          <w:szCs w:val="28"/>
          <w:highlight w:val="none"/>
        </w:rPr>
      </w:pPr>
    </w:p>
    <w:p w14:paraId="0AFFE31A">
      <w:pPr>
        <w:ind w:firstLine="2150" w:firstLineChars="700"/>
        <w:rPr>
          <w:rFonts w:hint="eastAsia"/>
          <w:b/>
          <w:bCs/>
          <w:color w:val="auto"/>
          <w:spacing w:val="13"/>
          <w:kern w:val="0"/>
          <w:sz w:val="28"/>
          <w:szCs w:val="28"/>
          <w:highlight w:val="none"/>
        </w:rPr>
      </w:pPr>
    </w:p>
    <w:p w14:paraId="1B65DC5C">
      <w:pPr>
        <w:ind w:firstLine="2150" w:firstLineChars="700"/>
        <w:rPr>
          <w:rFonts w:hint="eastAsia"/>
          <w:b/>
          <w:bCs/>
          <w:color w:val="auto"/>
          <w:spacing w:val="13"/>
          <w:kern w:val="0"/>
          <w:sz w:val="28"/>
          <w:szCs w:val="28"/>
          <w:highlight w:val="none"/>
        </w:rPr>
      </w:pPr>
    </w:p>
    <w:p w14:paraId="3459C802">
      <w:pPr>
        <w:ind w:firstLine="2150" w:firstLineChars="700"/>
        <w:rPr>
          <w:rFonts w:hint="eastAsia"/>
          <w:b/>
          <w:bCs/>
          <w:color w:val="auto"/>
          <w:spacing w:val="13"/>
          <w:kern w:val="0"/>
          <w:sz w:val="28"/>
          <w:szCs w:val="28"/>
          <w:highlight w:val="none"/>
        </w:rPr>
      </w:pPr>
    </w:p>
    <w:p w14:paraId="216DE3B4">
      <w:pPr>
        <w:ind w:firstLine="2150" w:firstLineChars="700"/>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14:paraId="59AD53ED">
      <w:pPr>
        <w:spacing w:line="360" w:lineRule="auto"/>
        <w:jc w:val="center"/>
        <w:outlineLvl w:val="5"/>
        <w:rPr>
          <w:rFonts w:ascii="宋体" w:hAnsi="宋体" w:cs="宋体"/>
          <w:color w:val="auto"/>
          <w:sz w:val="24"/>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sectPr>
      <w:footerReference r:id="rId8"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F75F4">
    <w:pPr>
      <w:pStyle w:val="1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44517">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98CFD7">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098CFD7">
                    <w:pPr>
                      <w:pStyle w:val="14"/>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379A5F">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3C379A5F">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64B14">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EFFA12">
                          <w:pPr>
                            <w:pStyle w:val="1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4EFFA12">
                    <w:pPr>
                      <w:pStyle w:val="14"/>
                    </w:pPr>
                    <w:r>
                      <w:fldChar w:fldCharType="begin"/>
                    </w:r>
                    <w:r>
                      <w:instrText xml:space="preserve"> PAGE  \* MERGEFORMAT </w:instrText>
                    </w:r>
                    <w:r>
                      <w:fldChar w:fldCharType="separate"/>
                    </w:r>
                    <w:r>
                      <w:t>3</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926EC9">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C926EC9">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14:paraId="48591ED4">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14:paraId="48591ED4">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8A546">
    <w:pPr>
      <w:pStyle w:val="14"/>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35BFB0">
                          <w:pPr>
                            <w:pStyle w:val="14"/>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035BFB0">
                    <w:pPr>
                      <w:pStyle w:val="14"/>
                    </w:pPr>
                    <w:r>
                      <w:fldChar w:fldCharType="begin"/>
                    </w:r>
                    <w:r>
                      <w:instrText xml:space="preserve"> PAGE  \* MERGEFORMAT </w:instrText>
                    </w:r>
                    <w:r>
                      <w:fldChar w:fldCharType="separate"/>
                    </w:r>
                    <w:r>
                      <w:t>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FB52B">
    <w:pPr>
      <w:pStyle w:val="1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1FEBD">
    <w:pPr>
      <w:pStyle w:val="15"/>
      <w:pBdr>
        <w:bottom w:val="none" w:color="auto" w:sz="0" w:space="0"/>
      </w:pBdr>
    </w:pPr>
  </w:p>
  <w:p w14:paraId="4A0EAE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pStyle w:val="4"/>
      <w:lvlText w:val="11"/>
      <w:lvlJc w:val="left"/>
      <w:pPr>
        <w:tabs>
          <w:tab w:val="left" w:pos="425"/>
        </w:tabs>
        <w:ind w:left="0" w:firstLine="0"/>
      </w:pPr>
      <w:rPr>
        <w:rFonts w:hint="eastAsia"/>
      </w:rPr>
    </w:lvl>
    <w:lvl w:ilvl="1" w:tentative="0">
      <w:start w:val="1"/>
      <w:numFmt w:val="upperLetter"/>
      <w:pStyle w:val="5"/>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4F0C9365"/>
    <w:multiLevelType w:val="singleLevel"/>
    <w:tmpl w:val="4F0C9365"/>
    <w:lvl w:ilvl="0" w:tentative="0">
      <w:start w:val="7"/>
      <w:numFmt w:val="decimal"/>
      <w:suff w:val="space"/>
      <w:lvlText w:val="%1."/>
      <w:lvlJc w:val="left"/>
    </w:lvl>
  </w:abstractNum>
  <w:abstractNum w:abstractNumId="2">
    <w:nsid w:val="57854CC9"/>
    <w:multiLevelType w:val="multilevel"/>
    <w:tmpl w:val="57854CC9"/>
    <w:lvl w:ilvl="0" w:tentative="0">
      <w:start w:val="1"/>
      <w:numFmt w:val="decimal"/>
      <w:pStyle w:val="52"/>
      <w:lvlText w:val="%1"/>
      <w:lvlJc w:val="left"/>
      <w:pPr>
        <w:ind w:left="425" w:hanging="425"/>
      </w:pPr>
      <w:rPr>
        <w:rFonts w:hint="eastAsia" w:cs="Times New Roman"/>
        <w:sz w:val="21"/>
        <w:szCs w:val="21"/>
      </w:rPr>
    </w:lvl>
    <w:lvl w:ilvl="1" w:tentative="0">
      <w:start w:val="1"/>
      <w:numFmt w:val="decimal"/>
      <w:pStyle w:val="47"/>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hmMzc1YzY2YWM4YTFkMzRmNGVhNGZlOWVhMjg5ZmIifQ=="/>
  </w:docVars>
  <w:rsids>
    <w:rsidRoot w:val="00700C0C"/>
    <w:rsid w:val="000342AC"/>
    <w:rsid w:val="000872FD"/>
    <w:rsid w:val="00095578"/>
    <w:rsid w:val="000A66A7"/>
    <w:rsid w:val="000F2DDF"/>
    <w:rsid w:val="00116E19"/>
    <w:rsid w:val="001401FF"/>
    <w:rsid w:val="00141576"/>
    <w:rsid w:val="0018645D"/>
    <w:rsid w:val="001D7B66"/>
    <w:rsid w:val="0020233D"/>
    <w:rsid w:val="003008FE"/>
    <w:rsid w:val="003E3323"/>
    <w:rsid w:val="004913D8"/>
    <w:rsid w:val="004938A7"/>
    <w:rsid w:val="004E6E8D"/>
    <w:rsid w:val="004F1100"/>
    <w:rsid w:val="005A0156"/>
    <w:rsid w:val="0060730C"/>
    <w:rsid w:val="00610134"/>
    <w:rsid w:val="00611AAA"/>
    <w:rsid w:val="00630461"/>
    <w:rsid w:val="006A222E"/>
    <w:rsid w:val="00700C0C"/>
    <w:rsid w:val="008444B1"/>
    <w:rsid w:val="008D1F6F"/>
    <w:rsid w:val="008E5C9A"/>
    <w:rsid w:val="0091043B"/>
    <w:rsid w:val="009B64F0"/>
    <w:rsid w:val="009C13CE"/>
    <w:rsid w:val="009E26B5"/>
    <w:rsid w:val="00A00FD5"/>
    <w:rsid w:val="00A276B2"/>
    <w:rsid w:val="00A465FA"/>
    <w:rsid w:val="00A7008F"/>
    <w:rsid w:val="00A73D90"/>
    <w:rsid w:val="00BE0E55"/>
    <w:rsid w:val="00C171CC"/>
    <w:rsid w:val="00C61456"/>
    <w:rsid w:val="00DB2F76"/>
    <w:rsid w:val="00DE3D98"/>
    <w:rsid w:val="00EC56DD"/>
    <w:rsid w:val="00F04019"/>
    <w:rsid w:val="00FE4E68"/>
    <w:rsid w:val="019C23B2"/>
    <w:rsid w:val="01A40F8A"/>
    <w:rsid w:val="026A3D04"/>
    <w:rsid w:val="02E84E1B"/>
    <w:rsid w:val="02EB5557"/>
    <w:rsid w:val="02F8486D"/>
    <w:rsid w:val="03032BFE"/>
    <w:rsid w:val="03947769"/>
    <w:rsid w:val="039A1E76"/>
    <w:rsid w:val="03D34E4B"/>
    <w:rsid w:val="041B14CC"/>
    <w:rsid w:val="043851F9"/>
    <w:rsid w:val="04392C7B"/>
    <w:rsid w:val="04501704"/>
    <w:rsid w:val="046B4A83"/>
    <w:rsid w:val="04CA6BD2"/>
    <w:rsid w:val="059852A9"/>
    <w:rsid w:val="05AB50DB"/>
    <w:rsid w:val="05B67AF4"/>
    <w:rsid w:val="05CD2719"/>
    <w:rsid w:val="05F41940"/>
    <w:rsid w:val="060F4BD6"/>
    <w:rsid w:val="06910EC7"/>
    <w:rsid w:val="06AB0929"/>
    <w:rsid w:val="06C70D2A"/>
    <w:rsid w:val="070A0B6B"/>
    <w:rsid w:val="07961E4E"/>
    <w:rsid w:val="0891161B"/>
    <w:rsid w:val="08986A27"/>
    <w:rsid w:val="08B379B6"/>
    <w:rsid w:val="08D01A69"/>
    <w:rsid w:val="092E4D8E"/>
    <w:rsid w:val="09352129"/>
    <w:rsid w:val="095B0EE9"/>
    <w:rsid w:val="09884131"/>
    <w:rsid w:val="09942142"/>
    <w:rsid w:val="09B052F6"/>
    <w:rsid w:val="09B91536"/>
    <w:rsid w:val="09F04A5A"/>
    <w:rsid w:val="0A5C68BB"/>
    <w:rsid w:val="0A726C5D"/>
    <w:rsid w:val="0A9C5575"/>
    <w:rsid w:val="0AB60694"/>
    <w:rsid w:val="0ACF1ECA"/>
    <w:rsid w:val="0B3145BB"/>
    <w:rsid w:val="0B4C4D17"/>
    <w:rsid w:val="0B5308D4"/>
    <w:rsid w:val="0B62608C"/>
    <w:rsid w:val="0B786794"/>
    <w:rsid w:val="0BF7203B"/>
    <w:rsid w:val="0BF7440E"/>
    <w:rsid w:val="0C183058"/>
    <w:rsid w:val="0C476233"/>
    <w:rsid w:val="0C5C70D2"/>
    <w:rsid w:val="0C8849AD"/>
    <w:rsid w:val="0C95712B"/>
    <w:rsid w:val="0CBD44D5"/>
    <w:rsid w:val="0CC4072B"/>
    <w:rsid w:val="0CF24637"/>
    <w:rsid w:val="0CFD0263"/>
    <w:rsid w:val="0D682F64"/>
    <w:rsid w:val="0E2B54C7"/>
    <w:rsid w:val="0E8F38EB"/>
    <w:rsid w:val="0ECD3EA6"/>
    <w:rsid w:val="0EFD7A26"/>
    <w:rsid w:val="0F7B2D38"/>
    <w:rsid w:val="10090346"/>
    <w:rsid w:val="100E20E9"/>
    <w:rsid w:val="108F47AF"/>
    <w:rsid w:val="109C7D56"/>
    <w:rsid w:val="10CD441E"/>
    <w:rsid w:val="10D053A3"/>
    <w:rsid w:val="11325498"/>
    <w:rsid w:val="114917E9"/>
    <w:rsid w:val="11727245"/>
    <w:rsid w:val="11BA645E"/>
    <w:rsid w:val="11C13F63"/>
    <w:rsid w:val="11C4398B"/>
    <w:rsid w:val="11DD40A3"/>
    <w:rsid w:val="121037B1"/>
    <w:rsid w:val="124B085A"/>
    <w:rsid w:val="127C43FA"/>
    <w:rsid w:val="12E542C2"/>
    <w:rsid w:val="132867FC"/>
    <w:rsid w:val="1376193B"/>
    <w:rsid w:val="13AF2A62"/>
    <w:rsid w:val="13F6014E"/>
    <w:rsid w:val="140E14EE"/>
    <w:rsid w:val="145D0DF7"/>
    <w:rsid w:val="15031A58"/>
    <w:rsid w:val="15127864"/>
    <w:rsid w:val="152A4CC8"/>
    <w:rsid w:val="15380D5E"/>
    <w:rsid w:val="153E2707"/>
    <w:rsid w:val="15CE0DB9"/>
    <w:rsid w:val="163D0A11"/>
    <w:rsid w:val="16A076A8"/>
    <w:rsid w:val="16E17FD7"/>
    <w:rsid w:val="17087877"/>
    <w:rsid w:val="170F3531"/>
    <w:rsid w:val="17192215"/>
    <w:rsid w:val="175F1A0E"/>
    <w:rsid w:val="17F90724"/>
    <w:rsid w:val="1825592A"/>
    <w:rsid w:val="18377B1D"/>
    <w:rsid w:val="188E7C69"/>
    <w:rsid w:val="1890085C"/>
    <w:rsid w:val="18B9039C"/>
    <w:rsid w:val="18DC7149"/>
    <w:rsid w:val="18E65311"/>
    <w:rsid w:val="19775419"/>
    <w:rsid w:val="1A0C35CC"/>
    <w:rsid w:val="1A710D72"/>
    <w:rsid w:val="1AD66518"/>
    <w:rsid w:val="1B7A6B81"/>
    <w:rsid w:val="1B7B3422"/>
    <w:rsid w:val="1C27355C"/>
    <w:rsid w:val="1C4E11FC"/>
    <w:rsid w:val="1C601D9D"/>
    <w:rsid w:val="1C9B0B55"/>
    <w:rsid w:val="1CB369A2"/>
    <w:rsid w:val="1D1C0950"/>
    <w:rsid w:val="1D4D49A3"/>
    <w:rsid w:val="1D7651D8"/>
    <w:rsid w:val="1E256847"/>
    <w:rsid w:val="1E425E07"/>
    <w:rsid w:val="1EA91661"/>
    <w:rsid w:val="1EAC6AFA"/>
    <w:rsid w:val="1EAD7DE2"/>
    <w:rsid w:val="1EF814B6"/>
    <w:rsid w:val="1F686DF4"/>
    <w:rsid w:val="1FB61E73"/>
    <w:rsid w:val="1FC90C3E"/>
    <w:rsid w:val="1FEA2DF0"/>
    <w:rsid w:val="20201EC2"/>
    <w:rsid w:val="2046687E"/>
    <w:rsid w:val="207A4B27"/>
    <w:rsid w:val="20B7108F"/>
    <w:rsid w:val="20C2474B"/>
    <w:rsid w:val="20DE7F97"/>
    <w:rsid w:val="21086AC5"/>
    <w:rsid w:val="21164180"/>
    <w:rsid w:val="211C55DD"/>
    <w:rsid w:val="21D11228"/>
    <w:rsid w:val="21D65FA3"/>
    <w:rsid w:val="21EA76D2"/>
    <w:rsid w:val="21F046BC"/>
    <w:rsid w:val="22410CA3"/>
    <w:rsid w:val="230D5F83"/>
    <w:rsid w:val="231435E3"/>
    <w:rsid w:val="231D1CA3"/>
    <w:rsid w:val="246E7F53"/>
    <w:rsid w:val="251A5E6D"/>
    <w:rsid w:val="2561471F"/>
    <w:rsid w:val="25E95241"/>
    <w:rsid w:val="26136085"/>
    <w:rsid w:val="2682413A"/>
    <w:rsid w:val="26B143E9"/>
    <w:rsid w:val="26B76B93"/>
    <w:rsid w:val="26CF68D5"/>
    <w:rsid w:val="26D06059"/>
    <w:rsid w:val="26EA2865"/>
    <w:rsid w:val="27D63767"/>
    <w:rsid w:val="291256ED"/>
    <w:rsid w:val="291D3964"/>
    <w:rsid w:val="298B6166"/>
    <w:rsid w:val="29B97180"/>
    <w:rsid w:val="29D439C5"/>
    <w:rsid w:val="29F71DCE"/>
    <w:rsid w:val="2A5D4013"/>
    <w:rsid w:val="2A73216B"/>
    <w:rsid w:val="2B971F94"/>
    <w:rsid w:val="2C4634F8"/>
    <w:rsid w:val="2C482CB1"/>
    <w:rsid w:val="2C8A7F2A"/>
    <w:rsid w:val="2CA351F8"/>
    <w:rsid w:val="2CB35BE4"/>
    <w:rsid w:val="2D4B705C"/>
    <w:rsid w:val="2DC518B5"/>
    <w:rsid w:val="2DDB37E6"/>
    <w:rsid w:val="2E0A0EFD"/>
    <w:rsid w:val="2EA73A95"/>
    <w:rsid w:val="2ED325DC"/>
    <w:rsid w:val="2F1C4D59"/>
    <w:rsid w:val="2F3C75DF"/>
    <w:rsid w:val="2F4D7950"/>
    <w:rsid w:val="2F5C0B8A"/>
    <w:rsid w:val="2F956FA1"/>
    <w:rsid w:val="30082163"/>
    <w:rsid w:val="300924A8"/>
    <w:rsid w:val="30152D72"/>
    <w:rsid w:val="30786DD9"/>
    <w:rsid w:val="30B351BB"/>
    <w:rsid w:val="30C42C66"/>
    <w:rsid w:val="30D83BD1"/>
    <w:rsid w:val="30DD6F38"/>
    <w:rsid w:val="3116556A"/>
    <w:rsid w:val="313A6116"/>
    <w:rsid w:val="31403EEE"/>
    <w:rsid w:val="314C4B41"/>
    <w:rsid w:val="3161392D"/>
    <w:rsid w:val="31AB088A"/>
    <w:rsid w:val="31F1799F"/>
    <w:rsid w:val="328336DF"/>
    <w:rsid w:val="3283636F"/>
    <w:rsid w:val="32AC098F"/>
    <w:rsid w:val="32E70612"/>
    <w:rsid w:val="32FC2794"/>
    <w:rsid w:val="33483B2E"/>
    <w:rsid w:val="33591408"/>
    <w:rsid w:val="338E2CB9"/>
    <w:rsid w:val="33AE5DBB"/>
    <w:rsid w:val="342F7A89"/>
    <w:rsid w:val="343F4552"/>
    <w:rsid w:val="34485725"/>
    <w:rsid w:val="344C3454"/>
    <w:rsid w:val="347D12EB"/>
    <w:rsid w:val="34D13C4A"/>
    <w:rsid w:val="34D6203C"/>
    <w:rsid w:val="34FB1B75"/>
    <w:rsid w:val="350967C7"/>
    <w:rsid w:val="35670EDC"/>
    <w:rsid w:val="357850C8"/>
    <w:rsid w:val="35A54830"/>
    <w:rsid w:val="35E26F61"/>
    <w:rsid w:val="36A93D34"/>
    <w:rsid w:val="36C4459F"/>
    <w:rsid w:val="36CA7098"/>
    <w:rsid w:val="36CE7125"/>
    <w:rsid w:val="36DD06B5"/>
    <w:rsid w:val="380E0584"/>
    <w:rsid w:val="38107BBE"/>
    <w:rsid w:val="38592D41"/>
    <w:rsid w:val="38723B01"/>
    <w:rsid w:val="389771E3"/>
    <w:rsid w:val="38B17DB0"/>
    <w:rsid w:val="39284554"/>
    <w:rsid w:val="393307F8"/>
    <w:rsid w:val="39345BEF"/>
    <w:rsid w:val="39432B7F"/>
    <w:rsid w:val="399E5A8D"/>
    <w:rsid w:val="3A7115CF"/>
    <w:rsid w:val="3A762EA6"/>
    <w:rsid w:val="3AC26874"/>
    <w:rsid w:val="3AE871ED"/>
    <w:rsid w:val="3B166795"/>
    <w:rsid w:val="3B3A4A72"/>
    <w:rsid w:val="3B426DFA"/>
    <w:rsid w:val="3B6B3809"/>
    <w:rsid w:val="3B875E3D"/>
    <w:rsid w:val="3BB95095"/>
    <w:rsid w:val="3C0C0FD1"/>
    <w:rsid w:val="3C0D22F1"/>
    <w:rsid w:val="3C266C56"/>
    <w:rsid w:val="3C5C2C55"/>
    <w:rsid w:val="3CFD0D4E"/>
    <w:rsid w:val="3D7015BC"/>
    <w:rsid w:val="3D932ECE"/>
    <w:rsid w:val="3DF6298B"/>
    <w:rsid w:val="3E032F55"/>
    <w:rsid w:val="3E314D55"/>
    <w:rsid w:val="3E5A5D0F"/>
    <w:rsid w:val="3ED75761"/>
    <w:rsid w:val="3EE60069"/>
    <w:rsid w:val="3F037F80"/>
    <w:rsid w:val="3F5D7C25"/>
    <w:rsid w:val="3F6E7356"/>
    <w:rsid w:val="3FCF3A3E"/>
    <w:rsid w:val="4032245D"/>
    <w:rsid w:val="40595BA0"/>
    <w:rsid w:val="40CE4481"/>
    <w:rsid w:val="40D02223"/>
    <w:rsid w:val="41044933"/>
    <w:rsid w:val="41B64242"/>
    <w:rsid w:val="41D930E9"/>
    <w:rsid w:val="41F149BD"/>
    <w:rsid w:val="420172F8"/>
    <w:rsid w:val="4214444F"/>
    <w:rsid w:val="42325426"/>
    <w:rsid w:val="42515CDB"/>
    <w:rsid w:val="428178ED"/>
    <w:rsid w:val="42A94C92"/>
    <w:rsid w:val="437F3C55"/>
    <w:rsid w:val="43854DD3"/>
    <w:rsid w:val="443E1922"/>
    <w:rsid w:val="445544D0"/>
    <w:rsid w:val="44883556"/>
    <w:rsid w:val="450A0452"/>
    <w:rsid w:val="450A5364"/>
    <w:rsid w:val="4566672F"/>
    <w:rsid w:val="4597553F"/>
    <w:rsid w:val="45B96669"/>
    <w:rsid w:val="46762E88"/>
    <w:rsid w:val="46B251D5"/>
    <w:rsid w:val="46D75F15"/>
    <w:rsid w:val="46F337F6"/>
    <w:rsid w:val="4701711C"/>
    <w:rsid w:val="47357AE2"/>
    <w:rsid w:val="47873FED"/>
    <w:rsid w:val="478A5985"/>
    <w:rsid w:val="47ED3A0E"/>
    <w:rsid w:val="482360E6"/>
    <w:rsid w:val="485A7764"/>
    <w:rsid w:val="48697707"/>
    <w:rsid w:val="487D34CE"/>
    <w:rsid w:val="48812C6D"/>
    <w:rsid w:val="48FA0CCE"/>
    <w:rsid w:val="49063EED"/>
    <w:rsid w:val="49670CFC"/>
    <w:rsid w:val="497E67FC"/>
    <w:rsid w:val="4A340908"/>
    <w:rsid w:val="4A654689"/>
    <w:rsid w:val="4A9D32F7"/>
    <w:rsid w:val="4AFB712A"/>
    <w:rsid w:val="4B03697D"/>
    <w:rsid w:val="4B1F6D56"/>
    <w:rsid w:val="4B3F2937"/>
    <w:rsid w:val="4B545024"/>
    <w:rsid w:val="4B722F98"/>
    <w:rsid w:val="4BDA732C"/>
    <w:rsid w:val="4C2C4D07"/>
    <w:rsid w:val="4C747C00"/>
    <w:rsid w:val="4CAE23D4"/>
    <w:rsid w:val="4CDE6D29"/>
    <w:rsid w:val="4CF16EBB"/>
    <w:rsid w:val="4CF27A3F"/>
    <w:rsid w:val="4D764FBA"/>
    <w:rsid w:val="4D952847"/>
    <w:rsid w:val="4DFA077B"/>
    <w:rsid w:val="4E111E7F"/>
    <w:rsid w:val="4E1F0A8F"/>
    <w:rsid w:val="4E622728"/>
    <w:rsid w:val="4E9B72CC"/>
    <w:rsid w:val="4EFE4BD1"/>
    <w:rsid w:val="4F2502DD"/>
    <w:rsid w:val="4FC43269"/>
    <w:rsid w:val="4FCF137E"/>
    <w:rsid w:val="4FF36AD1"/>
    <w:rsid w:val="50236B06"/>
    <w:rsid w:val="503B1FAE"/>
    <w:rsid w:val="503B6ED8"/>
    <w:rsid w:val="506E60D9"/>
    <w:rsid w:val="50F4209B"/>
    <w:rsid w:val="5103544F"/>
    <w:rsid w:val="51461658"/>
    <w:rsid w:val="51B306F8"/>
    <w:rsid w:val="51C130AF"/>
    <w:rsid w:val="51DB3484"/>
    <w:rsid w:val="522A39D8"/>
    <w:rsid w:val="53646DCD"/>
    <w:rsid w:val="53932D81"/>
    <w:rsid w:val="5396225C"/>
    <w:rsid w:val="53975234"/>
    <w:rsid w:val="539D4641"/>
    <w:rsid w:val="53AB1337"/>
    <w:rsid w:val="53C131CC"/>
    <w:rsid w:val="53EF0B3B"/>
    <w:rsid w:val="54507861"/>
    <w:rsid w:val="547919F2"/>
    <w:rsid w:val="547B03D3"/>
    <w:rsid w:val="54FC1BBE"/>
    <w:rsid w:val="552B1DC7"/>
    <w:rsid w:val="553F47A0"/>
    <w:rsid w:val="554561C6"/>
    <w:rsid w:val="555108DF"/>
    <w:rsid w:val="55AE0DFF"/>
    <w:rsid w:val="55F857FB"/>
    <w:rsid w:val="560C77A6"/>
    <w:rsid w:val="5615612F"/>
    <w:rsid w:val="56367CCB"/>
    <w:rsid w:val="5696489C"/>
    <w:rsid w:val="569D378C"/>
    <w:rsid w:val="56AB6EAC"/>
    <w:rsid w:val="56F56768"/>
    <w:rsid w:val="571C15EB"/>
    <w:rsid w:val="57C81676"/>
    <w:rsid w:val="585D55F4"/>
    <w:rsid w:val="58734628"/>
    <w:rsid w:val="588B3A52"/>
    <w:rsid w:val="58BA4DE0"/>
    <w:rsid w:val="58F723E5"/>
    <w:rsid w:val="598F0310"/>
    <w:rsid w:val="59FD2825"/>
    <w:rsid w:val="5A0B5058"/>
    <w:rsid w:val="5AF624AB"/>
    <w:rsid w:val="5B1F26BA"/>
    <w:rsid w:val="5B4162F2"/>
    <w:rsid w:val="5B6B1990"/>
    <w:rsid w:val="5B6E2B3B"/>
    <w:rsid w:val="5C270F1D"/>
    <w:rsid w:val="5C8F3336"/>
    <w:rsid w:val="5C927AE0"/>
    <w:rsid w:val="5CBA122E"/>
    <w:rsid w:val="5CD22158"/>
    <w:rsid w:val="5CDE243B"/>
    <w:rsid w:val="5D4D621E"/>
    <w:rsid w:val="5D587E33"/>
    <w:rsid w:val="5D754213"/>
    <w:rsid w:val="5D837E1D"/>
    <w:rsid w:val="5D98197C"/>
    <w:rsid w:val="5DAF4A90"/>
    <w:rsid w:val="5E102188"/>
    <w:rsid w:val="5E282B86"/>
    <w:rsid w:val="5EA6472F"/>
    <w:rsid w:val="5EC22C27"/>
    <w:rsid w:val="5ED35121"/>
    <w:rsid w:val="5F041F5F"/>
    <w:rsid w:val="5F1337E9"/>
    <w:rsid w:val="5F3F6973"/>
    <w:rsid w:val="5F511A4D"/>
    <w:rsid w:val="5FA75912"/>
    <w:rsid w:val="5FE45DE0"/>
    <w:rsid w:val="5FE5141B"/>
    <w:rsid w:val="60B52270"/>
    <w:rsid w:val="60D85E8A"/>
    <w:rsid w:val="60E13F9A"/>
    <w:rsid w:val="612E6E2A"/>
    <w:rsid w:val="61604458"/>
    <w:rsid w:val="628A19B9"/>
    <w:rsid w:val="62EB4356"/>
    <w:rsid w:val="62FE7930"/>
    <w:rsid w:val="6315604E"/>
    <w:rsid w:val="63A802C2"/>
    <w:rsid w:val="63D506D7"/>
    <w:rsid w:val="63EA067C"/>
    <w:rsid w:val="64DB5A06"/>
    <w:rsid w:val="64F54A79"/>
    <w:rsid w:val="65037CE8"/>
    <w:rsid w:val="652D0705"/>
    <w:rsid w:val="65676159"/>
    <w:rsid w:val="65E26DFB"/>
    <w:rsid w:val="65EF3B0C"/>
    <w:rsid w:val="66740FA8"/>
    <w:rsid w:val="66E2035A"/>
    <w:rsid w:val="670B0B64"/>
    <w:rsid w:val="67C65F33"/>
    <w:rsid w:val="67EA5309"/>
    <w:rsid w:val="681151C8"/>
    <w:rsid w:val="68186A2D"/>
    <w:rsid w:val="68752646"/>
    <w:rsid w:val="690B57BB"/>
    <w:rsid w:val="693718D7"/>
    <w:rsid w:val="69801D62"/>
    <w:rsid w:val="69AB7271"/>
    <w:rsid w:val="69B27FF1"/>
    <w:rsid w:val="69CB581E"/>
    <w:rsid w:val="69E563C8"/>
    <w:rsid w:val="6A5B058F"/>
    <w:rsid w:val="6A876FCF"/>
    <w:rsid w:val="6AFB15BD"/>
    <w:rsid w:val="6B0C7C6D"/>
    <w:rsid w:val="6B4A6F94"/>
    <w:rsid w:val="6BA04A3E"/>
    <w:rsid w:val="6BAB24B1"/>
    <w:rsid w:val="6C042199"/>
    <w:rsid w:val="6C2F1675"/>
    <w:rsid w:val="6C4A1BC7"/>
    <w:rsid w:val="6C4A6B37"/>
    <w:rsid w:val="6CE15D0F"/>
    <w:rsid w:val="6CFC63A0"/>
    <w:rsid w:val="6D4D5460"/>
    <w:rsid w:val="6D645085"/>
    <w:rsid w:val="6D9165AA"/>
    <w:rsid w:val="6DAC5479"/>
    <w:rsid w:val="6DC01176"/>
    <w:rsid w:val="6DDB10B7"/>
    <w:rsid w:val="6DE71DDB"/>
    <w:rsid w:val="6E6C7DCD"/>
    <w:rsid w:val="6E6F41E6"/>
    <w:rsid w:val="6E865A0B"/>
    <w:rsid w:val="6ECB5AFA"/>
    <w:rsid w:val="6F2A116E"/>
    <w:rsid w:val="6F2A656C"/>
    <w:rsid w:val="6F637933"/>
    <w:rsid w:val="6F9159A1"/>
    <w:rsid w:val="6FE96964"/>
    <w:rsid w:val="70966945"/>
    <w:rsid w:val="70D46D82"/>
    <w:rsid w:val="71462673"/>
    <w:rsid w:val="724E3782"/>
    <w:rsid w:val="72902DA7"/>
    <w:rsid w:val="72916007"/>
    <w:rsid w:val="72A57890"/>
    <w:rsid w:val="72AD55AD"/>
    <w:rsid w:val="73123FD7"/>
    <w:rsid w:val="731352DC"/>
    <w:rsid w:val="73673268"/>
    <w:rsid w:val="73815910"/>
    <w:rsid w:val="73B54DDE"/>
    <w:rsid w:val="74150381"/>
    <w:rsid w:val="743F2AD2"/>
    <w:rsid w:val="744E6D6A"/>
    <w:rsid w:val="7470173A"/>
    <w:rsid w:val="74CB497C"/>
    <w:rsid w:val="75F82604"/>
    <w:rsid w:val="76277FE4"/>
    <w:rsid w:val="76301283"/>
    <w:rsid w:val="76380C6F"/>
    <w:rsid w:val="764F12F9"/>
    <w:rsid w:val="767874E3"/>
    <w:rsid w:val="768024F8"/>
    <w:rsid w:val="76CC75F6"/>
    <w:rsid w:val="77187B21"/>
    <w:rsid w:val="774B1B00"/>
    <w:rsid w:val="775725A0"/>
    <w:rsid w:val="777A2A82"/>
    <w:rsid w:val="785E688C"/>
    <w:rsid w:val="78675AD3"/>
    <w:rsid w:val="786F69A2"/>
    <w:rsid w:val="78711EA5"/>
    <w:rsid w:val="78D70170"/>
    <w:rsid w:val="78FE2CC9"/>
    <w:rsid w:val="79123E17"/>
    <w:rsid w:val="792B04A4"/>
    <w:rsid w:val="79387F53"/>
    <w:rsid w:val="794761A6"/>
    <w:rsid w:val="79880773"/>
    <w:rsid w:val="79FE2930"/>
    <w:rsid w:val="7A31432B"/>
    <w:rsid w:val="7A4430A5"/>
    <w:rsid w:val="7A607960"/>
    <w:rsid w:val="7A7D2F58"/>
    <w:rsid w:val="7AA30EC0"/>
    <w:rsid w:val="7AE925C7"/>
    <w:rsid w:val="7C2D6B7E"/>
    <w:rsid w:val="7C94167F"/>
    <w:rsid w:val="7CA613CD"/>
    <w:rsid w:val="7D104923"/>
    <w:rsid w:val="7DBB2757"/>
    <w:rsid w:val="7EA448D3"/>
    <w:rsid w:val="7F642A46"/>
    <w:rsid w:val="7F64616D"/>
    <w:rsid w:val="7F736225"/>
    <w:rsid w:val="7F861A6C"/>
    <w:rsid w:val="7FA731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6"/>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5">
    <w:name w:val="heading 2"/>
    <w:basedOn w:val="1"/>
    <w:next w:val="1"/>
    <w:link w:val="37"/>
    <w:qFormat/>
    <w:uiPriority w:val="0"/>
    <w:pPr>
      <w:keepNext/>
      <w:keepLines/>
      <w:numPr>
        <w:ilvl w:val="1"/>
        <w:numId w:val="1"/>
      </w:numPr>
      <w:tabs>
        <w:tab w:val="left" w:pos="425"/>
      </w:tabs>
      <w:topLinePunct/>
      <w:outlineLvl w:val="1"/>
    </w:pPr>
    <w:rPr>
      <w:rFonts w:eastAsia="黑体"/>
      <w:bCs/>
      <w:szCs w:val="21"/>
      <w:lang w:val="zh-CN"/>
    </w:rPr>
  </w:style>
  <w:style w:type="paragraph" w:styleId="6">
    <w:name w:val="heading 3"/>
    <w:basedOn w:val="1"/>
    <w:next w:val="1"/>
    <w:link w:val="38"/>
    <w:qFormat/>
    <w:uiPriority w:val="0"/>
    <w:pPr>
      <w:keepNext/>
      <w:keepLines/>
      <w:spacing w:before="260" w:after="260" w:line="416" w:lineRule="auto"/>
      <w:outlineLvl w:val="2"/>
    </w:pPr>
    <w:rPr>
      <w:b/>
      <w:bCs/>
      <w:sz w:val="32"/>
      <w:szCs w:val="32"/>
      <w:lang w:val="zh-CN"/>
    </w:rPr>
  </w:style>
  <w:style w:type="paragraph" w:styleId="7">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link w:val="28"/>
    <w:qFormat/>
    <w:uiPriority w:val="0"/>
    <w:pPr>
      <w:spacing w:before="240" w:after="60"/>
      <w:jc w:val="center"/>
      <w:outlineLvl w:val="0"/>
    </w:pPr>
    <w:rPr>
      <w:rFonts w:ascii="Arial" w:hAnsi="Arial" w:cs="Arial" w:eastAsiaTheme="minorEastAsia"/>
      <w:b/>
      <w:bCs/>
      <w:sz w:val="32"/>
      <w:szCs w:val="32"/>
    </w:rPr>
  </w:style>
  <w:style w:type="paragraph" w:styleId="8">
    <w:name w:val="Normal Indent"/>
    <w:basedOn w:val="1"/>
    <w:unhideWhenUsed/>
    <w:qFormat/>
    <w:uiPriority w:val="99"/>
    <w:pPr>
      <w:ind w:firstLine="420" w:firstLineChars="200"/>
    </w:pPr>
    <w:rPr>
      <w:kern w:val="0"/>
      <w:sz w:val="20"/>
    </w:rPr>
  </w:style>
  <w:style w:type="paragraph" w:styleId="9">
    <w:name w:val="Document Map"/>
    <w:basedOn w:val="1"/>
    <w:link w:val="53"/>
    <w:unhideWhenUsed/>
    <w:qFormat/>
    <w:uiPriority w:val="99"/>
    <w:rPr>
      <w:rFonts w:ascii="宋体"/>
      <w:sz w:val="18"/>
      <w:szCs w:val="18"/>
    </w:rPr>
  </w:style>
  <w:style w:type="paragraph" w:styleId="10">
    <w:name w:val="annotation text"/>
    <w:basedOn w:val="1"/>
    <w:semiHidden/>
    <w:unhideWhenUsed/>
    <w:qFormat/>
    <w:uiPriority w:val="99"/>
    <w:pPr>
      <w:jc w:val="left"/>
    </w:pPr>
  </w:style>
  <w:style w:type="paragraph" w:styleId="11">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2">
    <w:name w:val="Plain Text"/>
    <w:basedOn w:val="1"/>
    <w:link w:val="26"/>
    <w:qFormat/>
    <w:uiPriority w:val="99"/>
    <w:rPr>
      <w:rFonts w:ascii="宋体" w:hAnsi="Courier New" w:eastAsiaTheme="minorEastAsia" w:cstheme="minorBidi"/>
    </w:rPr>
  </w:style>
  <w:style w:type="paragraph" w:styleId="13">
    <w:name w:val="Balloon Text"/>
    <w:basedOn w:val="1"/>
    <w:link w:val="41"/>
    <w:qFormat/>
    <w:uiPriority w:val="0"/>
    <w:rPr>
      <w:rFonts w:asciiTheme="minorHAnsi" w:hAnsiTheme="minorHAnsi" w:cstheme="minorBidi"/>
      <w:sz w:val="18"/>
      <w:szCs w:val="18"/>
    </w:rPr>
  </w:style>
  <w:style w:type="paragraph" w:styleId="14">
    <w:name w:val="footer"/>
    <w:basedOn w:val="1"/>
    <w:link w:val="27"/>
    <w:qFormat/>
    <w:uiPriority w:val="99"/>
    <w:pPr>
      <w:tabs>
        <w:tab w:val="center" w:pos="4153"/>
        <w:tab w:val="right" w:pos="8306"/>
      </w:tabs>
      <w:snapToGrid w:val="0"/>
      <w:jc w:val="left"/>
    </w:pPr>
    <w:rPr>
      <w:rFonts w:asciiTheme="minorHAnsi" w:hAnsiTheme="minorHAnsi" w:cstheme="minorBidi"/>
      <w:sz w:val="18"/>
      <w:szCs w:val="18"/>
    </w:rPr>
  </w:style>
  <w:style w:type="paragraph" w:styleId="15">
    <w:name w:val="header"/>
    <w:basedOn w:val="1"/>
    <w:link w:val="3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6">
    <w:name w:val="toc 1"/>
    <w:basedOn w:val="1"/>
    <w:next w:val="1"/>
    <w:qFormat/>
    <w:uiPriority w:val="39"/>
    <w:pPr>
      <w:spacing w:beforeLines="50" w:line="360" w:lineRule="auto"/>
    </w:pPr>
    <w:rPr>
      <w:rFonts w:eastAsia="黑体"/>
    </w:rPr>
  </w:style>
  <w:style w:type="paragraph" w:styleId="17">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8">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21">
    <w:name w:val="Table Grid"/>
    <w:basedOn w:val="20"/>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style>
  <w:style w:type="character" w:styleId="24">
    <w:name w:val="FollowedHyperlink"/>
    <w:qFormat/>
    <w:uiPriority w:val="0"/>
    <w:rPr>
      <w:color w:val="800080"/>
      <w:u w:val="single"/>
    </w:rPr>
  </w:style>
  <w:style w:type="character" w:styleId="25">
    <w:name w:val="Hyperlink"/>
    <w:qFormat/>
    <w:uiPriority w:val="99"/>
    <w:rPr>
      <w:rFonts w:ascii="Times New Roman" w:hAnsi="Times New Roman" w:eastAsia="宋体"/>
      <w:color w:val="auto"/>
      <w:spacing w:val="0"/>
      <w:w w:val="100"/>
      <w:position w:val="0"/>
      <w:sz w:val="21"/>
      <w:u w:val="none"/>
    </w:rPr>
  </w:style>
  <w:style w:type="character" w:customStyle="1" w:styleId="26">
    <w:name w:val="纯文本 字符"/>
    <w:link w:val="12"/>
    <w:qFormat/>
    <w:uiPriority w:val="0"/>
    <w:rPr>
      <w:rFonts w:ascii="宋体" w:hAnsi="Courier New"/>
      <w:szCs w:val="24"/>
    </w:rPr>
  </w:style>
  <w:style w:type="character" w:customStyle="1" w:styleId="27">
    <w:name w:val="页脚 字符"/>
    <w:link w:val="14"/>
    <w:qFormat/>
    <w:uiPriority w:val="99"/>
    <w:rPr>
      <w:rFonts w:eastAsia="宋体"/>
      <w:sz w:val="18"/>
      <w:szCs w:val="18"/>
    </w:rPr>
  </w:style>
  <w:style w:type="character" w:customStyle="1" w:styleId="28">
    <w:name w:val="标题 字符"/>
    <w:link w:val="3"/>
    <w:qFormat/>
    <w:uiPriority w:val="0"/>
    <w:rPr>
      <w:rFonts w:ascii="Arial" w:hAnsi="Arial" w:cs="Arial"/>
      <w:b/>
      <w:bCs/>
      <w:sz w:val="32"/>
      <w:szCs w:val="32"/>
    </w:rPr>
  </w:style>
  <w:style w:type="character" w:customStyle="1" w:styleId="29">
    <w:name w:val="首行缩进 Char"/>
    <w:link w:val="30"/>
    <w:qFormat/>
    <w:uiPriority w:val="0"/>
    <w:rPr>
      <w:rFonts w:eastAsia="方正书宋简体" w:cs="宋体"/>
    </w:rPr>
  </w:style>
  <w:style w:type="paragraph" w:customStyle="1" w:styleId="30">
    <w:name w:val="首行缩进"/>
    <w:basedOn w:val="1"/>
    <w:link w:val="29"/>
    <w:qFormat/>
    <w:uiPriority w:val="0"/>
    <w:pPr>
      <w:spacing w:line="300" w:lineRule="auto"/>
      <w:ind w:firstLine="420" w:firstLineChars="200"/>
    </w:pPr>
    <w:rPr>
      <w:rFonts w:eastAsia="方正书宋简体" w:cs="宋体" w:asciiTheme="minorHAnsi" w:hAnsiTheme="minorHAnsi"/>
      <w:szCs w:val="22"/>
    </w:rPr>
  </w:style>
  <w:style w:type="character" w:customStyle="1" w:styleId="31">
    <w:name w:val="页眉 字符"/>
    <w:link w:val="15"/>
    <w:qFormat/>
    <w:uiPriority w:val="0"/>
    <w:rPr>
      <w:rFonts w:eastAsia="宋体"/>
      <w:sz w:val="18"/>
      <w:szCs w:val="18"/>
    </w:rPr>
  </w:style>
  <w:style w:type="character" w:customStyle="1" w:styleId="32">
    <w:name w:val="页脚 Char1"/>
    <w:basedOn w:val="22"/>
    <w:semiHidden/>
    <w:qFormat/>
    <w:uiPriority w:val="99"/>
    <w:rPr>
      <w:rFonts w:ascii="Times New Roman" w:hAnsi="Times New Roman" w:eastAsia="宋体" w:cs="Times New Roman"/>
      <w:sz w:val="18"/>
      <w:szCs w:val="18"/>
    </w:rPr>
  </w:style>
  <w:style w:type="character" w:customStyle="1" w:styleId="33">
    <w:name w:val="页眉 Char1"/>
    <w:basedOn w:val="22"/>
    <w:semiHidden/>
    <w:qFormat/>
    <w:uiPriority w:val="99"/>
    <w:rPr>
      <w:rFonts w:ascii="Times New Roman" w:hAnsi="Times New Roman" w:eastAsia="宋体" w:cs="Times New Roman"/>
      <w:sz w:val="18"/>
      <w:szCs w:val="18"/>
    </w:rPr>
  </w:style>
  <w:style w:type="character" w:customStyle="1" w:styleId="34">
    <w:name w:val="标题 Char"/>
    <w:basedOn w:val="22"/>
    <w:qFormat/>
    <w:uiPriority w:val="0"/>
    <w:rPr>
      <w:rFonts w:eastAsia="宋体" w:asciiTheme="majorHAnsi" w:hAnsiTheme="majorHAnsi" w:cstheme="majorBidi"/>
      <w:b/>
      <w:bCs/>
      <w:sz w:val="32"/>
      <w:szCs w:val="32"/>
    </w:rPr>
  </w:style>
  <w:style w:type="character" w:customStyle="1" w:styleId="35">
    <w:name w:val="纯文本 Char"/>
    <w:basedOn w:val="22"/>
    <w:qFormat/>
    <w:uiPriority w:val="99"/>
    <w:rPr>
      <w:rFonts w:ascii="宋体" w:hAnsi="Courier New" w:eastAsia="宋体" w:cs="Courier New"/>
      <w:szCs w:val="21"/>
    </w:rPr>
  </w:style>
  <w:style w:type="character" w:customStyle="1" w:styleId="36">
    <w:name w:val="标题 1 字符"/>
    <w:basedOn w:val="22"/>
    <w:link w:val="4"/>
    <w:qFormat/>
    <w:uiPriority w:val="0"/>
    <w:rPr>
      <w:rFonts w:ascii="Times New Roman" w:hAnsi="Times New Roman" w:eastAsia="汉仪大宋简" w:cs="Times New Roman"/>
      <w:kern w:val="44"/>
      <w:sz w:val="22"/>
      <w:lang w:val="zh-CN" w:eastAsia="zh-CN"/>
    </w:rPr>
  </w:style>
  <w:style w:type="character" w:customStyle="1" w:styleId="37">
    <w:name w:val="标题 2 字符"/>
    <w:basedOn w:val="22"/>
    <w:link w:val="5"/>
    <w:qFormat/>
    <w:uiPriority w:val="0"/>
    <w:rPr>
      <w:rFonts w:ascii="Times New Roman" w:hAnsi="Times New Roman" w:eastAsia="黑体" w:cs="Times New Roman"/>
      <w:bCs/>
      <w:kern w:val="2"/>
      <w:sz w:val="21"/>
      <w:szCs w:val="21"/>
      <w:lang w:val="zh-CN"/>
    </w:rPr>
  </w:style>
  <w:style w:type="character" w:customStyle="1" w:styleId="38">
    <w:name w:val="标题 3 字符"/>
    <w:basedOn w:val="22"/>
    <w:link w:val="6"/>
    <w:qFormat/>
    <w:uiPriority w:val="0"/>
    <w:rPr>
      <w:rFonts w:ascii="Times New Roman" w:hAnsi="Times New Roman" w:eastAsia="宋体" w:cs="Times New Roman"/>
      <w:b/>
      <w:bCs/>
      <w:sz w:val="32"/>
      <w:szCs w:val="32"/>
      <w:lang w:val="zh-CN" w:eastAsia="zh-CN"/>
    </w:rPr>
  </w:style>
  <w:style w:type="character" w:customStyle="1" w:styleId="39">
    <w:name w:val="C标准-正文格式 Char"/>
    <w:link w:val="40"/>
    <w:qFormat/>
    <w:locked/>
    <w:uiPriority w:val="0"/>
    <w:rPr>
      <w:rFonts w:eastAsia="宋体" w:cs="宋体"/>
      <w:sz w:val="24"/>
    </w:rPr>
  </w:style>
  <w:style w:type="paragraph" w:customStyle="1" w:styleId="40">
    <w:name w:val="C标准-正文格式"/>
    <w:basedOn w:val="1"/>
    <w:link w:val="39"/>
    <w:qFormat/>
    <w:uiPriority w:val="0"/>
    <w:pPr>
      <w:spacing w:line="360" w:lineRule="auto"/>
    </w:pPr>
    <w:rPr>
      <w:rFonts w:cs="宋体" w:asciiTheme="minorHAnsi" w:hAnsiTheme="minorHAnsi"/>
      <w:sz w:val="24"/>
      <w:szCs w:val="22"/>
    </w:rPr>
  </w:style>
  <w:style w:type="character" w:customStyle="1" w:styleId="41">
    <w:name w:val="批注框文本 字符"/>
    <w:link w:val="13"/>
    <w:qFormat/>
    <w:locked/>
    <w:uiPriority w:val="0"/>
    <w:rPr>
      <w:rFonts w:eastAsia="宋体"/>
      <w:sz w:val="18"/>
      <w:szCs w:val="18"/>
    </w:rPr>
  </w:style>
  <w:style w:type="character" w:customStyle="1" w:styleId="42">
    <w:name w:val="页码1"/>
    <w:qFormat/>
    <w:uiPriority w:val="0"/>
    <w:rPr>
      <w:rFonts w:ascii="Times New Roman" w:hAnsi="Times New Roman" w:eastAsia="宋体"/>
      <w:sz w:val="18"/>
    </w:rPr>
  </w:style>
  <w:style w:type="character" w:customStyle="1" w:styleId="43">
    <w:name w:val="批注框文本 Char1"/>
    <w:basedOn w:val="22"/>
    <w:semiHidden/>
    <w:qFormat/>
    <w:uiPriority w:val="99"/>
    <w:rPr>
      <w:rFonts w:ascii="Times New Roman" w:hAnsi="Times New Roman" w:eastAsia="宋体" w:cs="Times New Roman"/>
      <w:sz w:val="18"/>
      <w:szCs w:val="18"/>
    </w:rPr>
  </w:style>
  <w:style w:type="paragraph" w:customStyle="1" w:styleId="44">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5">
    <w:name w:val="TOC 标题1"/>
    <w:basedOn w:val="4"/>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6">
    <w:name w:val="列出段落1"/>
    <w:basedOn w:val="1"/>
    <w:qFormat/>
    <w:uiPriority w:val="0"/>
    <w:pPr>
      <w:ind w:firstLine="420" w:firstLineChars="200"/>
    </w:pPr>
  </w:style>
  <w:style w:type="paragraph" w:customStyle="1" w:styleId="47">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8">
    <w:name w:val="列出段落2"/>
    <w:basedOn w:val="1"/>
    <w:qFormat/>
    <w:uiPriority w:val="0"/>
    <w:pPr>
      <w:ind w:firstLine="420" w:firstLineChars="200"/>
    </w:pPr>
  </w:style>
  <w:style w:type="paragraph" w:customStyle="1" w:styleId="49">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0">
    <w:name w:val="标准规范3级"/>
    <w:basedOn w:val="47"/>
    <w:qFormat/>
    <w:uiPriority w:val="0"/>
    <w:pPr>
      <w:numPr>
        <w:numId w:val="0"/>
      </w:numPr>
      <w:spacing w:before="0"/>
      <w:ind w:firstLine="200" w:firstLineChars="200"/>
    </w:pPr>
  </w:style>
  <w:style w:type="paragraph" w:customStyle="1" w:styleId="51">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2">
    <w:name w:val="标准规范1级"/>
    <w:basedOn w:val="3"/>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3">
    <w:name w:val="文档结构图 字符"/>
    <w:basedOn w:val="22"/>
    <w:link w:val="9"/>
    <w:semiHidden/>
    <w:qFormat/>
    <w:uiPriority w:val="99"/>
    <w:rPr>
      <w:rFonts w:ascii="宋体" w:hAnsi="Times New Roman" w:eastAsia="宋体" w:cs="Times New Roman"/>
      <w:kern w:val="2"/>
      <w:sz w:val="18"/>
      <w:szCs w:val="18"/>
    </w:rPr>
  </w:style>
  <w:style w:type="paragraph" w:customStyle="1" w:styleId="54">
    <w:name w:val="朱表头"/>
    <w:basedOn w:val="1"/>
    <w:link w:val="56"/>
    <w:qFormat/>
    <w:uiPriority w:val="0"/>
    <w:pPr>
      <w:topLinePunct/>
      <w:spacing w:before="160" w:after="60" w:line="312" w:lineRule="exact"/>
      <w:jc w:val="center"/>
    </w:pPr>
    <w:rPr>
      <w:rFonts w:ascii="EU-F1" w:eastAsia="黑体"/>
      <w:snapToGrid w:val="0"/>
      <w:kern w:val="0"/>
      <w:sz w:val="20"/>
      <w:szCs w:val="20"/>
    </w:rPr>
  </w:style>
  <w:style w:type="paragraph" w:customStyle="1" w:styleId="55">
    <w:name w:val="p0"/>
    <w:basedOn w:val="1"/>
    <w:qFormat/>
    <w:uiPriority w:val="99"/>
    <w:pPr>
      <w:widowControl/>
    </w:pPr>
    <w:rPr>
      <w:rFonts w:ascii="Calibri" w:hAnsi="Calibri" w:cs="宋体"/>
      <w:kern w:val="0"/>
      <w:szCs w:val="21"/>
    </w:rPr>
  </w:style>
  <w:style w:type="character" w:customStyle="1" w:styleId="56">
    <w:name w:val="朱表头 Char"/>
    <w:link w:val="54"/>
    <w:qFormat/>
    <w:uiPriority w:val="0"/>
    <w:rPr>
      <w:rFonts w:ascii="EU-F1" w:hAnsi="Times New Roman" w:eastAsia="黑体" w:cs="Times New Roman"/>
      <w:snapToGrid w:val="0"/>
    </w:rPr>
  </w:style>
  <w:style w:type="paragraph" w:customStyle="1" w:styleId="57">
    <w:name w:val="二级无标题条"/>
    <w:basedOn w:val="1"/>
    <w:qFormat/>
    <w:uiPriority w:val="0"/>
    <w:rPr>
      <w:rFonts w:ascii="Calibri" w:hAnsi="Calibri"/>
      <w:b/>
      <w:szCs w:val="20"/>
    </w:rPr>
  </w:style>
  <w:style w:type="paragraph" w:customStyle="1" w:styleId="58">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9">
    <w:name w:val="_Style 2"/>
    <w:basedOn w:val="4"/>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0">
    <w:name w:val="font21"/>
    <w:basedOn w:val="22"/>
    <w:qFormat/>
    <w:uiPriority w:val="0"/>
    <w:rPr>
      <w:rFonts w:hint="eastAsia" w:ascii="宋体" w:hAnsi="宋体" w:eastAsia="宋体" w:cs="宋体"/>
      <w:color w:val="000000"/>
      <w:sz w:val="18"/>
      <w:szCs w:val="18"/>
      <w:u w:val="none"/>
      <w:vertAlign w:val="superscript"/>
    </w:rPr>
  </w:style>
  <w:style w:type="paragraph" w:customStyle="1" w:styleId="61">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2">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2153</Words>
  <Characters>2203</Characters>
  <Lines>18</Lines>
  <Paragraphs>5</Paragraphs>
  <TotalTime>6</TotalTime>
  <ScaleCrop>false</ScaleCrop>
  <LinksUpToDate>false</LinksUpToDate>
  <CharactersWithSpaces>2356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HETONGBO</cp:lastModifiedBy>
  <cp:lastPrinted>2024-02-27T06:19:00Z</cp:lastPrinted>
  <dcterms:modified xsi:type="dcterms:W3CDTF">2026-07-16T15:09:49Z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88EF579DACC944CAB7BC4F74B6DA2310_13</vt:lpwstr>
  </property>
  <property fmtid="{D5CDD505-2E9C-101B-9397-08002B2CF9AE}" pid="4" name="KSOTemplateDocerSaveRecord">
    <vt:lpwstr>eyJoZGlkIjoiZDgzZTg1OGRiZDJkYjAzODc2MzQ5NTZlYmVhMWYxNWUiLCJ1c2VySWQiOiIyNTA0ODkzMTUifQ==</vt:lpwstr>
  </property>
</Properties>
</file>