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零星采购报价表</w:t>
      </w:r>
      <w:bookmarkStart w:id="0" w:name="_GoBack"/>
      <w:bookmarkEnd w:id="0"/>
    </w:p>
    <w:p>
      <w:pPr>
        <w:keepNext w:val="0"/>
        <w:keepLines w:val="0"/>
        <w:pageBreakBefore w:val="0"/>
        <w:kinsoku/>
        <w:wordWrap/>
        <w:overflowPunct/>
        <w:topLinePunct w:val="0"/>
        <w:autoSpaceDE/>
        <w:autoSpaceDN/>
        <w:bidi w:val="0"/>
        <w:adjustRightInd/>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海南电网能源发展有限公司</w:t>
      </w:r>
      <w:r>
        <w:rPr>
          <w:rFonts w:hint="eastAsia" w:asciiTheme="minorEastAsia" w:hAnsiTheme="minorEastAsia" w:eastAsiaTheme="minorEastAsia" w:cstheme="minorEastAsia"/>
          <w:szCs w:val="21"/>
        </w:rPr>
        <w:t>：</w:t>
      </w:r>
    </w:p>
    <w:p>
      <w:pPr>
        <w:keepNext w:val="0"/>
        <w:keepLines w:val="0"/>
        <w:pageBreakBefore w:val="0"/>
        <w:kinsoku/>
        <w:wordWrap/>
        <w:overflowPunct/>
        <w:topLinePunct w:val="0"/>
        <w:autoSpaceDE/>
        <w:autoSpaceDN/>
        <w:bidi w:val="0"/>
        <w:adjustRightInd/>
        <w:spacing w:line="360" w:lineRule="exact"/>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我公司愿意按照贵单位要求，按照以下报价和承诺提供所需的（服务）：</w:t>
      </w:r>
    </w:p>
    <w:p>
      <w:pPr>
        <w:keepNext w:val="0"/>
        <w:keepLines w:val="0"/>
        <w:pageBreakBefore w:val="0"/>
        <w:kinsoku/>
        <w:wordWrap/>
        <w:overflowPunct/>
        <w:topLinePunct w:val="0"/>
        <w:autoSpaceDE/>
        <w:autoSpaceDN/>
        <w:bidi w:val="0"/>
        <w:adjustRightInd/>
        <w:spacing w:line="360" w:lineRule="exact"/>
        <w:ind w:firstLine="422" w:firstLineChars="200"/>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一、报价情况</w:t>
      </w:r>
    </w:p>
    <w:tbl>
      <w:tblPr>
        <w:tblStyle w:val="5"/>
        <w:tblW w:w="10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421"/>
        <w:gridCol w:w="1220"/>
        <w:gridCol w:w="661"/>
        <w:gridCol w:w="491"/>
        <w:gridCol w:w="841"/>
        <w:gridCol w:w="767"/>
        <w:gridCol w:w="1044"/>
        <w:gridCol w:w="955"/>
        <w:gridCol w:w="1082"/>
        <w:gridCol w:w="1218"/>
        <w:gridCol w:w="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78"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项目名称</w:t>
            </w:r>
          </w:p>
        </w:tc>
        <w:tc>
          <w:tcPr>
            <w:tcW w:w="421"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220" w:type="dxa"/>
            <w:vAlign w:val="center"/>
          </w:tcPr>
          <w:p>
            <w:pPr>
              <w:keepNext w:val="0"/>
              <w:keepLines w:val="0"/>
              <w:pageBreakBefore w:val="0"/>
              <w:kinsoku/>
              <w:wordWrap/>
              <w:overflowPunct/>
              <w:topLinePunct w:val="0"/>
              <w:autoSpaceDE/>
              <w:autoSpaceDN/>
              <w:bidi w:val="0"/>
              <w:adjustRightInd/>
              <w:spacing w:line="36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服务内容</w:t>
            </w:r>
          </w:p>
        </w:tc>
        <w:tc>
          <w:tcPr>
            <w:tcW w:w="661"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491"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41"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税率</w:t>
            </w:r>
          </w:p>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w:t>
            </w:r>
          </w:p>
        </w:tc>
        <w:tc>
          <w:tcPr>
            <w:tcW w:w="767"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含税单价（元）</w:t>
            </w:r>
          </w:p>
        </w:tc>
        <w:tc>
          <w:tcPr>
            <w:tcW w:w="1044"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lang w:val="en-US" w:eastAsia="zh-CN"/>
              </w:rPr>
              <w:t>含税</w:t>
            </w:r>
            <w:r>
              <w:rPr>
                <w:rFonts w:hint="eastAsia" w:asciiTheme="minorEastAsia" w:hAnsiTheme="minorEastAsia" w:eastAsiaTheme="minorEastAsia" w:cstheme="minorEastAsia"/>
                <w:b/>
                <w:bCs/>
                <w:sz w:val="18"/>
                <w:szCs w:val="18"/>
              </w:rPr>
              <w:t>单价限价（元）</w:t>
            </w:r>
          </w:p>
        </w:tc>
        <w:tc>
          <w:tcPr>
            <w:tcW w:w="955"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含税总价（元）</w:t>
            </w:r>
          </w:p>
        </w:tc>
        <w:tc>
          <w:tcPr>
            <w:tcW w:w="1082"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服务地址</w:t>
            </w:r>
          </w:p>
        </w:tc>
        <w:tc>
          <w:tcPr>
            <w:tcW w:w="1218"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服务期</w:t>
            </w:r>
          </w:p>
        </w:tc>
        <w:tc>
          <w:tcPr>
            <w:tcW w:w="857" w:type="dxa"/>
            <w:vAlign w:val="center"/>
          </w:tcPr>
          <w:p>
            <w:pPr>
              <w:keepNext w:val="0"/>
              <w:keepLines w:val="0"/>
              <w:pageBreakBefore w:val="0"/>
              <w:kinsoku/>
              <w:wordWrap/>
              <w:overflowPunct/>
              <w:topLinePunct w:val="0"/>
              <w:autoSpaceDE/>
              <w:autoSpaceDN/>
              <w:bidi w:val="0"/>
              <w:adjustRightInd/>
              <w:spacing w:line="36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078" w:type="dxa"/>
            <w:vMerge w:val="restart"/>
            <w:vAlign w:val="center"/>
          </w:tcPr>
          <w:p>
            <w:pPr>
              <w:keepNext w:val="0"/>
              <w:keepLines w:val="0"/>
              <w:pageBreakBefore w:val="0"/>
              <w:kinsoku/>
              <w:wordWrap/>
              <w:overflowPunct/>
              <w:topLinePunct w:val="0"/>
              <w:autoSpaceDE/>
              <w:autoSpaceDN/>
              <w:bidi w:val="0"/>
              <w:adjustRightInd/>
              <w:snapToGrid w:val="0"/>
              <w:spacing w:line="360" w:lineRule="exact"/>
              <w:jc w:val="both"/>
              <w:rPr>
                <w:rFonts w:hint="eastAsia" w:ascii="宋体" w:hAnsi="宋体" w:cs="宋体"/>
                <w:szCs w:val="21"/>
              </w:rPr>
            </w:pPr>
            <w:r>
              <w:rPr>
                <w:rFonts w:hint="eastAsia" w:ascii="宋体" w:hAnsi="宋体" w:cs="宋体"/>
                <w:szCs w:val="21"/>
                <w:lang w:val="en-US" w:eastAsia="zh-CN"/>
              </w:rPr>
              <w:t>陵水110kV南湾输变电新建工程等项目2026年光纤熔接技术服务零星采购</w:t>
            </w:r>
            <w:r>
              <w:rPr>
                <w:rFonts w:hint="eastAsia" w:ascii="宋体" w:hAnsi="宋体" w:cs="宋体"/>
                <w:szCs w:val="21"/>
              </w:rPr>
              <w:t>项目</w:t>
            </w:r>
          </w:p>
        </w:tc>
        <w:tc>
          <w:tcPr>
            <w:tcW w:w="42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rPr>
              <w:t>1</w:t>
            </w:r>
          </w:p>
        </w:tc>
        <w:tc>
          <w:tcPr>
            <w:tcW w:w="1220" w:type="dxa"/>
            <w:vAlign w:val="center"/>
          </w:tcPr>
          <w:p>
            <w:pPr>
              <w:keepNext w:val="0"/>
              <w:keepLines w:val="0"/>
              <w:pageBreakBefore w:val="0"/>
              <w:kinsoku/>
              <w:wordWrap/>
              <w:overflowPunct/>
              <w:topLinePunct w:val="0"/>
              <w:autoSpaceDE/>
              <w:autoSpaceDN/>
              <w:bidi w:val="0"/>
              <w:adjustRightInd/>
              <w:snapToGrid w:val="0"/>
              <w:spacing w:line="360" w:lineRule="exact"/>
              <w:jc w:val="both"/>
              <w:rPr>
                <w:rFonts w:hint="default" w:ascii="宋体" w:hAnsi="宋体" w:eastAsia="宋体" w:cs="宋体"/>
                <w:szCs w:val="21"/>
                <w:lang w:val="en-US" w:eastAsia="zh-CN"/>
              </w:rPr>
            </w:pPr>
            <w:r>
              <w:rPr>
                <w:rFonts w:hint="eastAsia" w:ascii="宋体" w:hAnsi="宋体" w:cs="宋体"/>
                <w:szCs w:val="21"/>
                <w:lang w:val="en-US" w:eastAsia="zh-CN"/>
              </w:rPr>
              <w:t>光纤熔接技术服务（海府站）</w:t>
            </w:r>
          </w:p>
        </w:tc>
        <w:tc>
          <w:tcPr>
            <w:tcW w:w="661" w:type="dxa"/>
            <w:vAlign w:val="center"/>
          </w:tcPr>
          <w:p>
            <w:pPr>
              <w:keepNext w:val="0"/>
              <w:keepLines w:val="0"/>
              <w:pageBreakBefore w:val="0"/>
              <w:widowControl/>
              <w:suppressLineNumbers w:val="0"/>
              <w:kinsoku/>
              <w:wordWrap/>
              <w:overflowPunct/>
              <w:topLinePunct w:val="0"/>
              <w:autoSpaceDE/>
              <w:autoSpaceDN/>
              <w:bidi w:val="0"/>
              <w:adjustRightInd/>
              <w:spacing w:line="360" w:lineRule="exact"/>
              <w:jc w:val="center"/>
              <w:textAlignment w:val="center"/>
              <w:rPr>
                <w:rFonts w:hint="eastAsia" w:ascii="宋体" w:hAnsi="宋体" w:cs="宋体"/>
                <w:szCs w:val="21"/>
              </w:rPr>
            </w:pP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0</w:t>
            </w:r>
          </w:p>
        </w:tc>
        <w:tc>
          <w:tcPr>
            <w:tcW w:w="49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rPr>
              <w:t>芯</w:t>
            </w:r>
          </w:p>
        </w:tc>
        <w:tc>
          <w:tcPr>
            <w:tcW w:w="841" w:type="dxa"/>
            <w:vMerge w:val="restart"/>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p>
        </w:tc>
        <w:tc>
          <w:tcPr>
            <w:tcW w:w="767" w:type="dxa"/>
            <w:vMerge w:val="restart"/>
            <w:vAlign w:val="center"/>
          </w:tcPr>
          <w:p>
            <w:pPr>
              <w:keepNext w:val="0"/>
              <w:keepLines w:val="0"/>
              <w:pageBreakBefore w:val="0"/>
              <w:widowControl/>
              <w:kinsoku/>
              <w:wordWrap/>
              <w:overflowPunct/>
              <w:topLinePunct w:val="0"/>
              <w:autoSpaceDE/>
              <w:autoSpaceDN/>
              <w:bidi w:val="0"/>
              <w:adjustRightInd/>
              <w:spacing w:line="360" w:lineRule="exact"/>
              <w:jc w:val="center"/>
              <w:textAlignment w:val="center"/>
              <w:rPr>
                <w:rFonts w:hint="default" w:ascii="宋体" w:hAnsi="宋体" w:eastAsia="宋体" w:cs="宋体"/>
                <w:szCs w:val="21"/>
                <w:lang w:val="en-US" w:eastAsia="zh-CN"/>
              </w:rPr>
            </w:pPr>
          </w:p>
        </w:tc>
        <w:tc>
          <w:tcPr>
            <w:tcW w:w="1044" w:type="dxa"/>
            <w:vMerge w:val="restart"/>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eastAsia="宋体" w:cs="宋体"/>
                <w:szCs w:val="21"/>
                <w:lang w:val="en-US" w:eastAsia="zh-CN"/>
              </w:rPr>
            </w:pPr>
            <w:r>
              <w:rPr>
                <w:rFonts w:hint="eastAsia" w:ascii="宋体" w:hAnsi="宋体" w:cs="宋体"/>
                <w:szCs w:val="21"/>
                <w:lang w:val="en-US" w:eastAsia="zh-CN"/>
              </w:rPr>
              <w:t>20</w:t>
            </w:r>
          </w:p>
        </w:tc>
        <w:tc>
          <w:tcPr>
            <w:tcW w:w="955" w:type="dxa"/>
            <w:vMerge w:val="restart"/>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eastAsia="宋体" w:cs="宋体"/>
                <w:szCs w:val="21"/>
                <w:lang w:val="en-US" w:eastAsia="zh-CN"/>
              </w:rPr>
            </w:pPr>
          </w:p>
        </w:tc>
        <w:tc>
          <w:tcPr>
            <w:tcW w:w="1082"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lang w:val="en-US" w:eastAsia="zh-CN"/>
              </w:rPr>
              <w:t>海口市海府</w:t>
            </w:r>
            <w:r>
              <w:rPr>
                <w:rFonts w:hint="eastAsia" w:ascii="宋体" w:hAnsi="宋体" w:cs="宋体"/>
                <w:szCs w:val="21"/>
              </w:rPr>
              <w:t>站</w:t>
            </w:r>
          </w:p>
        </w:tc>
        <w:tc>
          <w:tcPr>
            <w:tcW w:w="1218"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r>
              <w:rPr>
                <w:rFonts w:hint="eastAsia" w:ascii="宋体" w:hAnsi="宋体" w:cs="宋体"/>
                <w:szCs w:val="21"/>
              </w:rPr>
              <w:t>成交通知书发出</w:t>
            </w:r>
            <w:r>
              <w:rPr>
                <w:rFonts w:hint="eastAsia" w:ascii="宋体" w:hAnsi="宋体" w:cs="宋体"/>
                <w:szCs w:val="21"/>
                <w:lang w:val="en-US" w:eastAsia="zh-CN"/>
              </w:rPr>
              <w:t>7</w:t>
            </w:r>
            <w:r>
              <w:rPr>
                <w:rFonts w:hint="eastAsia" w:ascii="宋体" w:hAnsi="宋体" w:cs="宋体"/>
                <w:szCs w:val="21"/>
              </w:rPr>
              <w:t>天内</w:t>
            </w:r>
          </w:p>
        </w:tc>
        <w:tc>
          <w:tcPr>
            <w:tcW w:w="857"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1078" w:type="dxa"/>
            <w:vMerge w:val="continue"/>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p>
        </w:tc>
        <w:tc>
          <w:tcPr>
            <w:tcW w:w="42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rPr>
              <w:t>2</w:t>
            </w:r>
          </w:p>
        </w:tc>
        <w:tc>
          <w:tcPr>
            <w:tcW w:w="1220" w:type="dxa"/>
            <w:vAlign w:val="center"/>
          </w:tcPr>
          <w:p>
            <w:pPr>
              <w:keepNext w:val="0"/>
              <w:keepLines w:val="0"/>
              <w:pageBreakBefore w:val="0"/>
              <w:kinsoku/>
              <w:wordWrap/>
              <w:overflowPunct/>
              <w:topLinePunct w:val="0"/>
              <w:autoSpaceDE/>
              <w:autoSpaceDN/>
              <w:bidi w:val="0"/>
              <w:adjustRightInd/>
              <w:snapToGrid w:val="0"/>
              <w:spacing w:line="360" w:lineRule="exact"/>
              <w:jc w:val="both"/>
              <w:rPr>
                <w:rFonts w:hint="default" w:ascii="宋体" w:hAnsi="宋体" w:eastAsia="宋体" w:cs="宋体"/>
                <w:szCs w:val="21"/>
                <w:lang w:val="en-US" w:eastAsia="zh-CN"/>
              </w:rPr>
            </w:pPr>
            <w:r>
              <w:rPr>
                <w:rFonts w:hint="eastAsia" w:ascii="宋体" w:hAnsi="宋体" w:cs="宋体"/>
                <w:szCs w:val="21"/>
                <w:lang w:val="en-US" w:eastAsia="zh-CN"/>
              </w:rPr>
              <w:t>光纤熔接技术服务（南湾站）</w:t>
            </w:r>
          </w:p>
        </w:tc>
        <w:tc>
          <w:tcPr>
            <w:tcW w:w="661" w:type="dxa"/>
            <w:vAlign w:val="center"/>
          </w:tcPr>
          <w:p>
            <w:pPr>
              <w:keepNext w:val="0"/>
              <w:keepLines w:val="0"/>
              <w:pageBreakBefore w:val="0"/>
              <w:widowControl/>
              <w:suppressLineNumbers w:val="0"/>
              <w:kinsoku/>
              <w:wordWrap/>
              <w:overflowPunct/>
              <w:topLinePunct w:val="0"/>
              <w:autoSpaceDE/>
              <w:autoSpaceDN/>
              <w:bidi w:val="0"/>
              <w:adjustRightInd/>
              <w:spacing w:line="360" w:lineRule="exact"/>
              <w:jc w:val="center"/>
              <w:textAlignment w:val="center"/>
              <w:rPr>
                <w:rFonts w:hint="eastAsia" w:ascii="宋体" w:hAnsi="宋体" w:cs="宋体"/>
                <w:szCs w:val="21"/>
              </w:rPr>
            </w:pPr>
            <w:r>
              <w:rPr>
                <w:rFonts w:hint="eastAsia" w:ascii="宋体" w:hAnsi="宋体" w:eastAsia="宋体" w:cs="宋体"/>
                <w:i w:val="0"/>
                <w:iCs w:val="0"/>
                <w:color w:val="000000"/>
                <w:kern w:val="0"/>
                <w:sz w:val="21"/>
                <w:szCs w:val="21"/>
                <w:u w:val="none"/>
                <w:lang w:val="en-US" w:eastAsia="zh-CN" w:bidi="ar"/>
              </w:rPr>
              <w:t>893</w:t>
            </w:r>
          </w:p>
        </w:tc>
        <w:tc>
          <w:tcPr>
            <w:tcW w:w="49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rPr>
              <w:t>芯</w:t>
            </w:r>
          </w:p>
        </w:tc>
        <w:tc>
          <w:tcPr>
            <w:tcW w:w="841"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p>
        </w:tc>
        <w:tc>
          <w:tcPr>
            <w:tcW w:w="767" w:type="dxa"/>
            <w:vMerge w:val="continue"/>
            <w:tcBorders/>
            <w:vAlign w:val="center"/>
          </w:tcPr>
          <w:p>
            <w:pPr>
              <w:keepNext w:val="0"/>
              <w:keepLines w:val="0"/>
              <w:pageBreakBefore w:val="0"/>
              <w:widowControl/>
              <w:kinsoku/>
              <w:wordWrap/>
              <w:overflowPunct/>
              <w:topLinePunct w:val="0"/>
              <w:autoSpaceDE/>
              <w:autoSpaceDN/>
              <w:bidi w:val="0"/>
              <w:adjustRightInd/>
              <w:spacing w:line="360" w:lineRule="exact"/>
              <w:jc w:val="center"/>
              <w:textAlignment w:val="center"/>
              <w:rPr>
                <w:rFonts w:hint="default" w:ascii="宋体" w:hAnsi="宋体" w:eastAsia="宋体" w:cs="宋体"/>
                <w:szCs w:val="21"/>
                <w:lang w:val="en-US" w:eastAsia="zh-CN"/>
              </w:rPr>
            </w:pPr>
          </w:p>
        </w:tc>
        <w:tc>
          <w:tcPr>
            <w:tcW w:w="1044"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eastAsia="宋体" w:cs="宋体"/>
                <w:sz w:val="24"/>
                <w:szCs w:val="24"/>
                <w:lang w:val="en-US" w:eastAsia="zh-CN"/>
              </w:rPr>
            </w:pPr>
          </w:p>
        </w:tc>
        <w:tc>
          <w:tcPr>
            <w:tcW w:w="955"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eastAsia="宋体" w:cs="宋体"/>
                <w:szCs w:val="21"/>
                <w:lang w:val="en-US" w:eastAsia="zh-CN"/>
              </w:rPr>
            </w:pPr>
          </w:p>
        </w:tc>
        <w:tc>
          <w:tcPr>
            <w:tcW w:w="1082"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r>
              <w:rPr>
                <w:rFonts w:hint="eastAsia" w:ascii="宋体" w:hAnsi="宋体" w:cs="宋体"/>
                <w:szCs w:val="21"/>
                <w:lang w:val="en-US" w:eastAsia="zh-CN"/>
              </w:rPr>
              <w:t>陵水县南湾</w:t>
            </w:r>
            <w:r>
              <w:rPr>
                <w:rFonts w:hint="eastAsia" w:ascii="宋体" w:hAnsi="宋体" w:cs="宋体"/>
                <w:szCs w:val="21"/>
              </w:rPr>
              <w:t>站</w:t>
            </w:r>
          </w:p>
        </w:tc>
        <w:tc>
          <w:tcPr>
            <w:tcW w:w="1218"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r>
              <w:rPr>
                <w:rFonts w:hint="eastAsia" w:ascii="宋体" w:hAnsi="宋体" w:cs="宋体"/>
                <w:szCs w:val="21"/>
              </w:rPr>
              <w:t>成交通知书发出</w:t>
            </w:r>
            <w:r>
              <w:rPr>
                <w:rFonts w:hint="eastAsia" w:ascii="宋体" w:hAnsi="宋体" w:cs="宋体"/>
                <w:szCs w:val="21"/>
                <w:lang w:val="en-US" w:eastAsia="zh-CN"/>
              </w:rPr>
              <w:t>60</w:t>
            </w:r>
            <w:r>
              <w:rPr>
                <w:rFonts w:hint="eastAsia" w:ascii="宋体" w:hAnsi="宋体" w:cs="宋体"/>
                <w:szCs w:val="21"/>
              </w:rPr>
              <w:t>天内</w:t>
            </w:r>
          </w:p>
        </w:tc>
        <w:tc>
          <w:tcPr>
            <w:tcW w:w="857"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1078" w:type="dxa"/>
            <w:vMerge w:val="continue"/>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p>
        </w:tc>
        <w:tc>
          <w:tcPr>
            <w:tcW w:w="42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1220" w:type="dxa"/>
            <w:vAlign w:val="center"/>
          </w:tcPr>
          <w:p>
            <w:pPr>
              <w:keepNext w:val="0"/>
              <w:keepLines w:val="0"/>
              <w:pageBreakBefore w:val="0"/>
              <w:kinsoku/>
              <w:wordWrap/>
              <w:overflowPunct/>
              <w:topLinePunct w:val="0"/>
              <w:autoSpaceDE/>
              <w:autoSpaceDN/>
              <w:bidi w:val="0"/>
              <w:adjustRightInd/>
              <w:snapToGrid w:val="0"/>
              <w:spacing w:line="360" w:lineRule="exact"/>
              <w:jc w:val="both"/>
              <w:rPr>
                <w:rFonts w:hint="eastAsia" w:ascii="宋体" w:hAnsi="宋体" w:cs="宋体"/>
                <w:szCs w:val="21"/>
                <w:lang w:val="en-US" w:eastAsia="zh-CN"/>
              </w:rPr>
            </w:pPr>
            <w:r>
              <w:rPr>
                <w:rFonts w:hint="eastAsia" w:ascii="宋体" w:hAnsi="宋体" w:cs="宋体"/>
                <w:szCs w:val="21"/>
                <w:lang w:val="en-US" w:eastAsia="zh-CN"/>
              </w:rPr>
              <w:t>光纤熔接技术服务（翰林站）</w:t>
            </w:r>
          </w:p>
        </w:tc>
        <w:tc>
          <w:tcPr>
            <w:tcW w:w="661" w:type="dxa"/>
            <w:vAlign w:val="center"/>
          </w:tcPr>
          <w:p>
            <w:pPr>
              <w:keepNext w:val="0"/>
              <w:keepLines w:val="0"/>
              <w:pageBreakBefore w:val="0"/>
              <w:widowControl/>
              <w:suppressLineNumbers w:val="0"/>
              <w:kinsoku/>
              <w:wordWrap/>
              <w:overflowPunct/>
              <w:topLinePunct w:val="0"/>
              <w:autoSpaceDE/>
              <w:autoSpaceDN/>
              <w:bidi w:val="0"/>
              <w:adjustRightInd/>
              <w:spacing w:line="36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1037</w:t>
            </w:r>
          </w:p>
        </w:tc>
        <w:tc>
          <w:tcPr>
            <w:tcW w:w="491"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eastAsia="宋体" w:cs="宋体"/>
                <w:szCs w:val="21"/>
                <w:lang w:val="en-US" w:eastAsia="zh-CN"/>
              </w:rPr>
            </w:pPr>
            <w:r>
              <w:rPr>
                <w:rFonts w:hint="eastAsia" w:ascii="宋体" w:hAnsi="宋体" w:cs="宋体"/>
                <w:szCs w:val="21"/>
                <w:lang w:val="en-US" w:eastAsia="zh-CN"/>
              </w:rPr>
              <w:t>芯</w:t>
            </w:r>
          </w:p>
        </w:tc>
        <w:tc>
          <w:tcPr>
            <w:tcW w:w="841"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宋体" w:hAnsi="宋体" w:cs="宋体"/>
                <w:szCs w:val="21"/>
              </w:rPr>
            </w:pPr>
          </w:p>
        </w:tc>
        <w:tc>
          <w:tcPr>
            <w:tcW w:w="767" w:type="dxa"/>
            <w:vMerge w:val="continue"/>
            <w:tcBorders/>
            <w:vAlign w:val="center"/>
          </w:tcPr>
          <w:p>
            <w:pPr>
              <w:keepNext w:val="0"/>
              <w:keepLines w:val="0"/>
              <w:pageBreakBefore w:val="0"/>
              <w:widowControl/>
              <w:kinsoku/>
              <w:wordWrap/>
              <w:overflowPunct/>
              <w:topLinePunct w:val="0"/>
              <w:autoSpaceDE/>
              <w:autoSpaceDN/>
              <w:bidi w:val="0"/>
              <w:adjustRightInd/>
              <w:spacing w:line="360" w:lineRule="exact"/>
              <w:jc w:val="center"/>
              <w:textAlignment w:val="center"/>
              <w:rPr>
                <w:rFonts w:hint="default" w:ascii="宋体" w:hAnsi="宋体" w:eastAsia="宋体" w:cs="宋体"/>
                <w:szCs w:val="21"/>
                <w:lang w:val="en-US" w:eastAsia="zh-CN"/>
              </w:rPr>
            </w:pPr>
          </w:p>
        </w:tc>
        <w:tc>
          <w:tcPr>
            <w:tcW w:w="1044"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cs="宋体"/>
                <w:szCs w:val="21"/>
                <w:lang w:val="en-US" w:eastAsia="zh-CN"/>
              </w:rPr>
            </w:pPr>
          </w:p>
        </w:tc>
        <w:tc>
          <w:tcPr>
            <w:tcW w:w="955" w:type="dxa"/>
            <w:vMerge w:val="continue"/>
            <w:tcBorders/>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eastAsia="宋体" w:cs="宋体"/>
                <w:szCs w:val="21"/>
                <w:lang w:val="en-US" w:eastAsia="zh-CN"/>
              </w:rPr>
            </w:pPr>
          </w:p>
        </w:tc>
        <w:tc>
          <w:tcPr>
            <w:tcW w:w="1082"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default" w:ascii="宋体" w:hAnsi="宋体" w:cs="宋体"/>
                <w:szCs w:val="21"/>
                <w:lang w:val="en-US" w:eastAsia="zh-CN"/>
              </w:rPr>
            </w:pPr>
            <w:r>
              <w:rPr>
                <w:rFonts w:hint="eastAsia" w:ascii="宋体" w:hAnsi="宋体" w:cs="宋体"/>
                <w:szCs w:val="21"/>
                <w:lang w:val="en-US" w:eastAsia="zh-CN"/>
              </w:rPr>
              <w:t>定安县翰林站</w:t>
            </w:r>
          </w:p>
        </w:tc>
        <w:tc>
          <w:tcPr>
            <w:tcW w:w="1218"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r>
              <w:rPr>
                <w:rFonts w:hint="eastAsia" w:ascii="宋体" w:hAnsi="宋体" w:cs="宋体"/>
                <w:szCs w:val="21"/>
              </w:rPr>
              <w:t>成交通知书发出</w:t>
            </w:r>
            <w:r>
              <w:rPr>
                <w:rFonts w:hint="eastAsia" w:ascii="宋体" w:hAnsi="宋体" w:cs="宋体"/>
                <w:szCs w:val="21"/>
                <w:lang w:val="en-US" w:eastAsia="zh-CN"/>
              </w:rPr>
              <w:t>60</w:t>
            </w:r>
            <w:r>
              <w:rPr>
                <w:rFonts w:hint="eastAsia" w:ascii="宋体" w:hAnsi="宋体" w:cs="宋体"/>
                <w:szCs w:val="21"/>
              </w:rPr>
              <w:t>天内</w:t>
            </w:r>
          </w:p>
        </w:tc>
        <w:tc>
          <w:tcPr>
            <w:tcW w:w="857" w:type="dxa"/>
            <w:vAlign w:val="center"/>
          </w:tcPr>
          <w:p>
            <w:pPr>
              <w:keepNext w:val="0"/>
              <w:keepLines w:val="0"/>
              <w:pageBreakBefore w:val="0"/>
              <w:kinsoku/>
              <w:wordWrap/>
              <w:overflowPunct/>
              <w:topLinePunct w:val="0"/>
              <w:autoSpaceDE/>
              <w:autoSpaceDN/>
              <w:bidi w:val="0"/>
              <w:adjustRightInd/>
              <w:snapToGrid w:val="0"/>
              <w:spacing w:line="360" w:lineRule="exact"/>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78" w:type="dxa"/>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Theme="minorEastAsia" w:hAnsiTheme="minorEastAsia" w:eastAsiaTheme="minorEastAsia" w:cstheme="minorEastAsia"/>
                <w:sz w:val="18"/>
                <w:szCs w:val="18"/>
              </w:rPr>
            </w:pPr>
          </w:p>
        </w:tc>
        <w:tc>
          <w:tcPr>
            <w:tcW w:w="5445" w:type="dxa"/>
            <w:gridSpan w:val="7"/>
            <w:vAlign w:val="center"/>
          </w:tcPr>
          <w:p>
            <w:pPr>
              <w:keepNext w:val="0"/>
              <w:keepLines w:val="0"/>
              <w:pageBreakBefore w:val="0"/>
              <w:kinsoku/>
              <w:wordWrap/>
              <w:overflowPunct/>
              <w:topLinePunct w:val="0"/>
              <w:autoSpaceDE/>
              <w:autoSpaceDN/>
              <w:bidi w:val="0"/>
              <w:adjustRightInd/>
              <w:snapToGrid w:val="0"/>
              <w:spacing w:line="360" w:lineRule="exact"/>
              <w:jc w:val="right"/>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合计（元）：</w:t>
            </w:r>
          </w:p>
        </w:tc>
        <w:tc>
          <w:tcPr>
            <w:tcW w:w="4112" w:type="dxa"/>
            <w:gridSpan w:val="4"/>
            <w:vAlign w:val="center"/>
          </w:tcPr>
          <w:p>
            <w:pPr>
              <w:keepNext w:val="0"/>
              <w:keepLines w:val="0"/>
              <w:pageBreakBefore w:val="0"/>
              <w:kinsoku/>
              <w:wordWrap/>
              <w:overflowPunct/>
              <w:topLinePunct w:val="0"/>
              <w:autoSpaceDE/>
              <w:autoSpaceDN/>
              <w:bidi w:val="0"/>
              <w:adjustRightInd/>
              <w:snapToGrid w:val="0"/>
              <w:spacing w:line="360" w:lineRule="exact"/>
              <w:jc w:val="center"/>
              <w:rPr>
                <w:rFonts w:hint="eastAsia" w:asciiTheme="minorEastAsia" w:hAnsiTheme="minorEastAsia" w:eastAsiaTheme="minorEastAsia" w:cstheme="minorEastAsia"/>
                <w:sz w:val="18"/>
                <w:szCs w:val="18"/>
              </w:rPr>
            </w:pPr>
          </w:p>
        </w:tc>
      </w:tr>
    </w:tbl>
    <w:p>
      <w:pPr>
        <w:keepNext w:val="0"/>
        <w:keepLines w:val="0"/>
        <w:pageBreakBefore w:val="0"/>
        <w:kinsoku/>
        <w:wordWrap/>
        <w:overflowPunct/>
        <w:topLinePunct w:val="0"/>
        <w:autoSpaceDE/>
        <w:autoSpaceDN/>
        <w:bidi w:val="0"/>
        <w:adjustRightInd/>
        <w:spacing w:line="360" w:lineRule="exact"/>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keepNext w:val="0"/>
        <w:keepLines w:val="0"/>
        <w:pageBreakBefore w:val="0"/>
        <w:kinsoku/>
        <w:wordWrap/>
        <w:overflowPunct/>
        <w:topLinePunct w:val="0"/>
        <w:autoSpaceDE/>
        <w:autoSpaceDN/>
        <w:bidi w:val="0"/>
        <w:adjustRightInd/>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1.上述含服务费、售后、税费（增值税专用发票）。</w:t>
      </w:r>
    </w:p>
    <w:p>
      <w:pPr>
        <w:keepNext w:val="0"/>
        <w:keepLines w:val="0"/>
        <w:pageBreakBefore w:val="0"/>
        <w:kinsoku/>
        <w:wordWrap/>
        <w:overflowPunct/>
        <w:topLinePunct w:val="0"/>
        <w:autoSpaceDE/>
        <w:autoSpaceDN/>
        <w:bidi w:val="0"/>
        <w:adjustRightInd/>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szCs w:val="21"/>
        </w:rPr>
        <w:t>单价报价超过单价限价为无效报价。</w:t>
      </w:r>
      <w:r>
        <w:rPr>
          <w:rFonts w:hint="eastAsia" w:asciiTheme="minorEastAsia" w:hAnsiTheme="minorEastAsia" w:eastAsiaTheme="minorEastAsia" w:cstheme="minorEastAsia"/>
          <w:szCs w:val="21"/>
        </w:rPr>
        <w:t>开标后采购人发现供应商的报价明显低于其他采购报价或低于成本价的，可要求供应商补充提供书面说明和相关证明材料，供应商不提供或提供的材料不能合理说明报价的，视为无效报价。</w:t>
      </w:r>
    </w:p>
    <w:p>
      <w:pPr>
        <w:keepNext w:val="0"/>
        <w:keepLines w:val="0"/>
        <w:pageBreakBefore w:val="0"/>
        <w:kinsoku/>
        <w:wordWrap/>
        <w:overflowPunct/>
        <w:topLinePunct w:val="0"/>
        <w:autoSpaceDE/>
        <w:autoSpaceDN/>
        <w:bidi w:val="0"/>
        <w:adjustRightInd/>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3.结算方式：全部服务验收合格并移交后，凭符合要求的增值税专用发票（金额为全部费用的100%）申请支付手续，凭服务验收合格证明结算款。</w:t>
      </w:r>
    </w:p>
    <w:p>
      <w:pPr>
        <w:keepNext w:val="0"/>
        <w:keepLines w:val="0"/>
        <w:pageBreakBefore w:val="0"/>
        <w:kinsoku/>
        <w:wordWrap/>
        <w:overflowPunct/>
        <w:topLinePunct w:val="0"/>
        <w:autoSpaceDE/>
        <w:autoSpaceDN/>
        <w:bidi w:val="0"/>
        <w:adjustRightInd/>
        <w:spacing w:line="360" w:lineRule="exact"/>
        <w:ind w:left="-6" w:leftChars="-3" w:right="-50" w:rightChars="-24"/>
      </w:pPr>
      <w:r>
        <w:rPr>
          <w:rFonts w:hint="eastAsia" w:asciiTheme="minorEastAsia" w:hAnsiTheme="minorEastAsia" w:eastAsiaTheme="minorEastAsia" w:cstheme="minorEastAsia"/>
          <w:szCs w:val="21"/>
        </w:rPr>
        <w:t>4.联系人</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w:t>
      </w:r>
    </w:p>
    <w:p>
      <w:pPr>
        <w:keepNext w:val="0"/>
        <w:keepLines w:val="0"/>
        <w:pageBreakBefore w:val="0"/>
        <w:kinsoku/>
        <w:wordWrap/>
        <w:overflowPunct/>
        <w:topLinePunct w:val="0"/>
        <w:autoSpaceDE/>
        <w:autoSpaceDN/>
        <w:bidi w:val="0"/>
        <w:adjustRightInd/>
        <w:spacing w:line="360" w:lineRule="exact"/>
        <w:ind w:left="1890" w:leftChars="900"/>
        <w:jc w:val="right"/>
        <w:rPr>
          <w:rFonts w:hint="eastAsia" w:asciiTheme="minorEastAsia" w:hAnsiTheme="minorEastAsia" w:eastAsiaTheme="minorEastAsia" w:cstheme="minorEastAsia"/>
          <w:szCs w:val="21"/>
          <w:u w:val="single"/>
        </w:rPr>
      </w:pPr>
    </w:p>
    <w:p>
      <w:pPr>
        <w:keepNext w:val="0"/>
        <w:keepLines w:val="0"/>
        <w:pageBreakBefore w:val="0"/>
        <w:kinsoku/>
        <w:wordWrap/>
        <w:overflowPunct/>
        <w:topLinePunct w:val="0"/>
        <w:autoSpaceDE/>
        <w:autoSpaceDN/>
        <w:bidi w:val="0"/>
        <w:adjustRightInd/>
        <w:spacing w:line="360" w:lineRule="exact"/>
        <w:ind w:left="1890" w:leftChars="900"/>
        <w:jc w:val="right"/>
        <w:rPr>
          <w:rFonts w:hint="eastAsia" w:asciiTheme="minorEastAsia" w:hAnsiTheme="minorEastAsia" w:eastAsiaTheme="minorEastAsia" w:cstheme="minorEastAsia"/>
          <w:szCs w:val="21"/>
          <w:u w:val="single"/>
        </w:rPr>
      </w:pPr>
    </w:p>
    <w:p>
      <w:pPr>
        <w:keepNext w:val="0"/>
        <w:keepLines w:val="0"/>
        <w:pageBreakBefore w:val="0"/>
        <w:kinsoku/>
        <w:wordWrap/>
        <w:overflowPunct/>
        <w:topLinePunct w:val="0"/>
        <w:autoSpaceDE/>
        <w:autoSpaceDN/>
        <w:bidi w:val="0"/>
        <w:adjustRightInd/>
        <w:spacing w:line="360" w:lineRule="exact"/>
        <w:ind w:left="1890" w:leftChars="900"/>
        <w:jc w:val="right"/>
        <w:rPr>
          <w:rFonts w:hint="eastAsia" w:asciiTheme="minorEastAsia" w:hAnsiTheme="minorEastAsia" w:eastAsiaTheme="minorEastAsia" w:cstheme="minorEastAsia"/>
          <w:szCs w:val="21"/>
          <w:u w:val="single"/>
        </w:rPr>
      </w:pPr>
    </w:p>
    <w:p>
      <w:pPr>
        <w:keepNext w:val="0"/>
        <w:keepLines w:val="0"/>
        <w:pageBreakBefore w:val="0"/>
        <w:kinsoku/>
        <w:wordWrap/>
        <w:overflowPunct/>
        <w:topLinePunct w:val="0"/>
        <w:autoSpaceDE/>
        <w:autoSpaceDN/>
        <w:bidi w:val="0"/>
        <w:adjustRightInd/>
        <w:spacing w:line="360" w:lineRule="exact"/>
        <w:ind w:left="1890" w:leftChars="90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（公司名称）（盖章）</w:t>
      </w:r>
    </w:p>
    <w:p>
      <w:pPr>
        <w:keepNext w:val="0"/>
        <w:keepLines w:val="0"/>
        <w:pageBreakBefore w:val="0"/>
        <w:kinsoku/>
        <w:wordWrap/>
        <w:overflowPunct/>
        <w:topLinePunct w:val="0"/>
        <w:autoSpaceDE/>
        <w:autoSpaceDN/>
        <w:bidi w:val="0"/>
        <w:adjustRightInd/>
        <w:spacing w:line="360" w:lineRule="exact"/>
        <w:ind w:left="4200" w:leftChars="2000"/>
        <w:jc w:val="right"/>
      </w:pP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5MDY5NmRiY2IxYWU2YWNhZjdhZjViM2Q0OGIxY2YifQ=="/>
  </w:docVars>
  <w:rsids>
    <w:rsidRoot w:val="292210B5"/>
    <w:rsid w:val="00327715"/>
    <w:rsid w:val="004176FD"/>
    <w:rsid w:val="00946ECE"/>
    <w:rsid w:val="00F82376"/>
    <w:rsid w:val="01161381"/>
    <w:rsid w:val="012468E0"/>
    <w:rsid w:val="01801C4D"/>
    <w:rsid w:val="01B02C3E"/>
    <w:rsid w:val="01E80E8B"/>
    <w:rsid w:val="028A7A10"/>
    <w:rsid w:val="03CB45DC"/>
    <w:rsid w:val="04125769"/>
    <w:rsid w:val="054B6D93"/>
    <w:rsid w:val="05AC2992"/>
    <w:rsid w:val="067C7250"/>
    <w:rsid w:val="06AA6D6E"/>
    <w:rsid w:val="06BF58ED"/>
    <w:rsid w:val="07183847"/>
    <w:rsid w:val="073E7DAA"/>
    <w:rsid w:val="08143DBA"/>
    <w:rsid w:val="08162A70"/>
    <w:rsid w:val="08CD105E"/>
    <w:rsid w:val="08D953F2"/>
    <w:rsid w:val="08DB17EC"/>
    <w:rsid w:val="08EC1AA1"/>
    <w:rsid w:val="094F2CD3"/>
    <w:rsid w:val="0A1809EE"/>
    <w:rsid w:val="0A34630D"/>
    <w:rsid w:val="0AE04327"/>
    <w:rsid w:val="0B0D0D64"/>
    <w:rsid w:val="0BC07A47"/>
    <w:rsid w:val="0C3762C8"/>
    <w:rsid w:val="0C423297"/>
    <w:rsid w:val="0CB417EF"/>
    <w:rsid w:val="0CD63FCC"/>
    <w:rsid w:val="0D013DAD"/>
    <w:rsid w:val="0D8453C2"/>
    <w:rsid w:val="0F1E6C8F"/>
    <w:rsid w:val="0F2514B9"/>
    <w:rsid w:val="0F444B17"/>
    <w:rsid w:val="0F4E0740"/>
    <w:rsid w:val="0F523248"/>
    <w:rsid w:val="0F657CA7"/>
    <w:rsid w:val="0FAE09D7"/>
    <w:rsid w:val="0FE6799F"/>
    <w:rsid w:val="10140FDE"/>
    <w:rsid w:val="106D2710"/>
    <w:rsid w:val="10A808C8"/>
    <w:rsid w:val="10A93F8C"/>
    <w:rsid w:val="10CC68E2"/>
    <w:rsid w:val="117458D2"/>
    <w:rsid w:val="11EE4723"/>
    <w:rsid w:val="12AE3F6E"/>
    <w:rsid w:val="12AF5A65"/>
    <w:rsid w:val="13BA2040"/>
    <w:rsid w:val="13C22C09"/>
    <w:rsid w:val="144B0213"/>
    <w:rsid w:val="14522B8C"/>
    <w:rsid w:val="14D279C6"/>
    <w:rsid w:val="14D76CCF"/>
    <w:rsid w:val="14DD7BF3"/>
    <w:rsid w:val="151043FE"/>
    <w:rsid w:val="17084E70"/>
    <w:rsid w:val="172365BB"/>
    <w:rsid w:val="172F2EF9"/>
    <w:rsid w:val="17B83AD1"/>
    <w:rsid w:val="17E309D4"/>
    <w:rsid w:val="181E2C01"/>
    <w:rsid w:val="183A5B0E"/>
    <w:rsid w:val="186B1A08"/>
    <w:rsid w:val="18F03B2E"/>
    <w:rsid w:val="1A7B54D4"/>
    <w:rsid w:val="1A997D27"/>
    <w:rsid w:val="1BE1059F"/>
    <w:rsid w:val="1C2730D2"/>
    <w:rsid w:val="1CB95D6A"/>
    <w:rsid w:val="1D327A13"/>
    <w:rsid w:val="1D3609DF"/>
    <w:rsid w:val="1F5222D0"/>
    <w:rsid w:val="1FA05BFD"/>
    <w:rsid w:val="1FA47ACB"/>
    <w:rsid w:val="203F1668"/>
    <w:rsid w:val="21574B83"/>
    <w:rsid w:val="21BB1B2E"/>
    <w:rsid w:val="228A529E"/>
    <w:rsid w:val="23B87A1A"/>
    <w:rsid w:val="23CC074A"/>
    <w:rsid w:val="23D07150"/>
    <w:rsid w:val="245109A3"/>
    <w:rsid w:val="24763B57"/>
    <w:rsid w:val="247931BD"/>
    <w:rsid w:val="249C6792"/>
    <w:rsid w:val="256A4F48"/>
    <w:rsid w:val="26827D5E"/>
    <w:rsid w:val="27942F68"/>
    <w:rsid w:val="288B76AF"/>
    <w:rsid w:val="28F6043C"/>
    <w:rsid w:val="290C7B79"/>
    <w:rsid w:val="292210B5"/>
    <w:rsid w:val="298760C9"/>
    <w:rsid w:val="29C70651"/>
    <w:rsid w:val="2ADA6124"/>
    <w:rsid w:val="2B95021E"/>
    <w:rsid w:val="2C0727C1"/>
    <w:rsid w:val="2C0F6241"/>
    <w:rsid w:val="2C34331D"/>
    <w:rsid w:val="2C3A1473"/>
    <w:rsid w:val="2CD84D7D"/>
    <w:rsid w:val="2CED26E7"/>
    <w:rsid w:val="2D0F1A27"/>
    <w:rsid w:val="2D374BD0"/>
    <w:rsid w:val="2D3B2604"/>
    <w:rsid w:val="2D6B2144"/>
    <w:rsid w:val="2D9C097A"/>
    <w:rsid w:val="2E171AB9"/>
    <w:rsid w:val="2EBC044E"/>
    <w:rsid w:val="2EDD5A62"/>
    <w:rsid w:val="2F204FF5"/>
    <w:rsid w:val="2F752D33"/>
    <w:rsid w:val="2FC560D0"/>
    <w:rsid w:val="30C61DF7"/>
    <w:rsid w:val="30D272EA"/>
    <w:rsid w:val="30FD5509"/>
    <w:rsid w:val="314A6D0F"/>
    <w:rsid w:val="31B66D43"/>
    <w:rsid w:val="33454BAD"/>
    <w:rsid w:val="33563C7B"/>
    <w:rsid w:val="339A00B5"/>
    <w:rsid w:val="33B439A0"/>
    <w:rsid w:val="34096B06"/>
    <w:rsid w:val="3430265C"/>
    <w:rsid w:val="3451571E"/>
    <w:rsid w:val="34A349DD"/>
    <w:rsid w:val="35171ACD"/>
    <w:rsid w:val="352B634F"/>
    <w:rsid w:val="369122C3"/>
    <w:rsid w:val="3693005B"/>
    <w:rsid w:val="372214D6"/>
    <w:rsid w:val="372E18BA"/>
    <w:rsid w:val="375C4B25"/>
    <w:rsid w:val="37E14A4B"/>
    <w:rsid w:val="386677F1"/>
    <w:rsid w:val="389F2E27"/>
    <w:rsid w:val="38DE1E5E"/>
    <w:rsid w:val="38EC74D1"/>
    <w:rsid w:val="39F852B7"/>
    <w:rsid w:val="3A206FA2"/>
    <w:rsid w:val="3AEA1C7C"/>
    <w:rsid w:val="3BB36836"/>
    <w:rsid w:val="3C1F031A"/>
    <w:rsid w:val="3C3E7288"/>
    <w:rsid w:val="3CA53520"/>
    <w:rsid w:val="3D5434CF"/>
    <w:rsid w:val="3ECA3D7F"/>
    <w:rsid w:val="3EDB4783"/>
    <w:rsid w:val="3F2D29E0"/>
    <w:rsid w:val="3F3444F4"/>
    <w:rsid w:val="3F8D6702"/>
    <w:rsid w:val="3FBB0B5B"/>
    <w:rsid w:val="3FC10878"/>
    <w:rsid w:val="40657C3E"/>
    <w:rsid w:val="419C53F7"/>
    <w:rsid w:val="427C3852"/>
    <w:rsid w:val="42C96BDC"/>
    <w:rsid w:val="42F31F00"/>
    <w:rsid w:val="434E24C7"/>
    <w:rsid w:val="445875B1"/>
    <w:rsid w:val="446E211B"/>
    <w:rsid w:val="452F1FBC"/>
    <w:rsid w:val="45E13E69"/>
    <w:rsid w:val="45F94F76"/>
    <w:rsid w:val="46525737"/>
    <w:rsid w:val="4690640B"/>
    <w:rsid w:val="46F22ACA"/>
    <w:rsid w:val="47015614"/>
    <w:rsid w:val="470F44E2"/>
    <w:rsid w:val="4770662F"/>
    <w:rsid w:val="47783391"/>
    <w:rsid w:val="489D4486"/>
    <w:rsid w:val="48DF250D"/>
    <w:rsid w:val="49A0553F"/>
    <w:rsid w:val="49E961D6"/>
    <w:rsid w:val="4A5F5BB7"/>
    <w:rsid w:val="4AA171D0"/>
    <w:rsid w:val="4AB013A7"/>
    <w:rsid w:val="4B0F4639"/>
    <w:rsid w:val="4B9858EA"/>
    <w:rsid w:val="4BB226E4"/>
    <w:rsid w:val="4BD513EF"/>
    <w:rsid w:val="4CA42C12"/>
    <w:rsid w:val="4CD26280"/>
    <w:rsid w:val="4CEA72C9"/>
    <w:rsid w:val="4D522585"/>
    <w:rsid w:val="4DA66378"/>
    <w:rsid w:val="4DEA7824"/>
    <w:rsid w:val="4E5656CE"/>
    <w:rsid w:val="4E645C2C"/>
    <w:rsid w:val="4F1E39FE"/>
    <w:rsid w:val="4F3E2B80"/>
    <w:rsid w:val="4F5E2C04"/>
    <w:rsid w:val="4FC3723D"/>
    <w:rsid w:val="50101E60"/>
    <w:rsid w:val="507B60D8"/>
    <w:rsid w:val="516829CC"/>
    <w:rsid w:val="52D64A3A"/>
    <w:rsid w:val="53B947C3"/>
    <w:rsid w:val="54816D63"/>
    <w:rsid w:val="55EA33B8"/>
    <w:rsid w:val="56172A39"/>
    <w:rsid w:val="568528BD"/>
    <w:rsid w:val="571A09EB"/>
    <w:rsid w:val="575172F7"/>
    <w:rsid w:val="5792116B"/>
    <w:rsid w:val="57BA0E8A"/>
    <w:rsid w:val="57D51B14"/>
    <w:rsid w:val="58B64239"/>
    <w:rsid w:val="59AB5C04"/>
    <w:rsid w:val="59D6355D"/>
    <w:rsid w:val="5A104451"/>
    <w:rsid w:val="5B8B7DFB"/>
    <w:rsid w:val="5BE66770"/>
    <w:rsid w:val="5C37496F"/>
    <w:rsid w:val="5C5702F3"/>
    <w:rsid w:val="5CC20284"/>
    <w:rsid w:val="5D087908"/>
    <w:rsid w:val="5DD52769"/>
    <w:rsid w:val="5DF90D18"/>
    <w:rsid w:val="5E106663"/>
    <w:rsid w:val="5E474DA0"/>
    <w:rsid w:val="5E4C7AAA"/>
    <w:rsid w:val="5E6906A9"/>
    <w:rsid w:val="5F430D91"/>
    <w:rsid w:val="5F9701D4"/>
    <w:rsid w:val="5F9F1C6B"/>
    <w:rsid w:val="60A401D2"/>
    <w:rsid w:val="62694FE7"/>
    <w:rsid w:val="632C2471"/>
    <w:rsid w:val="632E76F6"/>
    <w:rsid w:val="63646D5B"/>
    <w:rsid w:val="63807E43"/>
    <w:rsid w:val="639A4E5D"/>
    <w:rsid w:val="63B50881"/>
    <w:rsid w:val="63BD4C59"/>
    <w:rsid w:val="64E40B44"/>
    <w:rsid w:val="64E81E8B"/>
    <w:rsid w:val="66091638"/>
    <w:rsid w:val="660929A4"/>
    <w:rsid w:val="66161A82"/>
    <w:rsid w:val="66635C88"/>
    <w:rsid w:val="66786736"/>
    <w:rsid w:val="66A61D03"/>
    <w:rsid w:val="67394C64"/>
    <w:rsid w:val="676B61CF"/>
    <w:rsid w:val="68B2681E"/>
    <w:rsid w:val="699D339E"/>
    <w:rsid w:val="699D3F76"/>
    <w:rsid w:val="69E63E4A"/>
    <w:rsid w:val="6A2E0D06"/>
    <w:rsid w:val="6C4D6F66"/>
    <w:rsid w:val="6C7F4402"/>
    <w:rsid w:val="6D123611"/>
    <w:rsid w:val="6DB273C9"/>
    <w:rsid w:val="6DF20F80"/>
    <w:rsid w:val="6E25267F"/>
    <w:rsid w:val="6E3B0B51"/>
    <w:rsid w:val="6E3B20DB"/>
    <w:rsid w:val="6E811FDA"/>
    <w:rsid w:val="6E967E49"/>
    <w:rsid w:val="6EE45ABC"/>
    <w:rsid w:val="6F1F3F9A"/>
    <w:rsid w:val="6FEF222E"/>
    <w:rsid w:val="707575E1"/>
    <w:rsid w:val="70907445"/>
    <w:rsid w:val="71235240"/>
    <w:rsid w:val="71CE3223"/>
    <w:rsid w:val="71EC41F4"/>
    <w:rsid w:val="724A1923"/>
    <w:rsid w:val="724F4877"/>
    <w:rsid w:val="72CC71EF"/>
    <w:rsid w:val="72F9096D"/>
    <w:rsid w:val="736C1E9A"/>
    <w:rsid w:val="73C97947"/>
    <w:rsid w:val="74836A59"/>
    <w:rsid w:val="74D01CEE"/>
    <w:rsid w:val="75B66E95"/>
    <w:rsid w:val="760276C8"/>
    <w:rsid w:val="76390022"/>
    <w:rsid w:val="76A85EC5"/>
    <w:rsid w:val="776B3C9D"/>
    <w:rsid w:val="77CC5CBC"/>
    <w:rsid w:val="78153E6C"/>
    <w:rsid w:val="78BE5B14"/>
    <w:rsid w:val="78C20D14"/>
    <w:rsid w:val="79913601"/>
    <w:rsid w:val="79EF67A3"/>
    <w:rsid w:val="7B505DAB"/>
    <w:rsid w:val="7B7067B1"/>
    <w:rsid w:val="7BD42EF9"/>
    <w:rsid w:val="7C96517D"/>
    <w:rsid w:val="7CEC34E6"/>
    <w:rsid w:val="7D1C0B82"/>
    <w:rsid w:val="7D424F5F"/>
    <w:rsid w:val="7D690382"/>
    <w:rsid w:val="7D85673B"/>
    <w:rsid w:val="7D940B44"/>
    <w:rsid w:val="7E953F59"/>
    <w:rsid w:val="7EB8593B"/>
    <w:rsid w:val="7EE41D11"/>
    <w:rsid w:val="7FBA441B"/>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415</Words>
  <Characters>437</Characters>
  <Lines>42</Lines>
  <Paragraphs>38</Paragraphs>
  <TotalTime>3</TotalTime>
  <ScaleCrop>false</ScaleCrop>
  <LinksUpToDate>false</LinksUpToDate>
  <CharactersWithSpaces>462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2024-09-05T08:06:00Z</dcterms:created>
  <dc:creator>安监部</dc:creator>
  <cp:lastModifiedBy>伍贤丽</cp:lastModifiedBy>
  <dcterms:modified xsi:type="dcterms:W3CDTF">2026-07-15T02:03:32Z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0DCC3D1D540B4377BFBE2F1F7DC79681</vt:lpwstr>
  </property>
  <property fmtid="{D5CDD505-2E9C-101B-9397-08002B2CF9AE}" pid="4" name="KSOTemplateDocerSaveRecord">
    <vt:lpwstr>eyJoZGlkIjoiNmQ2MzgwOThiYTZjMzgxYmU0M2RkZjJiYmQyZjU0OWMiLCJ1c2VySWQiOiI4NDI4Nzc5NjMifQ==</vt:lpwstr>
  </property>
</Properties>
</file>