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黑体" w:hAnsi="黑体" w:eastAsia="黑体" w:cs="黑体"/>
          <w:sz w:val="44"/>
          <w:szCs w:val="44"/>
        </w:rPr>
      </w:pPr>
      <w:r>
        <w:rPr>
          <w:rFonts w:hint="eastAsia" w:ascii="黑体" w:hAnsi="黑体" w:eastAsia="黑体" w:cs="黑体"/>
          <w:sz w:val="44"/>
          <w:szCs w:val="44"/>
        </w:rPr>
        <w:t>第三方经费审查服务委托单</w:t>
      </w:r>
    </w:p>
    <w:tbl>
      <w:tblPr>
        <w:tblStyle w:val="11"/>
        <w:tblW w:w="8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 w:type="dxa"/>
          <w:bottom w:w="0" w:type="dxa"/>
          <w:right w:w="10" w:type="dxa"/>
        </w:tblCellMar>
      </w:tblPr>
      <w:tblGrid>
        <w:gridCol w:w="2000"/>
        <w:gridCol w:w="2281"/>
        <w:gridCol w:w="2281"/>
        <w:gridCol w:w="2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11" w:hRule="atLeast"/>
        </w:trPr>
        <w:tc>
          <w:tcPr>
            <w:tcW w:w="8844" w:type="dxa"/>
            <w:gridSpan w:val="4"/>
            <w:tcBorders>
              <w:top w:val="single" w:color="000000" w:sz="0" w:space="0"/>
              <w:left w:val="single" w:color="000000" w:sz="0" w:space="0"/>
              <w:bottom w:val="single" w:color="000000" w:sz="0" w:space="0"/>
              <w:right w:val="single" w:color="000000" w:sz="0" w:space="0"/>
            </w:tcBorders>
            <w:shd w:val="clear" w:color="auto" w:fill="auto"/>
            <w:tcMar>
              <w:top w:w="80" w:type="dxa"/>
              <w:left w:w="120" w:type="dxa"/>
              <w:bottom w:w="80" w:type="dxa"/>
              <w:right w:w="120" w:type="dxa"/>
            </w:tcMar>
            <w:vAlign w:val="center"/>
          </w:tcPr>
          <w:p>
            <w:pPr>
              <w:jc w:val="center"/>
            </w:pPr>
            <w:r>
              <w:rPr>
                <w:rFonts w:ascii="仿宋_GB2312" w:hAnsi="仿宋_GB2312" w:eastAsia="仿宋_GB2312" w:cs="仿宋_GB2312"/>
                <w:b/>
                <w:bCs/>
                <w:sz w:val="28"/>
                <w:szCs w:val="28"/>
              </w:rPr>
              <w:t>委托信息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63" w:hRule="atLeast"/>
        </w:trPr>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委托方</w:t>
            </w:r>
          </w:p>
        </w:tc>
        <w:tc>
          <w:tcPr>
            <w:tcW w:w="2281"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center"/>
            </w:pPr>
            <w:r>
              <w:rPr>
                <w:rFonts w:ascii="仿宋_GB2312" w:hAnsi="仿宋_GB2312" w:eastAsia="仿宋_GB2312" w:cs="仿宋_GB2312"/>
                <w:sz w:val="24"/>
                <w:szCs w:val="24"/>
              </w:rPr>
              <w:t>南方电网人工智能科技有限公司</w:t>
            </w:r>
          </w:p>
        </w:tc>
        <w:tc>
          <w:tcPr>
            <w:tcW w:w="2281"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center"/>
              <w:rPr>
                <w:rFonts w:ascii="仿宋_GB2312" w:hAnsi="仿宋_GB2312" w:eastAsia="仿宋_GB2312" w:cs="仿宋_GB2312"/>
                <w:sz w:val="24"/>
                <w:szCs w:val="24"/>
              </w:rPr>
            </w:pPr>
            <w:r>
              <w:rPr>
                <w:rFonts w:ascii="仿宋_GB2312" w:hAnsi="仿宋_GB2312" w:eastAsia="仿宋_GB2312" w:cs="仿宋_GB2312"/>
                <w:b/>
                <w:bCs/>
                <w:sz w:val="24"/>
                <w:szCs w:val="24"/>
              </w:rPr>
              <w:t>委托日期</w:t>
            </w:r>
          </w:p>
        </w:tc>
        <w:tc>
          <w:tcPr>
            <w:tcW w:w="2282"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center"/>
              <w:rPr>
                <w:rFonts w:ascii="仿宋_GB2312" w:hAnsi="仿宋_GB2312" w:eastAsia="仿宋_GB2312" w:cs="仿宋_GB2312"/>
                <w:sz w:val="24"/>
                <w:szCs w:val="24"/>
              </w:rPr>
            </w:pPr>
            <w:r>
              <w:rPr>
                <w:rFonts w:hint="eastAsia" w:cs="仿宋_GB2312"/>
                <w:sz w:val="24"/>
                <w:szCs w:val="24"/>
                <w:lang w:val="en-US" w:eastAsia="zh-CN"/>
              </w:rPr>
              <w:t>2026</w:t>
            </w:r>
            <w:r>
              <w:rPr>
                <w:rFonts w:ascii="仿宋_GB2312" w:hAnsi="仿宋_GB2312" w:eastAsia="仿宋_GB2312" w:cs="仿宋_GB2312"/>
                <w:sz w:val="24"/>
                <w:szCs w:val="24"/>
              </w:rPr>
              <w:t>年</w:t>
            </w:r>
            <w:r>
              <w:rPr>
                <w:rFonts w:hint="eastAsia" w:cs="仿宋_GB2312"/>
                <w:sz w:val="24"/>
                <w:szCs w:val="24"/>
                <w:lang w:val="en-US" w:eastAsia="zh-CN"/>
              </w:rPr>
              <w:t>7</w:t>
            </w:r>
            <w:r>
              <w:rPr>
                <w:rFonts w:ascii="仿宋_GB2312" w:hAnsi="仿宋_GB2312" w:eastAsia="仿宋_GB2312" w:cs="仿宋_GB2312"/>
                <w:sz w:val="24"/>
                <w:szCs w:val="24"/>
              </w:rPr>
              <w:t>月</w:t>
            </w:r>
            <w:r>
              <w:rPr>
                <w:rFonts w:hint="eastAsia" w:cs="仿宋_GB2312"/>
                <w:sz w:val="24"/>
                <w:szCs w:val="24"/>
                <w:lang w:val="en-US" w:eastAsia="zh-CN"/>
              </w:rPr>
              <w:t>20</w:t>
            </w:r>
            <w:r>
              <w:rPr>
                <w:rFonts w:ascii="仿宋_GB2312" w:hAnsi="仿宋_GB2312" w:eastAsia="仿宋_GB2312" w:cs="仿宋_GB2312"/>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审查项目名称</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rPr>
                <w:rFonts w:hint="eastAsia" w:cs="仿宋_GB2312"/>
                <w:sz w:val="24"/>
                <w:szCs w:val="24"/>
                <w:lang w:val="en-US" w:eastAsia="zh-CN"/>
              </w:rPr>
            </w:pPr>
            <w:r>
              <w:rPr>
                <w:rFonts w:hint="eastAsia" w:cs="仿宋_GB2312"/>
                <w:sz w:val="24"/>
                <w:szCs w:val="24"/>
                <w:lang w:val="en-US" w:eastAsia="zh-CN"/>
              </w:rPr>
              <w:t>项目1：</w:t>
            </w:r>
          </w:p>
          <w:p>
            <w:pPr>
              <w:spacing w:after="40" w:line="360" w:lineRule="auto"/>
              <w:jc w:val="lef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保底通信网实时运行协同控制关键技术研究及应用（课题1：通信网自智管控（自动驾驶）技术研究与示范）</w:t>
            </w:r>
            <w:r>
              <w:rPr>
                <w:rFonts w:hint="eastAsia" w:cs="仿宋_GB2312"/>
                <w:sz w:val="24"/>
                <w:szCs w:val="24"/>
                <w:lang w:eastAsia="zh-CN"/>
              </w:rPr>
              <w:t>项目</w:t>
            </w:r>
          </w:p>
          <w:p>
            <w:pPr>
              <w:spacing w:after="40" w:line="360" w:lineRule="auto"/>
              <w:jc w:val="left"/>
              <w:rPr>
                <w:rFonts w:hint="eastAsia" w:cs="仿宋_GB2312"/>
                <w:sz w:val="24"/>
                <w:szCs w:val="24"/>
                <w:lang w:val="en-US" w:eastAsia="zh-CN"/>
              </w:rPr>
            </w:pPr>
            <w:r>
              <w:rPr>
                <w:rFonts w:hint="eastAsia" w:cs="仿宋_GB2312"/>
                <w:sz w:val="24"/>
                <w:szCs w:val="24"/>
                <w:lang w:val="en-US" w:eastAsia="zh-CN"/>
              </w:rPr>
              <w:t>项目2：</w:t>
            </w:r>
          </w:p>
          <w:p>
            <w:pPr>
              <w:spacing w:after="40" w:line="36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新型电力系统预调控智能体软件关键技术研究与示范</w:t>
            </w:r>
            <w:r>
              <w:rPr>
                <w:rFonts w:hint="eastAsia" w:cs="仿宋_GB2312"/>
                <w:sz w:val="24"/>
                <w:szCs w:val="24"/>
                <w:lang w:eastAsia="zh-CN"/>
              </w:rPr>
              <w:t>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项目基本情况</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ind w:firstLine="480" w:firstLineChars="200"/>
              <w:jc w:val="left"/>
              <w:rPr>
                <w:rFonts w:ascii="仿宋_GB2312" w:hAnsi="仿宋_GB2312" w:eastAsia="仿宋_GB2312" w:cs="仿宋_GB2312"/>
                <w:sz w:val="24"/>
                <w:szCs w:val="24"/>
              </w:rPr>
            </w:pPr>
            <w:r>
              <w:rPr>
                <w:rFonts w:hint="eastAsia" w:cs="仿宋_GB2312"/>
                <w:sz w:val="24"/>
                <w:szCs w:val="24"/>
                <w:lang w:val="en-US" w:eastAsia="zh-CN"/>
              </w:rPr>
              <w:t>项目1：</w:t>
            </w:r>
            <w:r>
              <w:rPr>
                <w:rFonts w:hint="eastAsia" w:ascii="仿宋_GB2312" w:hAnsi="仿宋_GB2312" w:eastAsia="仿宋_GB2312" w:cs="仿宋_GB2312"/>
                <w:sz w:val="24"/>
                <w:szCs w:val="24"/>
              </w:rPr>
              <w:t>依托主干传输新B网，开展通信通信网实时运行协同控制关键技术和通信网自智管控（自动驾驶）技术研究研究与示范系统研制，具体包括研究通信网跨域业务协同实时控制技术（包括横</w:t>
            </w:r>
            <w:bookmarkStart w:id="0" w:name="_GoBack"/>
            <w:bookmarkEnd w:id="0"/>
            <w:r>
              <w:rPr>
                <w:rFonts w:hint="eastAsia" w:ascii="仿宋_GB2312" w:hAnsi="仿宋_GB2312" w:eastAsia="仿宋_GB2312" w:cs="仿宋_GB2312"/>
                <w:sz w:val="24"/>
                <w:szCs w:val="24"/>
              </w:rPr>
              <w:t>向ASON+ASON双平面协同、网省协同、省地协同），研究通信网自智管控（自动驾驶）顶层设计，研究AI赋能通信网自智管控（自动驾驶）原子能力和开发自智管控（自动驾驶）系统软件</w:t>
            </w:r>
            <w:r>
              <w:rPr>
                <w:rFonts w:ascii="仿宋_GB2312" w:hAnsi="仿宋_GB2312" w:eastAsia="仿宋_GB2312" w:cs="仿宋_GB2312"/>
                <w:sz w:val="24"/>
                <w:szCs w:val="24"/>
              </w:rPr>
              <w:t>。</w:t>
            </w:r>
          </w:p>
          <w:p>
            <w:pPr>
              <w:spacing w:after="40" w:line="360" w:lineRule="auto"/>
              <w:ind w:firstLine="480" w:firstLineChars="200"/>
              <w:jc w:val="left"/>
              <w:rPr>
                <w:rFonts w:hint="default" w:cs="仿宋_GB2312"/>
                <w:sz w:val="24"/>
                <w:szCs w:val="24"/>
                <w:lang w:val="en-US" w:eastAsia="zh-CN"/>
              </w:rPr>
            </w:pPr>
            <w:r>
              <w:rPr>
                <w:rFonts w:hint="eastAsia" w:cs="仿宋_GB2312"/>
                <w:sz w:val="24"/>
                <w:szCs w:val="24"/>
                <w:lang w:val="en-US" w:eastAsia="zh-CN"/>
              </w:rPr>
              <w:t>项目2：</w:t>
            </w:r>
            <w:r>
              <w:rPr>
                <w:rFonts w:hint="eastAsia" w:ascii="仿宋_GB2312" w:hAnsi="仿宋_GB2312" w:eastAsia="仿宋_GB2312" w:cs="仿宋_GB2312"/>
                <w:sz w:val="24"/>
                <w:szCs w:val="24"/>
              </w:rPr>
              <w:t>项目拟开展新型电力系统预调控智能体软件关键技术研究与示范研究，提升电力运行领域的智能化水平，高效支撑业务需求。项目开展4个任务研究:1、基于云边端互动融合的预调控智能体框架研究;2、预调控智能体环境构建与推演技术研究，结合多源异构数据及数据驱动概率化预测方法推演多时间尺度电网运行方式;3、基于自适应预决策的方式编排智能体技术研究，构建电网日前运行支撑能力;4、面向极端场景的调控决策智能体技术研究，提升电网极端场景下的分析决策能力。项目重点开展支撑电网调度运行的云边端互动融合的预调控智能体技术研究，首创利用生成式模型的非结构数据分析提炼技术，结合数据驱动方法推演电力系统运行状态</w:t>
            </w:r>
            <w:r>
              <w:rPr>
                <w:rFonts w:ascii="仿宋_GB2312" w:hAnsi="仿宋_GB2312" w:eastAsia="仿宋_GB2312" w:cs="仿宋_GB2312"/>
                <w:sz w:val="24"/>
                <w:szCs w:val="24"/>
              </w:rPr>
              <w:t>。</w:t>
            </w:r>
            <w:r>
              <w:rPr>
                <w:rFonts w:hint="eastAsia" w:ascii="仿宋_GB2312" w:hAnsi="仿宋_GB2312" w:eastAsia="仿宋_GB2312" w:cs="仿宋_GB2312"/>
                <w:sz w:val="24"/>
                <w:szCs w:val="24"/>
              </w:rPr>
              <w:t>基于深度学习技术与运筹优化方法，实现面向机组组合、发电计划、供电路径求解的自适应智能预决策运行方式计划编排技术，大大提升工作效率和准确性。首创采用强化学习智能技术进行电网极端事件下精细化与实时化调控决策，提升系统运行可靠性。项目计划基于省网级大电网开展实验室研究与示范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审查服务限价</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rPr>
                <w:rFonts w:hint="eastAsia" w:eastAsia="仿宋_GB2312"/>
                <w:lang w:eastAsia="zh-CN"/>
              </w:rPr>
            </w:pPr>
            <w:r>
              <w:rPr>
                <w:rFonts w:ascii="仿宋_GB2312" w:hAnsi="仿宋_GB2312" w:eastAsia="仿宋_GB2312" w:cs="仿宋_GB2312"/>
                <w:sz w:val="24"/>
                <w:szCs w:val="24"/>
              </w:rPr>
              <w:t>报价合计小写：</w:t>
            </w:r>
            <w:r>
              <w:rPr>
                <w:rFonts w:hint="eastAsia" w:cs="仿宋_GB2312"/>
                <w:sz w:val="24"/>
                <w:szCs w:val="24"/>
                <w:lang w:val="en-US" w:eastAsia="zh-CN"/>
              </w:rPr>
              <w:t>38000</w:t>
            </w:r>
            <w:r>
              <w:rPr>
                <w:rFonts w:ascii="仿宋_GB2312" w:hAnsi="仿宋_GB2312" w:eastAsia="仿宋_GB2312" w:cs="仿宋_GB2312"/>
                <w:sz w:val="24"/>
                <w:szCs w:val="24"/>
              </w:rPr>
              <w:t>元（大写：</w:t>
            </w:r>
            <w:r>
              <w:rPr>
                <w:rFonts w:hint="eastAsia" w:cs="仿宋_GB2312"/>
                <w:sz w:val="24"/>
                <w:szCs w:val="24"/>
                <w:lang w:val="en-US" w:eastAsia="zh-CN"/>
              </w:rPr>
              <w:t>叁万捌仟元整</w:t>
            </w:r>
            <w:r>
              <w:rPr>
                <w:rFonts w:ascii="仿宋_GB2312" w:hAnsi="仿宋_GB2312" w:eastAsia="仿宋_GB2312" w:cs="仿宋_GB2312"/>
                <w:sz w:val="24"/>
                <w:szCs w:val="24"/>
              </w:rPr>
              <w:t>）</w:t>
            </w:r>
            <w:r>
              <w:rPr>
                <w:rFonts w:hint="eastAsia" w:cs="仿宋_GB2312"/>
                <w:sz w:val="24"/>
                <w:szCs w:val="24"/>
                <w:lang w:eastAsia="zh-CN"/>
              </w:rPr>
              <w:t>；</w:t>
            </w:r>
          </w:p>
          <w:p>
            <w:pPr>
              <w:spacing w:after="40" w:line="360" w:lineRule="auto"/>
              <w:jc w:val="left"/>
              <w:rPr>
                <w:rFonts w:hint="eastAsia" w:eastAsia="仿宋_GB2312"/>
                <w:lang w:eastAsia="zh-CN"/>
              </w:rPr>
            </w:pPr>
            <w:r>
              <w:rPr>
                <w:rFonts w:ascii="仿宋_GB2312" w:hAnsi="仿宋_GB2312" w:eastAsia="仿宋_GB2312" w:cs="仿宋_GB2312"/>
                <w:sz w:val="24"/>
                <w:szCs w:val="24"/>
              </w:rPr>
              <w:t>限价小写：</w:t>
            </w:r>
            <w:r>
              <w:rPr>
                <w:rFonts w:hint="eastAsia" w:cs="仿宋_GB2312"/>
                <w:sz w:val="24"/>
                <w:szCs w:val="24"/>
                <w:lang w:val="en-US" w:eastAsia="zh-CN"/>
              </w:rPr>
              <w:t>38000</w:t>
            </w:r>
            <w:r>
              <w:rPr>
                <w:rFonts w:ascii="仿宋_GB2312" w:hAnsi="仿宋_GB2312" w:eastAsia="仿宋_GB2312" w:cs="仿宋_GB2312"/>
                <w:sz w:val="24"/>
                <w:szCs w:val="24"/>
              </w:rPr>
              <w:t>元（大写：</w:t>
            </w:r>
            <w:r>
              <w:rPr>
                <w:rFonts w:hint="eastAsia" w:cs="仿宋_GB2312"/>
                <w:sz w:val="24"/>
                <w:szCs w:val="24"/>
                <w:lang w:val="en-US" w:eastAsia="zh-CN"/>
              </w:rPr>
              <w:t>叁万捌仟元整</w:t>
            </w:r>
            <w:r>
              <w:rPr>
                <w:rFonts w:ascii="仿宋_GB2312" w:hAnsi="仿宋_GB2312" w:eastAsia="仿宋_GB2312" w:cs="仿宋_GB2312"/>
                <w:sz w:val="24"/>
                <w:szCs w:val="24"/>
              </w:rPr>
              <w:t>）</w:t>
            </w:r>
            <w:r>
              <w:rPr>
                <w:rFonts w:hint="eastAsia" w:cs="仿宋_GB2312"/>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8844" w:type="dxa"/>
            <w:gridSpan w:val="4"/>
            <w:tcBorders>
              <w:top w:val="single" w:color="000000" w:sz="0" w:space="0"/>
              <w:left w:val="single" w:color="000000" w:sz="0" w:space="0"/>
              <w:bottom w:val="single" w:color="000000" w:sz="0" w:space="0"/>
              <w:right w:val="single" w:color="000000" w:sz="0" w:space="0"/>
            </w:tcBorders>
            <w:shd w:val="clear" w:color="auto" w:fill="auto"/>
            <w:tcMar>
              <w:top w:w="80" w:type="dxa"/>
              <w:left w:w="120" w:type="dxa"/>
              <w:bottom w:w="80" w:type="dxa"/>
              <w:right w:w="120" w:type="dxa"/>
            </w:tcMar>
            <w:vAlign w:val="center"/>
          </w:tcPr>
          <w:p>
            <w:pPr>
              <w:jc w:val="center"/>
            </w:pPr>
            <w:r>
              <w:rPr>
                <w:rFonts w:ascii="仿宋_GB2312" w:hAnsi="仿宋_GB2312" w:eastAsia="仿宋_GB2312" w:cs="仿宋_GB2312"/>
                <w:b/>
                <w:bCs/>
                <w:sz w:val="28"/>
                <w:szCs w:val="28"/>
              </w:rPr>
              <w:t>受 托 方 要 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资质要求</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pPr>
            <w:r>
              <w:rPr>
                <w:rFonts w:ascii="仿宋_GB2312" w:hAnsi="仿宋_GB2312" w:eastAsia="仿宋_GB2312" w:cs="仿宋_GB2312"/>
                <w:sz w:val="24"/>
                <w:szCs w:val="24"/>
              </w:rPr>
              <w:t>1. 中华人民共和国境内注册的法人，提供合法有效的营业执照和执业证书。</w:t>
            </w:r>
          </w:p>
          <w:p>
            <w:pPr>
              <w:spacing w:after="40" w:line="360" w:lineRule="auto"/>
              <w:jc w:val="left"/>
            </w:pPr>
            <w:r>
              <w:rPr>
                <w:rFonts w:ascii="仿宋_GB2312" w:hAnsi="仿宋_GB2312" w:eastAsia="仿宋_GB2312" w:cs="仿宋_GB2312"/>
                <w:sz w:val="24"/>
                <w:szCs w:val="24"/>
              </w:rPr>
              <w:t>2. 要求会计师事务所同时具备如下条件：</w:t>
            </w:r>
          </w:p>
          <w:p>
            <w:pPr>
              <w:spacing w:after="40" w:line="360" w:lineRule="auto"/>
              <w:jc w:val="left"/>
            </w:pPr>
            <w:r>
              <w:rPr>
                <w:rFonts w:ascii="仿宋_GB2312" w:hAnsi="仿宋_GB2312" w:eastAsia="仿宋_GB2312" w:cs="仿宋_GB2312"/>
                <w:sz w:val="24"/>
                <w:szCs w:val="24"/>
              </w:rPr>
              <w:t>（1）在《承接省级科技计划项目验收审计服务会计师事务所备案名单（第一批）》范围内；</w:t>
            </w:r>
          </w:p>
          <w:p>
            <w:pPr>
              <w:spacing w:after="40" w:line="360" w:lineRule="auto"/>
              <w:jc w:val="left"/>
            </w:pPr>
            <w:r>
              <w:rPr>
                <w:rFonts w:ascii="仿宋_GB2312" w:hAnsi="仿宋_GB2312" w:eastAsia="仿宋_GB2312" w:cs="仿宋_GB2312"/>
                <w:sz w:val="24"/>
                <w:szCs w:val="24"/>
              </w:rPr>
              <w:t>（2）在《“十三五”期间国家科技计划资金审计会计师事务所入围名单》范围内；</w:t>
            </w:r>
          </w:p>
          <w:p>
            <w:pPr>
              <w:spacing w:after="40" w:line="360" w:lineRule="auto"/>
              <w:jc w:val="left"/>
            </w:pPr>
            <w:r>
              <w:rPr>
                <w:rFonts w:ascii="仿宋_GB2312" w:hAnsi="仿宋_GB2312" w:eastAsia="仿宋_GB2312" w:cs="仿宋_GB2312"/>
                <w:sz w:val="24"/>
                <w:szCs w:val="24"/>
              </w:rPr>
              <w:t>（3）在《承接国家重点研发计划结题审计服务会计师事务所备案名单（截至2023年8月10日）》范围内。</w:t>
            </w:r>
          </w:p>
          <w:p>
            <w:pPr>
              <w:spacing w:after="40" w:line="360" w:lineRule="auto"/>
              <w:jc w:val="left"/>
            </w:pPr>
            <w:r>
              <w:rPr>
                <w:rFonts w:ascii="仿宋_GB2312" w:hAnsi="仿宋_GB2312" w:eastAsia="仿宋_GB2312" w:cs="仿宋_GB2312"/>
                <w:sz w:val="24"/>
                <w:szCs w:val="24"/>
              </w:rPr>
              <w:t>3. 在经营活动中无重大违法失信记录，没有被市场监督管理机关在国家企业信用信息公示系统（www.gsxt.gov.cn）中列入严重违法失信企业名单，没有被最高人民法院在“信用中国”网站（www.creditchina.gov.cn）列入失信被执行人名单，应提供上述两个网站的相应截图；在中国南方电网有限责任公司范围内没有处于限制投标资格的处罚期内（提供相关网站截图）。</w:t>
            </w:r>
          </w:p>
          <w:p>
            <w:pPr>
              <w:spacing w:after="40" w:line="360" w:lineRule="auto"/>
              <w:jc w:val="left"/>
            </w:pPr>
            <w:r>
              <w:rPr>
                <w:rFonts w:ascii="仿宋_GB2312" w:hAnsi="仿宋_GB2312" w:eastAsia="仿宋_GB2312" w:cs="仿宋_GB2312"/>
                <w:sz w:val="24"/>
                <w:szCs w:val="24"/>
              </w:rPr>
              <w:t>4. 不接受联合体参与。</w:t>
            </w:r>
          </w:p>
          <w:p>
            <w:pPr>
              <w:spacing w:after="40" w:line="360" w:lineRule="auto"/>
              <w:jc w:val="left"/>
            </w:pPr>
            <w:r>
              <w:rPr>
                <w:rFonts w:ascii="仿宋_GB2312" w:hAnsi="仿宋_GB2312" w:eastAsia="仿宋_GB2312" w:cs="仿宋_GB2312"/>
                <w:sz w:val="24"/>
                <w:szCs w:val="24"/>
              </w:rPr>
              <w:t>5. 需提供加盖公司公章的会计师事务所执业证书。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交付要求</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pPr>
            <w:r>
              <w:rPr>
                <w:rFonts w:ascii="仿宋_GB2312" w:hAnsi="仿宋_GB2312" w:eastAsia="仿宋_GB2312" w:cs="仿宋_GB2312"/>
                <w:sz w:val="24"/>
                <w:szCs w:val="24"/>
              </w:rPr>
              <w:t>开展</w:t>
            </w:r>
            <w:r>
              <w:rPr>
                <w:rFonts w:hint="eastAsia" w:cs="仿宋_GB2312"/>
                <w:sz w:val="24"/>
                <w:szCs w:val="24"/>
                <w:lang w:val="en-US" w:eastAsia="zh-CN"/>
              </w:rPr>
              <w:t>项目1</w:t>
            </w:r>
            <w:r>
              <w:rPr>
                <w:rFonts w:ascii="仿宋_GB2312" w:hAnsi="仿宋_GB2312" w:eastAsia="仿宋_GB2312" w:cs="仿宋_GB2312"/>
                <w:sz w:val="24"/>
                <w:szCs w:val="24"/>
              </w:rPr>
              <w:t>《</w:t>
            </w:r>
            <w:r>
              <w:rPr>
                <w:rFonts w:hint="eastAsia" w:ascii="仿宋_GB2312" w:hAnsi="仿宋_GB2312" w:eastAsia="仿宋_GB2312" w:cs="仿宋_GB2312"/>
                <w:sz w:val="24"/>
                <w:szCs w:val="24"/>
              </w:rPr>
              <w:t>保底通信网实时运行协同控制关键技术研究及应用（课题1：通信网自智管控（自动驾驶）技术研究与示范）</w:t>
            </w:r>
            <w:r>
              <w:rPr>
                <w:rFonts w:ascii="仿宋_GB2312" w:hAnsi="仿宋_GB2312" w:eastAsia="仿宋_GB2312" w:cs="仿宋_GB2312"/>
                <w:sz w:val="24"/>
                <w:szCs w:val="24"/>
              </w:rPr>
              <w:t>》</w:t>
            </w:r>
            <w:r>
              <w:rPr>
                <w:rFonts w:hint="eastAsia" w:cs="仿宋_GB2312"/>
                <w:sz w:val="24"/>
                <w:szCs w:val="24"/>
                <w:lang w:val="en-US" w:eastAsia="zh-CN"/>
              </w:rPr>
              <w:t>和项目2</w:t>
            </w:r>
            <w:r>
              <w:rPr>
                <w:rFonts w:ascii="仿宋_GB2312" w:hAnsi="仿宋_GB2312" w:eastAsia="仿宋_GB2312" w:cs="仿宋_GB2312"/>
                <w:sz w:val="24"/>
                <w:szCs w:val="24"/>
              </w:rPr>
              <w:t>《</w:t>
            </w:r>
            <w:r>
              <w:rPr>
                <w:rFonts w:hint="eastAsia" w:ascii="仿宋_GB2312" w:hAnsi="仿宋_GB2312" w:eastAsia="仿宋_GB2312" w:cs="仿宋_GB2312"/>
                <w:sz w:val="24"/>
                <w:szCs w:val="24"/>
              </w:rPr>
              <w:t>新型电力系统预调控智能体软件关键技术研究与示范</w:t>
            </w:r>
            <w:r>
              <w:rPr>
                <w:rFonts w:ascii="仿宋_GB2312" w:hAnsi="仿宋_GB2312" w:eastAsia="仿宋_GB2312" w:cs="仿宋_GB2312"/>
                <w:sz w:val="24"/>
                <w:szCs w:val="24"/>
              </w:rPr>
              <w:t>》结题前第三方经费审查，并提交加盖公章的第三方经费审查报告</w:t>
            </w:r>
            <w:r>
              <w:rPr>
                <w:rFonts w:hint="eastAsia" w:cs="仿宋_GB2312"/>
                <w:sz w:val="24"/>
                <w:szCs w:val="24"/>
                <w:lang w:val="en-US" w:eastAsia="zh-CN"/>
              </w:rPr>
              <w:t>各</w:t>
            </w:r>
            <w:r>
              <w:rPr>
                <w:rFonts w:ascii="仿宋_GB2312" w:hAnsi="仿宋_GB2312" w:eastAsia="仿宋_GB2312" w:cs="仿宋_GB2312"/>
                <w:sz w:val="24"/>
                <w:szCs w:val="24"/>
              </w:rPr>
              <w:t>3份。</w:t>
            </w:r>
          </w:p>
          <w:p>
            <w:pPr>
              <w:spacing w:after="40" w:line="360" w:lineRule="auto"/>
              <w:jc w:val="left"/>
            </w:pPr>
            <w:r>
              <w:rPr>
                <w:rFonts w:ascii="仿宋_GB2312" w:hAnsi="仿宋_GB2312" w:eastAsia="仿宋_GB2312" w:cs="仿宋_GB2312"/>
                <w:sz w:val="24"/>
                <w:szCs w:val="24"/>
              </w:rPr>
              <w:t>项目结题前经费审查报告内容应至少包括：</w:t>
            </w:r>
          </w:p>
          <w:p>
            <w:pPr>
              <w:spacing w:after="40" w:line="360" w:lineRule="auto"/>
              <w:jc w:val="left"/>
            </w:pPr>
            <w:r>
              <w:rPr>
                <w:rFonts w:ascii="仿宋_GB2312" w:hAnsi="仿宋_GB2312" w:eastAsia="仿宋_GB2312" w:cs="仿宋_GB2312"/>
                <w:sz w:val="24"/>
                <w:szCs w:val="24"/>
              </w:rPr>
              <w:t>（1）项目实施单位基本情况；</w:t>
            </w:r>
          </w:p>
          <w:p>
            <w:pPr>
              <w:spacing w:after="40" w:line="360" w:lineRule="auto"/>
              <w:jc w:val="left"/>
            </w:pPr>
            <w:r>
              <w:rPr>
                <w:rFonts w:ascii="仿宋_GB2312" w:hAnsi="仿宋_GB2312" w:eastAsia="仿宋_GB2312" w:cs="仿宋_GB2312"/>
                <w:sz w:val="24"/>
                <w:szCs w:val="24"/>
              </w:rPr>
              <w:t>（2）项目立项基本情况，包括项目基本情况、主要研究内容等；</w:t>
            </w:r>
          </w:p>
          <w:p>
            <w:pPr>
              <w:spacing w:after="40" w:line="360" w:lineRule="auto"/>
              <w:jc w:val="left"/>
            </w:pPr>
            <w:r>
              <w:rPr>
                <w:rFonts w:ascii="仿宋_GB2312" w:hAnsi="仿宋_GB2312" w:eastAsia="仿宋_GB2312" w:cs="仿宋_GB2312"/>
                <w:sz w:val="24"/>
                <w:szCs w:val="24"/>
              </w:rPr>
              <w:t>（3）内部控制制度建设及执行情况；</w:t>
            </w:r>
          </w:p>
          <w:p>
            <w:pPr>
              <w:spacing w:after="40" w:line="360" w:lineRule="auto"/>
              <w:jc w:val="left"/>
            </w:pPr>
            <w:r>
              <w:rPr>
                <w:rFonts w:ascii="仿宋_GB2312" w:hAnsi="仿宋_GB2312" w:eastAsia="仿宋_GB2312" w:cs="仿宋_GB2312"/>
                <w:sz w:val="24"/>
                <w:szCs w:val="24"/>
              </w:rPr>
              <w:t>（4）项目经费会计核算情况；</w:t>
            </w:r>
          </w:p>
          <w:p>
            <w:pPr>
              <w:spacing w:after="40" w:line="360" w:lineRule="auto"/>
              <w:jc w:val="left"/>
            </w:pPr>
            <w:r>
              <w:rPr>
                <w:rFonts w:ascii="仿宋_GB2312" w:hAnsi="仿宋_GB2312" w:eastAsia="仿宋_GB2312" w:cs="仿宋_GB2312"/>
                <w:sz w:val="24"/>
                <w:szCs w:val="24"/>
              </w:rPr>
              <w:t>（5）项目经费使用情况，包括项目预算及经费执行情况、固定资产购置及使用情况、合同履行情况等；</w:t>
            </w:r>
          </w:p>
          <w:p>
            <w:pPr>
              <w:spacing w:after="40" w:line="360" w:lineRule="auto"/>
              <w:jc w:val="left"/>
            </w:pPr>
            <w:r>
              <w:rPr>
                <w:rFonts w:ascii="仿宋_GB2312" w:hAnsi="仿宋_GB2312" w:eastAsia="仿宋_GB2312" w:cs="仿宋_GB2312"/>
                <w:sz w:val="24"/>
                <w:szCs w:val="24"/>
              </w:rPr>
              <w:t>（6）经费使用存在的问题和整改建议。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进度要求</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ind w:firstLine="480" w:firstLineChars="200"/>
              <w:jc w:val="left"/>
              <w:rPr>
                <w:rFonts w:ascii="仿宋_GB2312" w:hAnsi="仿宋_GB2312" w:eastAsia="仿宋_GB2312" w:cs="仿宋_GB2312"/>
                <w:sz w:val="24"/>
                <w:szCs w:val="24"/>
              </w:rPr>
            </w:pPr>
            <w:r>
              <w:rPr>
                <w:rFonts w:ascii="仿宋_GB2312" w:hAnsi="仿宋_GB2312" w:eastAsia="仿宋_GB2312" w:cs="仿宋_GB2312"/>
                <w:sz w:val="24"/>
                <w:szCs w:val="24"/>
              </w:rPr>
              <w:t>2026年</w:t>
            </w:r>
            <w:r>
              <w:rPr>
                <w:rFonts w:hint="eastAsia" w:cs="仿宋_GB2312"/>
                <w:sz w:val="24"/>
                <w:szCs w:val="24"/>
                <w:lang w:val="en-US" w:eastAsia="zh-CN"/>
              </w:rPr>
              <w:t>9</w:t>
            </w:r>
            <w:r>
              <w:rPr>
                <w:rFonts w:ascii="仿宋_GB2312" w:hAnsi="仿宋_GB2312" w:eastAsia="仿宋_GB2312" w:cs="仿宋_GB2312"/>
                <w:sz w:val="24"/>
                <w:szCs w:val="24"/>
              </w:rPr>
              <w:t>月30日前交付《</w:t>
            </w:r>
            <w:r>
              <w:rPr>
                <w:rFonts w:hint="eastAsia" w:ascii="仿宋_GB2312" w:hAnsi="仿宋_GB2312" w:eastAsia="仿宋_GB2312" w:cs="仿宋_GB2312"/>
                <w:sz w:val="24"/>
                <w:szCs w:val="24"/>
              </w:rPr>
              <w:t>保底通信网实时运行协同控制关键技术研究及应用（课题1：通信网自智管控（自动驾驶）技术研究与示范）</w:t>
            </w:r>
            <w:r>
              <w:rPr>
                <w:rFonts w:ascii="仿宋_GB2312" w:hAnsi="仿宋_GB2312" w:eastAsia="仿宋_GB2312" w:cs="仿宋_GB2312"/>
                <w:sz w:val="24"/>
                <w:szCs w:val="24"/>
              </w:rPr>
              <w:t>》项目第三方经费审查报告3份。</w:t>
            </w:r>
          </w:p>
          <w:p>
            <w:pPr>
              <w:spacing w:after="40" w:line="360" w:lineRule="auto"/>
              <w:ind w:firstLine="480" w:firstLineChars="200"/>
              <w:jc w:val="left"/>
              <w:rPr>
                <w:rFonts w:ascii="仿宋_GB2312" w:hAnsi="仿宋_GB2312" w:eastAsia="仿宋_GB2312" w:cs="仿宋_GB2312"/>
                <w:sz w:val="24"/>
                <w:szCs w:val="24"/>
              </w:rPr>
            </w:pPr>
            <w:r>
              <w:rPr>
                <w:rFonts w:ascii="仿宋_GB2312" w:hAnsi="仿宋_GB2312" w:eastAsia="仿宋_GB2312" w:cs="仿宋_GB2312"/>
                <w:sz w:val="24"/>
                <w:szCs w:val="24"/>
              </w:rPr>
              <w:t>2026年</w:t>
            </w:r>
            <w:r>
              <w:rPr>
                <w:rFonts w:hint="eastAsia" w:cs="仿宋_GB2312"/>
                <w:sz w:val="24"/>
                <w:szCs w:val="24"/>
                <w:lang w:val="en-US" w:eastAsia="zh-CN"/>
              </w:rPr>
              <w:t>10</w:t>
            </w:r>
            <w:r>
              <w:rPr>
                <w:rFonts w:ascii="仿宋_GB2312" w:hAnsi="仿宋_GB2312" w:eastAsia="仿宋_GB2312" w:cs="仿宋_GB2312"/>
                <w:sz w:val="24"/>
                <w:szCs w:val="24"/>
              </w:rPr>
              <w:t>月30日前交付《</w:t>
            </w:r>
            <w:r>
              <w:rPr>
                <w:rFonts w:hint="eastAsia" w:ascii="仿宋_GB2312" w:hAnsi="仿宋_GB2312" w:eastAsia="仿宋_GB2312" w:cs="仿宋_GB2312"/>
                <w:sz w:val="24"/>
                <w:szCs w:val="24"/>
              </w:rPr>
              <w:t>新型电力系统预调控智能体软件关键技术研究与示范</w:t>
            </w:r>
            <w:r>
              <w:rPr>
                <w:rFonts w:ascii="仿宋_GB2312" w:hAnsi="仿宋_GB2312" w:eastAsia="仿宋_GB2312" w:cs="仿宋_GB2312"/>
                <w:sz w:val="24"/>
                <w:szCs w:val="24"/>
              </w:rPr>
              <w:t>》项目</w:t>
            </w:r>
            <w:r>
              <w:rPr>
                <w:rFonts w:hint="eastAsia" w:cs="仿宋_GB2312"/>
                <w:sz w:val="24"/>
                <w:szCs w:val="24"/>
                <w:lang w:val="en-US" w:eastAsia="zh-CN"/>
              </w:rPr>
              <w:t>的</w:t>
            </w:r>
            <w:r>
              <w:rPr>
                <w:rFonts w:ascii="仿宋_GB2312" w:hAnsi="仿宋_GB2312" w:eastAsia="仿宋_GB2312" w:cs="仿宋_GB2312"/>
                <w:sz w:val="24"/>
                <w:szCs w:val="24"/>
              </w:rPr>
              <w:t>第三方经费审查报告3份。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信息保密要求</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pPr>
            <w:r>
              <w:rPr>
                <w:rFonts w:ascii="仿宋_GB2312" w:hAnsi="仿宋_GB2312" w:eastAsia="仿宋_GB2312" w:cs="仿宋_GB2312"/>
                <w:sz w:val="24"/>
                <w:szCs w:val="24"/>
              </w:rPr>
              <w:t>受托方需严格遵守委托方有关信息安全的相关要求，需积极采取相关措施防止保密信息的复制、泄漏或遗失。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其他要求</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pPr>
            <w:r>
              <w:rPr>
                <w:rFonts w:ascii="仿宋_GB2312" w:hAnsi="仿宋_GB2312" w:eastAsia="仿宋_GB2312" w:cs="仿宋_GB2312"/>
                <w:sz w:val="24"/>
                <w:szCs w:val="24"/>
              </w:rPr>
              <w:t>如在项目实施过程中需要调整内容、进度等，需经委托方与受托方双方共同确认，按合同变更程序办理。</w:t>
            </w:r>
          </w:p>
        </w:tc>
      </w:tr>
    </w:tbl>
    <w:p>
      <w:pPr>
        <w:spacing w:before="300" w:after="100"/>
      </w:pPr>
      <w:r>
        <w:rPr>
          <w:rFonts w:ascii="仿宋_GB2312" w:hAnsi="仿宋_GB2312" w:eastAsia="仿宋_GB2312" w:cs="仿宋_GB2312"/>
          <w:i/>
          <w:iCs/>
          <w:sz w:val="21"/>
          <w:szCs w:val="21"/>
        </w:rPr>
        <w:t>说明：本委托单为技术服务合同附件，一式叁份，甲方执贰份，乙方执壹份，具有同等法律效力。</w:t>
      </w:r>
    </w:p>
    <w:sectPr>
      <w:pgSz w:w="11906" w:h="16838"/>
      <w:pgMar w:top="2098" w:right="1474" w:bottom="1985" w:left="1588"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compat>
    <w:useFELayout/>
    <w:compatSetting w:name="compatibilityMode" w:uri="http://schemas.microsoft.com/office/word" w:val="15"/>
  </w:compat>
  <w:rsids>
    <w:rsidRoot w:val="00000000"/>
    <w:rsid w:val="1C375713"/>
    <w:rsid w:val="1E73710C"/>
    <w:rsid w:val="34254E5C"/>
    <w:rsid w:val="34A00986"/>
    <w:rsid w:val="3EE302EC"/>
    <w:rsid w:val="40FF183A"/>
    <w:rsid w:val="5A702CD0"/>
    <w:rsid w:val="79FEC37A"/>
    <w:rsid w:val="7A505D2A"/>
    <w:rsid w:val="7F9FE7CC"/>
    <w:rsid w:val="7FF72A8E"/>
    <w:rsid w:val="FF7FA38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仿宋_GB2312" w:hAnsi="仿宋_GB2312" w:eastAsia="仿宋_GB2312" w:cs="仿宋_GB2312"/>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iPriority="99" w:name="endnote reference"/>
    <w:lsdException w:qFormat="1" w:uiPriority="99"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sz w:val="24"/>
      <w:szCs w:val="24"/>
    </w:rPr>
  </w:style>
  <w:style w:type="paragraph" w:styleId="2">
    <w:name w:val="heading 1"/>
    <w:next w:val="1"/>
    <w:qFormat/>
    <w:uiPriority w:val="0"/>
    <w:rPr>
      <w:rFonts w:ascii="仿宋_GB2312" w:hAnsi="仿宋_GB2312" w:eastAsia="仿宋_GB2312" w:cs="仿宋_GB2312"/>
      <w:color w:val="2E74B5"/>
      <w:sz w:val="32"/>
      <w:szCs w:val="32"/>
    </w:rPr>
  </w:style>
  <w:style w:type="paragraph" w:styleId="3">
    <w:name w:val="heading 2"/>
    <w:next w:val="1"/>
    <w:qFormat/>
    <w:uiPriority w:val="0"/>
    <w:rPr>
      <w:rFonts w:ascii="仿宋_GB2312" w:hAnsi="仿宋_GB2312" w:eastAsia="仿宋_GB2312" w:cs="仿宋_GB2312"/>
      <w:color w:val="2E74B5"/>
      <w:sz w:val="26"/>
      <w:szCs w:val="26"/>
    </w:rPr>
  </w:style>
  <w:style w:type="paragraph" w:styleId="4">
    <w:name w:val="heading 3"/>
    <w:next w:val="1"/>
    <w:qFormat/>
    <w:uiPriority w:val="0"/>
    <w:rPr>
      <w:rFonts w:ascii="仿宋_GB2312" w:hAnsi="仿宋_GB2312" w:eastAsia="仿宋_GB2312" w:cs="仿宋_GB2312"/>
      <w:color w:val="1F4D78"/>
      <w:sz w:val="24"/>
      <w:szCs w:val="24"/>
    </w:rPr>
  </w:style>
  <w:style w:type="paragraph" w:styleId="5">
    <w:name w:val="heading 4"/>
    <w:next w:val="1"/>
    <w:qFormat/>
    <w:uiPriority w:val="0"/>
    <w:rPr>
      <w:rFonts w:ascii="仿宋_GB2312" w:hAnsi="仿宋_GB2312" w:eastAsia="仿宋_GB2312" w:cs="仿宋_GB2312"/>
      <w:i/>
      <w:iCs/>
      <w:color w:val="2E74B5"/>
      <w:sz w:val="24"/>
      <w:szCs w:val="24"/>
    </w:rPr>
  </w:style>
  <w:style w:type="paragraph" w:styleId="6">
    <w:name w:val="heading 5"/>
    <w:next w:val="1"/>
    <w:qFormat/>
    <w:uiPriority w:val="0"/>
    <w:rPr>
      <w:rFonts w:ascii="仿宋_GB2312" w:hAnsi="仿宋_GB2312" w:eastAsia="仿宋_GB2312" w:cs="仿宋_GB2312"/>
      <w:color w:val="2E74B5"/>
      <w:sz w:val="24"/>
      <w:szCs w:val="24"/>
    </w:rPr>
  </w:style>
  <w:style w:type="paragraph" w:styleId="7">
    <w:name w:val="heading 6"/>
    <w:next w:val="1"/>
    <w:qFormat/>
    <w:uiPriority w:val="0"/>
    <w:rPr>
      <w:rFonts w:ascii="仿宋_GB2312" w:hAnsi="仿宋_GB2312" w:eastAsia="仿宋_GB2312" w:cs="仿宋_GB2312"/>
      <w:color w:val="1F4D78"/>
      <w:sz w:val="24"/>
      <w:szCs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8">
    <w:name w:val="endnote text"/>
    <w:link w:val="18"/>
    <w:semiHidden/>
    <w:unhideWhenUsed/>
    <w:qFormat/>
    <w:uiPriority w:val="99"/>
    <w:pPr>
      <w:spacing w:after="0" w:line="240" w:lineRule="auto"/>
    </w:pPr>
    <w:rPr>
      <w:rFonts w:ascii="仿宋_GB2312" w:hAnsi="仿宋_GB2312" w:eastAsia="仿宋_GB2312" w:cs="仿宋_GB2312"/>
      <w:sz w:val="20"/>
      <w:szCs w:val="20"/>
    </w:rPr>
  </w:style>
  <w:style w:type="paragraph" w:styleId="9">
    <w:name w:val="footnote text"/>
    <w:link w:val="17"/>
    <w:semiHidden/>
    <w:unhideWhenUsed/>
    <w:qFormat/>
    <w:uiPriority w:val="99"/>
    <w:pPr>
      <w:spacing w:after="0" w:line="240" w:lineRule="auto"/>
    </w:pPr>
    <w:rPr>
      <w:rFonts w:ascii="仿宋_GB2312" w:hAnsi="仿宋_GB2312" w:eastAsia="仿宋_GB2312" w:cs="仿宋_GB2312"/>
      <w:sz w:val="20"/>
      <w:szCs w:val="20"/>
    </w:rPr>
  </w:style>
  <w:style w:type="paragraph" w:styleId="10">
    <w:name w:val="Title"/>
    <w:qFormat/>
    <w:uiPriority w:val="0"/>
    <w:rPr>
      <w:rFonts w:ascii="仿宋_GB2312" w:hAnsi="仿宋_GB2312" w:eastAsia="仿宋_GB2312" w:cs="仿宋_GB2312"/>
      <w:sz w:val="56"/>
      <w:szCs w:val="56"/>
    </w:rPr>
  </w:style>
  <w:style w:type="character" w:styleId="13">
    <w:name w:val="endnote reference"/>
    <w:semiHidden/>
    <w:unhideWhenUsed/>
    <w:qFormat/>
    <w:uiPriority w:val="99"/>
    <w:rPr>
      <w:vertAlign w:val="superscript"/>
    </w:rPr>
  </w:style>
  <w:style w:type="character" w:styleId="14">
    <w:name w:val="Hyperlink"/>
    <w:unhideWhenUsed/>
    <w:qFormat/>
    <w:uiPriority w:val="99"/>
    <w:rPr>
      <w:color w:val="0563C1"/>
      <w:u w:val="single"/>
    </w:rPr>
  </w:style>
  <w:style w:type="character" w:styleId="15">
    <w:name w:val="footnote reference"/>
    <w:semiHidden/>
    <w:unhideWhenUsed/>
    <w:qFormat/>
    <w:uiPriority w:val="99"/>
    <w:rPr>
      <w:vertAlign w:val="superscript"/>
    </w:rPr>
  </w:style>
  <w:style w:type="paragraph" w:styleId="16">
    <w:name w:val="List Paragraph"/>
    <w:qFormat/>
    <w:uiPriority w:val="0"/>
    <w:rPr>
      <w:rFonts w:ascii="仿宋_GB2312" w:hAnsi="仿宋_GB2312" w:eastAsia="仿宋_GB2312" w:cs="仿宋_GB2312"/>
      <w:sz w:val="24"/>
      <w:szCs w:val="24"/>
    </w:rPr>
  </w:style>
  <w:style w:type="character" w:customStyle="1" w:styleId="17">
    <w:name w:val="Footnote Text Char"/>
    <w:link w:val="9"/>
    <w:semiHidden/>
    <w:unhideWhenUsed/>
    <w:qFormat/>
    <w:uiPriority w:val="99"/>
    <w:rPr>
      <w:sz w:val="20"/>
      <w:szCs w:val="20"/>
    </w:rPr>
  </w:style>
  <w:style w:type="character" w:customStyle="1" w:styleId="18">
    <w:name w:val="Endnote Text Char"/>
    <w:link w:val="8"/>
    <w:semiHidden/>
    <w:unhideWhenUsed/>
    <w:qFormat/>
    <w:uiPriority w:val="99"/>
    <w:rPr>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dafef340-1d32-448a-a3f7-df99749ec225</errorID>
      <errorWord xmlns="http://schemas.wps.cn/vas-ai-hub/contract-review">叁份，甲方执贰份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三份，甲方执两份</item>
      </candidateList>
      <explain xmlns="http://schemas.wps.cn/vas-ai-hub/contract-review"/>
      <paraID xmlns="http://schemas.wps.cn/vas-ai-hub/contract-review"> B6E196C</paraID>
      <start xmlns="http://schemas.wps.cn/vas-ai-hub/contract-review">19</start>
      <end xmlns="http://schemas.wps.cn/vas-ai-hub/contract-review">27</end>
      <status xmlns="http://schemas.wps.cn/vas-ai-hub/contract-review">ignored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88d729e2-622e-41b6-9761-b5cced2447b5}">
  <ds:schemaRefs/>
</ds:datastoreItem>
</file>

<file path=docProps/app.xml><?xml version="1.0" encoding="utf-8"?>
<Properties xmlns="http://schemas.openxmlformats.org/officeDocument/2006/extended-properties" xmlns:vt="http://schemas.openxmlformats.org/officeDocument/2006/docPropsVTypes">
  <Pages>4</Pages>
  <Words>1744</Words>
  <Characters>1823</Characters>
  <TotalTime>0</TotalTime>
  <ScaleCrop>false</ScaleCrop>
  <LinksUpToDate>false</LinksUpToDate>
  <CharactersWithSpaces>1832</CharactersWithSpaces>
  <Application>WPS Office_11.8.2.12313_F1E327BC-269C-435d-A152-05C5408002CA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2026-07-02T19:44:00Z</dcterms:created>
  <dc:creator>Un-named</dc:creator>
  <cp:lastModifiedBy>wx-chenying</cp:lastModifiedBy>
  <cp:lastPrinted>2026-07-21T01:39:00Z</cp:lastPrinted>
  <dcterms:modified xsi:type="dcterms:W3CDTF">2026-07-20T17:41:12Z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eyJoZGlkIjoiYjY2YTk0ODBmZTg4OWM1MmQ0MTc1MzZjMzljYjU5NmYiLCJ1c2VySWQiOiIyMzk5Mjg4OTUifQ==</vt:lpwstr>
  </property>
  <property fmtid="{D5CDD505-2E9C-101B-9397-08002B2CF9AE}" pid="3" name="KSOProductBuildVer">
    <vt:lpwstr>2052-11.8.2.12313</vt:lpwstr>
  </property>
  <property fmtid="{D5CDD505-2E9C-101B-9397-08002B2CF9AE}" pid="4" name="ICV">
    <vt:lpwstr>A8AD2CD2527D11E9E8EC5D6A56FCA7F7</vt:lpwstr>
  </property>
</Properties>
</file>