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AF2B95">
      <w:pPr>
        <w:adjustRightInd w:val="0"/>
        <w:snapToGrid w:val="0"/>
        <w:rPr>
          <w:sz w:val="28"/>
          <w:szCs w:val="36"/>
        </w:rPr>
      </w:pPr>
      <w:r>
        <w:rPr>
          <w:rFonts w:eastAsia="黑体"/>
          <w:b/>
          <w:sz w:val="52"/>
        </w:rPr>
        <w:drawing>
          <wp:anchor distT="0" distB="0" distL="114300" distR="114300" simplePos="0" relativeHeight="251659264" behindDoc="0" locked="0" layoutInCell="1" allowOverlap="1">
            <wp:simplePos x="0" y="0"/>
            <wp:positionH relativeFrom="column">
              <wp:posOffset>-1158875</wp:posOffset>
            </wp:positionH>
            <wp:positionV relativeFrom="paragraph">
              <wp:posOffset>-1047115</wp:posOffset>
            </wp:positionV>
            <wp:extent cx="7609840" cy="2552700"/>
            <wp:effectExtent l="0" t="0" r="10160" b="0"/>
            <wp:wrapNone/>
            <wp:docPr id="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7"/>
                    <pic:cNvPicPr>
                      <a:picLocks noChangeAspect="1"/>
                    </pic:cNvPicPr>
                  </pic:nvPicPr>
                  <pic:blipFill>
                    <a:blip r:embed="rId6"/>
                    <a:stretch>
                      <a:fillRect/>
                    </a:stretch>
                  </pic:blipFill>
                  <pic:spPr>
                    <a:xfrm>
                      <a:off x="0" y="0"/>
                      <a:ext cx="7609840" cy="2552700"/>
                    </a:xfrm>
                    <a:prstGeom prst="rect">
                      <a:avLst/>
                    </a:prstGeom>
                    <a:noFill/>
                    <a:ln>
                      <a:noFill/>
                    </a:ln>
                  </pic:spPr>
                </pic:pic>
              </a:graphicData>
            </a:graphic>
          </wp:anchor>
        </w:drawing>
      </w:r>
      <w:r>
        <w:rPr>
          <w:rFonts w:eastAsia="黑体"/>
          <w:b/>
          <w:sz w:val="52"/>
        </w:rPr>
        <w:pict>
          <v:shape id="_x0000_s1030" o:spid="_x0000_s1030" o:spt="75" type="#_x0000_t75" style="position:absolute;left:0pt;margin-left:64.3pt;margin-top:131.45pt;height:40.9pt;width:198.4pt;mso-position-horizontal-relative:page;mso-position-vertical-relative:page;z-index:251660288;mso-width-relative:page;mso-height-relative:page;" o:ole="t" filled="f" o:preferrelative="t" stroked="f" coordsize="21600,21600">
            <v:path/>
            <v:fill on="f" focussize="0,0"/>
            <v:stroke on="f" joinstyle="miter"/>
            <v:imagedata r:id="rId8" o:title=""/>
            <o:lock v:ext="edit" aspectratio="f"/>
          </v:shape>
          <o:OLEObject Type="Embed" ProgID="PBrush" ShapeID="_x0000_s1030" DrawAspect="Content" ObjectID="_1468075725" r:id="rId7">
            <o:LockedField>false</o:LockedField>
          </o:OLEObject>
        </w:pict>
      </w:r>
    </w:p>
    <w:p w14:paraId="2A27A15C">
      <w:pPr>
        <w:adjustRightInd w:val="0"/>
        <w:snapToGrid w:val="0"/>
        <w:rPr>
          <w:sz w:val="28"/>
          <w:szCs w:val="36"/>
        </w:rPr>
      </w:pPr>
    </w:p>
    <w:p w14:paraId="4D662308">
      <w:pPr>
        <w:adjustRightInd w:val="0"/>
        <w:snapToGrid w:val="0"/>
        <w:rPr>
          <w:sz w:val="28"/>
          <w:szCs w:val="36"/>
        </w:rPr>
      </w:pPr>
    </w:p>
    <w:p w14:paraId="625AD73A">
      <w:pPr>
        <w:adjustRightInd w:val="0"/>
        <w:snapToGrid w:val="0"/>
        <w:rPr>
          <w:sz w:val="28"/>
          <w:szCs w:val="36"/>
        </w:rPr>
      </w:pPr>
    </w:p>
    <w:p w14:paraId="51FFA66F">
      <w:pPr>
        <w:adjustRightInd w:val="0"/>
        <w:snapToGrid w:val="0"/>
        <w:rPr>
          <w:sz w:val="28"/>
          <w:szCs w:val="36"/>
        </w:rPr>
      </w:pPr>
    </w:p>
    <w:p w14:paraId="57A0CC69">
      <w:pPr>
        <w:adjustRightInd w:val="0"/>
        <w:snapToGrid w:val="0"/>
        <w:rPr>
          <w:sz w:val="28"/>
          <w:szCs w:val="36"/>
        </w:rPr>
      </w:pPr>
    </w:p>
    <w:p w14:paraId="4ECEBB0D">
      <w:pPr>
        <w:adjustRightInd w:val="0"/>
        <w:snapToGrid w:val="0"/>
        <w:rPr>
          <w:sz w:val="28"/>
          <w:szCs w:val="36"/>
        </w:rPr>
      </w:pPr>
    </w:p>
    <w:p w14:paraId="6BEAB291">
      <w:pPr>
        <w:adjustRightInd w:val="0"/>
        <w:snapToGrid w:val="0"/>
        <w:rPr>
          <w:sz w:val="28"/>
          <w:szCs w:val="36"/>
        </w:rPr>
      </w:pPr>
    </w:p>
    <w:p w14:paraId="25D16481">
      <w:pPr>
        <w:adjustRightInd w:val="0"/>
        <w:snapToGrid w:val="0"/>
        <w:jc w:val="center"/>
        <w:rPr>
          <w:rFonts w:eastAsia="黑体"/>
          <w:b/>
          <w:sz w:val="52"/>
        </w:rPr>
      </w:pPr>
      <w:r>
        <w:rPr>
          <w:rFonts w:hint="eastAsia" w:eastAsia="黑体"/>
          <w:b/>
          <w:sz w:val="52"/>
        </w:rPr>
        <w:t>断路器分合闸线圈电流波形防拒动分析演示教学装置研发</w:t>
      </w:r>
      <w:r>
        <w:rPr>
          <w:rFonts w:eastAsia="黑体"/>
          <w:b/>
          <w:sz w:val="52"/>
        </w:rPr>
        <w:t>技术规范书</w:t>
      </w:r>
    </w:p>
    <w:p w14:paraId="6D097E34">
      <w:pPr>
        <w:adjustRightInd w:val="0"/>
        <w:snapToGrid w:val="0"/>
        <w:rPr>
          <w:sz w:val="28"/>
          <w:szCs w:val="36"/>
        </w:rPr>
      </w:pPr>
    </w:p>
    <w:p w14:paraId="24228B6F">
      <w:pPr>
        <w:pStyle w:val="12"/>
      </w:pPr>
    </w:p>
    <w:p w14:paraId="622D7099">
      <w:pPr>
        <w:adjustRightInd w:val="0"/>
        <w:snapToGrid w:val="0"/>
        <w:rPr>
          <w:sz w:val="28"/>
          <w:szCs w:val="36"/>
        </w:rPr>
      </w:pPr>
    </w:p>
    <w:p w14:paraId="5031AAA0">
      <w:pPr>
        <w:pStyle w:val="12"/>
        <w:rPr>
          <w:sz w:val="28"/>
          <w:szCs w:val="36"/>
        </w:rPr>
      </w:pPr>
    </w:p>
    <w:p w14:paraId="44932D83">
      <w:pPr>
        <w:pStyle w:val="12"/>
        <w:rPr>
          <w:sz w:val="28"/>
          <w:szCs w:val="36"/>
        </w:rPr>
      </w:pPr>
    </w:p>
    <w:p w14:paraId="125B6D53">
      <w:pPr>
        <w:pStyle w:val="12"/>
        <w:rPr>
          <w:sz w:val="28"/>
          <w:szCs w:val="36"/>
        </w:rPr>
      </w:pPr>
    </w:p>
    <w:p w14:paraId="78B573E3">
      <w:pPr>
        <w:adjustRightInd w:val="0"/>
        <w:snapToGrid w:val="0"/>
        <w:rPr>
          <w:sz w:val="28"/>
          <w:szCs w:val="36"/>
        </w:rPr>
      </w:pPr>
    </w:p>
    <w:p w14:paraId="642BB1E4">
      <w:pPr>
        <w:adjustRightInd w:val="0"/>
        <w:snapToGrid w:val="0"/>
        <w:rPr>
          <w:sz w:val="28"/>
          <w:szCs w:val="36"/>
        </w:rPr>
      </w:pPr>
    </w:p>
    <w:p w14:paraId="7B545D5A">
      <w:pPr>
        <w:adjustRightInd w:val="0"/>
        <w:snapToGrid w:val="0"/>
        <w:jc w:val="center"/>
        <w:rPr>
          <w:rFonts w:ascii="黑体" w:hAnsi="黑体" w:eastAsia="黑体" w:cs="黑体"/>
          <w:sz w:val="32"/>
          <w:szCs w:val="32"/>
        </w:rPr>
      </w:pPr>
      <w:r>
        <w:rPr>
          <w:rFonts w:hint="eastAsia" w:ascii="黑体" w:hAnsi="黑体" w:eastAsia="黑体" w:cs="黑体"/>
          <w:sz w:val="32"/>
          <w:szCs w:val="32"/>
        </w:rPr>
        <w:t>中国南方电网超高压输电公司南宁局</w:t>
      </w:r>
    </w:p>
    <w:p w14:paraId="6E8E4A9E">
      <w:pPr>
        <w:adjustRightInd w:val="0"/>
        <w:snapToGrid w:val="0"/>
        <w:jc w:val="center"/>
        <w:rPr>
          <w:rFonts w:hint="default" w:ascii="黑体" w:hAnsi="黑体" w:eastAsia="黑体" w:cs="黑体"/>
          <w:sz w:val="32"/>
          <w:szCs w:val="32"/>
          <w:lang w:val="en-US" w:eastAsia="zh-CN"/>
        </w:rPr>
      </w:pPr>
      <w:r>
        <w:rPr>
          <w:rFonts w:hint="eastAsia" w:ascii="黑体" w:hAnsi="黑体" w:eastAsia="黑体" w:cs="黑体"/>
          <w:sz w:val="32"/>
          <w:szCs w:val="32"/>
        </w:rPr>
        <w:t>2026年</w:t>
      </w:r>
      <w:r>
        <w:rPr>
          <w:rFonts w:hint="eastAsia" w:ascii="黑体" w:hAnsi="黑体" w:eastAsia="黑体" w:cs="黑体"/>
          <w:sz w:val="32"/>
          <w:szCs w:val="32"/>
          <w:lang w:val="en-US" w:eastAsia="zh-CN"/>
        </w:rPr>
        <w:t>6月</w:t>
      </w:r>
    </w:p>
    <w:p w14:paraId="63D1723A">
      <w:pPr>
        <w:adjustRightInd w:val="0"/>
        <w:snapToGrid w:val="0"/>
        <w:jc w:val="center"/>
        <w:rPr>
          <w:rFonts w:ascii="黑体" w:hAnsi="黑体" w:eastAsia="黑体" w:cs="黑体"/>
          <w:sz w:val="32"/>
          <w:szCs w:val="32"/>
        </w:rPr>
        <w:sectPr>
          <w:pgSz w:w="11906" w:h="16838"/>
          <w:pgMar w:top="1440" w:right="1800" w:bottom="1440" w:left="1800" w:header="851" w:footer="992" w:gutter="0"/>
          <w:cols w:space="425" w:num="1"/>
          <w:docGrid w:type="lines" w:linePitch="312" w:charSpace="0"/>
        </w:sectPr>
      </w:pPr>
    </w:p>
    <w:p w14:paraId="75180B63">
      <w:pPr>
        <w:snapToGrid w:val="0"/>
        <w:spacing w:before="120"/>
        <w:rPr>
          <w:rFonts w:ascii="黑体" w:hAnsi="黑体" w:eastAsia="黑体" w:cs="黑体"/>
          <w:b/>
          <w:bCs/>
          <w:sz w:val="28"/>
          <w:szCs w:val="28"/>
        </w:rPr>
      </w:pPr>
      <w:r>
        <w:rPr>
          <w:rFonts w:hint="eastAsia" w:ascii="黑体" w:hAnsi="黑体" w:eastAsia="黑体" w:cs="黑体"/>
          <w:b/>
          <w:bCs/>
          <w:sz w:val="28"/>
          <w:szCs w:val="36"/>
        </w:rPr>
        <w:t>1 总则</w:t>
      </w:r>
    </w:p>
    <w:p w14:paraId="3679B985">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1.1 本技术规范书适用于</w:t>
      </w:r>
      <w:r>
        <w:rPr>
          <w:sz w:val="24"/>
        </w:rPr>
        <w:t>中国南方电网超高压输电公司</w:t>
      </w:r>
      <w:r>
        <w:rPr>
          <w:rFonts w:hint="eastAsia"/>
          <w:sz w:val="24"/>
          <w:lang w:val="en-US" w:eastAsia="zh-CN"/>
        </w:rPr>
        <w:t>南宁</w:t>
      </w:r>
      <w:r>
        <w:rPr>
          <w:sz w:val="24"/>
        </w:rPr>
        <w:t>局</w:t>
      </w:r>
      <w:r>
        <w:rPr>
          <w:rFonts w:hint="eastAsia" w:asciiTheme="minorEastAsia" w:hAnsiTheme="minorEastAsia" w:eastAsiaTheme="minorEastAsia" w:cstheme="minorEastAsia"/>
          <w:sz w:val="24"/>
        </w:rPr>
        <w:t>《断路器分合闸线圈电流波形防拒动分析演示教学装置研发》研发、试制、现场试验、验收及交付全过程，明确</w:t>
      </w:r>
      <w:r>
        <w:rPr>
          <w:rFonts w:hint="eastAsia" w:asciiTheme="minorEastAsia" w:hAnsiTheme="minorEastAsia" w:eastAsiaTheme="minorEastAsia" w:cstheme="minorEastAsia"/>
          <w:sz w:val="24"/>
          <w:lang w:val="en-US" w:eastAsia="zh-CN"/>
        </w:rPr>
        <w:t>教学装置的</w:t>
      </w:r>
      <w:r>
        <w:rPr>
          <w:rFonts w:hint="eastAsia" w:asciiTheme="minorEastAsia" w:hAnsiTheme="minorEastAsia" w:eastAsiaTheme="minorEastAsia" w:cstheme="minorEastAsia"/>
          <w:sz w:val="24"/>
        </w:rPr>
        <w:t>结构</w:t>
      </w:r>
      <w:r>
        <w:rPr>
          <w:rFonts w:hint="eastAsia" w:asciiTheme="minorEastAsia" w:hAnsiTheme="minorEastAsia" w:eastAsiaTheme="minorEastAsia" w:cstheme="minorEastAsia"/>
          <w:sz w:val="24"/>
          <w:lang w:val="en-US" w:eastAsia="zh-CN"/>
        </w:rPr>
        <w:t>样式</w:t>
      </w: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sz w:val="24"/>
          <w:lang w:val="en-US" w:eastAsia="zh-CN"/>
        </w:rPr>
        <w:t>发令</w:t>
      </w:r>
      <w:r>
        <w:rPr>
          <w:rFonts w:hint="eastAsia" w:asciiTheme="minorEastAsia" w:hAnsiTheme="minorEastAsia" w:eastAsiaTheme="minorEastAsia" w:cstheme="minorEastAsia"/>
          <w:sz w:val="24"/>
        </w:rPr>
        <w:t>功能、</w:t>
      </w:r>
      <w:r>
        <w:rPr>
          <w:rFonts w:hint="eastAsia" w:asciiTheme="minorEastAsia" w:hAnsiTheme="minorEastAsia" w:eastAsiaTheme="minorEastAsia" w:cstheme="minorEastAsia"/>
          <w:sz w:val="24"/>
          <w:lang w:val="en-US" w:eastAsia="zh-CN"/>
        </w:rPr>
        <w:t>分合闸</w:t>
      </w:r>
      <w:r>
        <w:rPr>
          <w:rFonts w:hint="eastAsia" w:asciiTheme="minorEastAsia" w:hAnsiTheme="minorEastAsia" w:eastAsiaTheme="minorEastAsia" w:cstheme="minorEastAsia"/>
          <w:sz w:val="24"/>
        </w:rPr>
        <w:t>试验、</w:t>
      </w:r>
      <w:r>
        <w:rPr>
          <w:rFonts w:hint="eastAsia" w:asciiTheme="minorEastAsia" w:hAnsiTheme="minorEastAsia" w:eastAsiaTheme="minorEastAsia" w:cstheme="minorEastAsia"/>
          <w:sz w:val="24"/>
          <w:lang w:val="en-US" w:eastAsia="zh-CN"/>
        </w:rPr>
        <w:t>电流曲线波形显示、</w:t>
      </w:r>
      <w:r>
        <w:rPr>
          <w:rFonts w:hint="eastAsia" w:asciiTheme="minorEastAsia" w:hAnsiTheme="minorEastAsia" w:eastAsiaTheme="minorEastAsia" w:cstheme="minorEastAsia"/>
          <w:sz w:val="24"/>
        </w:rPr>
        <w:t>交付服务全部最低强制性技术要求，投标方需提供完全满足本规范全套</w:t>
      </w:r>
      <w:r>
        <w:rPr>
          <w:rFonts w:hint="eastAsia" w:asciiTheme="minorEastAsia" w:hAnsiTheme="minorEastAsia" w:eastAsiaTheme="minorEastAsia" w:cstheme="minorEastAsia"/>
          <w:sz w:val="24"/>
          <w:lang w:val="en-US" w:eastAsia="zh-CN"/>
        </w:rPr>
        <w:t>教学装置</w:t>
      </w:r>
      <w:r>
        <w:rPr>
          <w:rFonts w:hint="eastAsia" w:asciiTheme="minorEastAsia" w:hAnsiTheme="minorEastAsia" w:eastAsiaTheme="minorEastAsia" w:cstheme="minorEastAsia"/>
          <w:sz w:val="24"/>
        </w:rPr>
        <w:t>实物及配套完整技术资料。</w:t>
      </w:r>
    </w:p>
    <w:p w14:paraId="5B3D58C2">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1.2 本技术规范书提出的是最低限度的技术要求，并未对一切技术细节做出规定，投标方应提供符合本规范书的项目成果。</w:t>
      </w:r>
    </w:p>
    <w:p w14:paraId="33FE6929">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1.3 如投标方提供的技术服务或方案与本技术规范书要求有差异，即使是微小的差异，也应以书面形式言明，并说明原因。如投标方没有以书面形式对本技术规范书的条文提出异议，那么投标方提供的技术服务或方案应完全满足本技术规范书的要求。</w:t>
      </w:r>
    </w:p>
    <w:p w14:paraId="6D3CDFD6">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1.4 在根据本技术规范书签订协议之后，招标方有权提出因标准或规程规范发生变化而产生的一些补充，具体项目由招标方、投标方双方共同商定。</w:t>
      </w:r>
    </w:p>
    <w:p w14:paraId="38562D8F">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1.5 本技术规范书所使用的标准如与投标方所执行的标准发生矛盾时，按较高标准执行，本技术规范书未全部引用应用标准，凡是本技术规范书牵涉的各项内容均按最新标准实施。</w:t>
      </w:r>
    </w:p>
    <w:p w14:paraId="5D1E9818">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w:t>
      </w:r>
      <w:r>
        <w:rPr>
          <w:rFonts w:hint="eastAsia" w:asciiTheme="minorEastAsia" w:hAnsiTheme="minorEastAsia" w:eastAsiaTheme="minorEastAsia" w:cstheme="minorEastAsia"/>
          <w:sz w:val="24"/>
          <w:lang w:val="en-US" w:eastAsia="zh-CN"/>
        </w:rPr>
        <w:t>6</w:t>
      </w:r>
      <w:r>
        <w:rPr>
          <w:rFonts w:hint="eastAsia" w:asciiTheme="minorEastAsia" w:hAnsiTheme="minorEastAsia" w:eastAsiaTheme="minorEastAsia" w:cstheme="minorEastAsia"/>
          <w:sz w:val="24"/>
        </w:rPr>
        <w:t xml:space="preserve"> 本技术规范书未尽事宜，由招标方与投标方双方协商确定。</w:t>
      </w:r>
    </w:p>
    <w:p w14:paraId="79BDC60E">
      <w:pPr>
        <w:snapToGrid w:val="0"/>
        <w:spacing w:before="120"/>
        <w:rPr>
          <w:rFonts w:ascii="黑体" w:hAnsi="黑体" w:eastAsia="黑体" w:cs="黑体"/>
          <w:b/>
          <w:bCs/>
          <w:sz w:val="28"/>
          <w:szCs w:val="36"/>
        </w:rPr>
      </w:pPr>
      <w:bookmarkStart w:id="0" w:name="_Toc26376"/>
      <w:bookmarkStart w:id="1" w:name="_Toc155114607"/>
      <w:bookmarkStart w:id="2" w:name="_Toc241911995"/>
      <w:r>
        <w:rPr>
          <w:rFonts w:hint="eastAsia" w:ascii="黑体" w:hAnsi="黑体" w:eastAsia="黑体" w:cs="黑体"/>
          <w:b/>
          <w:bCs/>
          <w:sz w:val="28"/>
          <w:szCs w:val="36"/>
        </w:rPr>
        <w:t xml:space="preserve">2 </w:t>
      </w:r>
      <w:bookmarkEnd w:id="0"/>
      <w:bookmarkStart w:id="3" w:name="_Toc531004264"/>
      <w:bookmarkStart w:id="4" w:name="_Toc441483964"/>
      <w:bookmarkStart w:id="5" w:name="_Toc531004210"/>
      <w:r>
        <w:rPr>
          <w:rFonts w:hint="eastAsia" w:ascii="黑体" w:hAnsi="黑体" w:eastAsia="黑体" w:cs="黑体"/>
          <w:b/>
          <w:bCs/>
          <w:sz w:val="28"/>
          <w:szCs w:val="36"/>
        </w:rPr>
        <w:t>项目有关内容</w:t>
      </w:r>
      <w:bookmarkEnd w:id="3"/>
      <w:bookmarkEnd w:id="4"/>
      <w:bookmarkEnd w:id="5"/>
    </w:p>
    <w:p w14:paraId="5D9AFC14">
      <w:pPr>
        <w:rPr>
          <w:rFonts w:hint="eastAsia" w:asciiTheme="minorEastAsia" w:hAnsiTheme="minorEastAsia" w:eastAsiaTheme="minorEastAsia" w:cstheme="minorEastAsia"/>
          <w:sz w:val="24"/>
        </w:rPr>
      </w:pPr>
      <w:bookmarkStart w:id="6" w:name="_Toc309593188"/>
      <w:bookmarkStart w:id="7" w:name="_Toc309805583"/>
      <w:bookmarkStart w:id="8" w:name="_Toc312827019"/>
      <w:bookmarkStart w:id="9" w:name="_Toc309593259"/>
      <w:r>
        <w:rPr>
          <w:rFonts w:hint="eastAsia" w:asciiTheme="minorEastAsia" w:hAnsiTheme="minorEastAsia" w:eastAsiaTheme="minorEastAsia" w:cstheme="minorEastAsia"/>
          <w:sz w:val="24"/>
          <w:lang w:val="en-US" w:eastAsia="zh-CN"/>
        </w:rPr>
        <w:t>2.1</w:t>
      </w:r>
      <w:r>
        <w:rPr>
          <w:rFonts w:hint="eastAsia" w:asciiTheme="minorEastAsia" w:hAnsiTheme="minorEastAsia" w:eastAsiaTheme="minorEastAsia" w:cstheme="minorEastAsia"/>
          <w:sz w:val="24"/>
        </w:rPr>
        <w:t>项目名称</w:t>
      </w:r>
      <w:bookmarkEnd w:id="6"/>
      <w:bookmarkEnd w:id="7"/>
      <w:bookmarkEnd w:id="8"/>
      <w:bookmarkEnd w:id="9"/>
    </w:p>
    <w:p w14:paraId="68CA338C">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断路器分合闸线圈电流波形防拒动分析演示教学装置研发</w:t>
      </w:r>
    </w:p>
    <w:p w14:paraId="0063F22A">
      <w:pPr>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2.</w:t>
      </w:r>
      <w:r>
        <w:rPr>
          <w:rFonts w:hint="eastAsia" w:asciiTheme="minorEastAsia" w:hAnsiTheme="minorEastAsia" w:eastAsiaTheme="minorEastAsia" w:cstheme="minorEastAsia"/>
          <w:sz w:val="24"/>
          <w:lang w:val="en-US" w:eastAsia="zh-CN"/>
        </w:rPr>
        <w:t>2</w:t>
      </w:r>
      <w:r>
        <w:rPr>
          <w:rFonts w:hint="eastAsia" w:asciiTheme="minorEastAsia" w:hAnsiTheme="minorEastAsia" w:eastAsiaTheme="minorEastAsia" w:cstheme="minorEastAsia"/>
          <w:sz w:val="24"/>
        </w:rPr>
        <w:t>项目</w:t>
      </w:r>
      <w:r>
        <w:rPr>
          <w:rFonts w:hint="eastAsia" w:asciiTheme="minorEastAsia" w:hAnsiTheme="minorEastAsia" w:eastAsiaTheme="minorEastAsia" w:cstheme="minorEastAsia"/>
          <w:sz w:val="24"/>
          <w:lang w:val="en-US" w:eastAsia="zh-CN"/>
        </w:rPr>
        <w:t>内容</w:t>
      </w:r>
    </w:p>
    <w:bookmarkEnd w:id="1"/>
    <w:bookmarkEnd w:id="2"/>
    <w:p w14:paraId="20DBEF13">
      <w:pPr>
        <w:rPr>
          <w:rFonts w:hint="eastAsia" w:asciiTheme="minorEastAsia" w:hAnsiTheme="minorEastAsia" w:eastAsiaTheme="minorEastAsia" w:cstheme="minorEastAsia"/>
          <w:sz w:val="24"/>
        </w:rPr>
      </w:pPr>
      <w:bookmarkStart w:id="10" w:name="_Toc39753999"/>
      <w:bookmarkStart w:id="11" w:name="_Toc22304900"/>
      <w:bookmarkStart w:id="12" w:name="_Toc20556"/>
      <w:bookmarkStart w:id="13" w:name="_Toc384340980"/>
      <w:bookmarkStart w:id="14" w:name="_Toc39753342"/>
      <w:r>
        <w:rPr>
          <w:rFonts w:hint="eastAsia" w:asciiTheme="minorEastAsia" w:hAnsiTheme="minorEastAsia" w:eastAsiaTheme="minorEastAsia" w:cstheme="minorEastAsia"/>
          <w:sz w:val="24"/>
        </w:rPr>
        <w:t>本项目</w:t>
      </w:r>
      <w:r>
        <w:rPr>
          <w:rFonts w:hint="eastAsia" w:asciiTheme="minorEastAsia" w:hAnsiTheme="minorEastAsia" w:eastAsiaTheme="minorEastAsia" w:cstheme="minorEastAsia"/>
          <w:sz w:val="24"/>
          <w:lang w:val="en-US" w:eastAsia="zh-CN"/>
        </w:rPr>
        <w:t>根据</w:t>
      </w:r>
      <w:r>
        <w:rPr>
          <w:rFonts w:hint="eastAsia" w:asciiTheme="minorEastAsia" w:hAnsiTheme="minorEastAsia" w:eastAsiaTheme="minorEastAsia" w:cstheme="minorEastAsia"/>
          <w:sz w:val="24"/>
        </w:rPr>
        <w:t>南网公司</w:t>
      </w:r>
      <w:r>
        <w:rPr>
          <w:rFonts w:hint="eastAsia" w:asciiTheme="minorEastAsia" w:hAnsiTheme="minorEastAsia" w:eastAsiaTheme="minorEastAsia" w:cstheme="minorEastAsia"/>
          <w:sz w:val="24"/>
          <w:lang w:val="en-US" w:eastAsia="zh-CN"/>
        </w:rPr>
        <w:t>近年来</w:t>
      </w:r>
      <w:r>
        <w:rPr>
          <w:rFonts w:hint="eastAsia" w:asciiTheme="minorEastAsia" w:hAnsiTheme="minorEastAsia" w:eastAsiaTheme="minorEastAsia" w:cstheme="minorEastAsia"/>
          <w:sz w:val="24"/>
        </w:rPr>
        <w:t>多次发生断路器拒动导致下级变电站全站失压的重大事件</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lang w:val="en-US" w:eastAsia="zh-CN"/>
        </w:rPr>
        <w:t>旨在提高检修人员对分合闸线圈复杂工况下的分析水平，助力公司断路器防拒动检查工作</w:t>
      </w:r>
      <w:r>
        <w:rPr>
          <w:rFonts w:hint="eastAsia" w:asciiTheme="minorEastAsia" w:hAnsiTheme="minorEastAsia" w:eastAsiaTheme="minorEastAsia" w:cstheme="minorEastAsia"/>
          <w:sz w:val="24"/>
        </w:rPr>
        <w:t>开展</w:t>
      </w:r>
      <w:r>
        <w:rPr>
          <w:rFonts w:hint="eastAsia" w:asciiTheme="minorEastAsia" w:hAnsiTheme="minorEastAsia" w:eastAsiaTheme="minorEastAsia" w:cstheme="minorEastAsia"/>
          <w:sz w:val="24"/>
          <w:lang w:val="en-US" w:eastAsia="zh-CN"/>
        </w:rPr>
        <w:t>装置研发</w:t>
      </w:r>
      <w:r>
        <w:rPr>
          <w:rFonts w:hint="eastAsia" w:asciiTheme="minorEastAsia" w:hAnsiTheme="minorEastAsia" w:eastAsiaTheme="minorEastAsia" w:cstheme="minorEastAsia"/>
          <w:sz w:val="24"/>
        </w:rPr>
        <w:t>：</w:t>
      </w:r>
    </w:p>
    <w:p w14:paraId="599F976C">
      <w:pPr>
        <w:rPr>
          <w:rFonts w:hint="eastAsia" w:ascii="宋体" w:hAnsi="宋体" w:eastAsia="宋体" w:cs="宋体"/>
          <w:b w:val="0"/>
          <w:bCs/>
          <w:color w:val="auto"/>
          <w:sz w:val="24"/>
          <w:szCs w:val="24"/>
        </w:rPr>
      </w:pPr>
      <w:r>
        <w:rPr>
          <w:rFonts w:hint="eastAsia" w:asciiTheme="minorEastAsia" w:hAnsiTheme="minorEastAsia" w:eastAsiaTheme="minorEastAsia" w:cstheme="minorEastAsia"/>
          <w:sz w:val="24"/>
          <w:lang w:val="en-US" w:eastAsia="zh-CN"/>
        </w:rPr>
        <w:t>断路器是电网中非常重要的设备，它担负着承载正常运行电流和切断故障电流的重任，断路器的安全健康运行，是保证电网安全稳定的重要前提。近年来，南网公司多次发生断路器拒动导致下级变电站全站失压的重大事件，公司对断路器操作机构防拒动检查的要求也越来越高。断路器拒动大部分原因是由分合闸线圈故障或者线圈铁芯卡涩引起的，因此加强对分合闸线圈电流波形畸变的监测并开展分析，是判断分合闸线圈铁芯是否处于正常状态的重要手段。目前关于分合闸线圈电流波形的分析，多数是由理论层面和现场实际测试结果进行的，而且是在分合闸线圈正常状态下去开展分析的，缺少铁芯卡涩等异常工况下的实际分析案例，检修人员对电流波形异常工况下的分析经验不足。因此，为了提高检修人员对分合闸线圈复杂工况下的分析水平，助力公司断路器防拒动检查工作。现开展断路器分合闸线圈电流波形防拒动分析演示教学装置研发，重点对断路器分合闸线圈的各种异常电流波形进行分析，整体提升检修人员的异常分析能力和异常处理能力。</w:t>
      </w:r>
    </w:p>
    <w:p w14:paraId="6E719897">
      <w:pPr>
        <w:spacing w:before="300" w:after="120" w:line="288" w:lineRule="auto"/>
        <w:ind w:left="0"/>
        <w:jc w:val="left"/>
        <w:outlineLvl w:val="2"/>
        <w:rPr>
          <w:rFonts w:hint="eastAsia" w:ascii="宋体" w:hAnsi="宋体" w:eastAsia="宋体" w:cs="宋体"/>
          <w:b w:val="0"/>
          <w:bCs/>
          <w:color w:val="auto"/>
          <w:sz w:val="24"/>
          <w:szCs w:val="24"/>
        </w:rPr>
      </w:pPr>
      <w:bookmarkStart w:id="15" w:name="heading_9"/>
      <w:r>
        <w:rPr>
          <w:rFonts w:hint="eastAsia" w:ascii="宋体" w:hAnsi="宋体" w:eastAsia="宋体" w:cs="宋体"/>
          <w:b w:val="0"/>
          <w:bCs/>
          <w:color w:val="auto"/>
          <w:sz w:val="24"/>
          <w:szCs w:val="24"/>
        </w:rPr>
        <w:t>2.3 项目总体方案</w:t>
      </w:r>
      <w:bookmarkEnd w:id="15"/>
    </w:p>
    <w:p w14:paraId="44074F20">
      <w:pPr>
        <w:ind w:firstLine="480" w:firstLineChars="200"/>
        <w:rPr>
          <w:rFonts w:hint="default" w:asciiTheme="minorEastAsia" w:hAnsiTheme="minorEastAsia" w:eastAsiaTheme="minorEastAsia" w:cstheme="minorEastAsia"/>
          <w:sz w:val="24"/>
          <w:lang w:val="en-US"/>
        </w:rPr>
      </w:pPr>
      <w:r>
        <w:rPr>
          <w:rFonts w:hint="eastAsia" w:ascii="宋体" w:hAnsi="宋体" w:eastAsia="宋体" w:cs="宋体"/>
          <w:b w:val="0"/>
          <w:bCs/>
          <w:color w:val="auto"/>
          <w:sz w:val="24"/>
          <w:szCs w:val="24"/>
        </w:rPr>
        <w:t>本项目研究的内容是断路器分合闸线圈电流波形防拒动分析演示教学装置研发，该装置应可模拟演示断路器分合闸电磁铁间隙变异、电磁铁铁芯卡涩、不同直流电压、分合闸线圈匝间短路工况，并对上述工况下的电流波形进行防拒动分析，提升检修人员电流波形分析的能力，考虑到防拒动工作还包含了速度测试，故该装置应具备断路器速度测试功能接口并配置旋转传感器或陀螺仪传感器。</w:t>
      </w:r>
    </w:p>
    <w:p w14:paraId="6773497A">
      <w:pPr>
        <w:snapToGrid w:val="0"/>
        <w:spacing w:before="120"/>
        <w:rPr>
          <w:rFonts w:ascii="黑体" w:hAnsi="黑体" w:eastAsia="黑体" w:cs="黑体"/>
          <w:b/>
          <w:bCs/>
          <w:sz w:val="28"/>
          <w:szCs w:val="36"/>
        </w:rPr>
      </w:pPr>
      <w:r>
        <w:rPr>
          <w:rFonts w:hint="eastAsia" w:ascii="黑体" w:hAnsi="黑体" w:eastAsia="黑体" w:cs="黑体"/>
          <w:b/>
          <w:bCs/>
          <w:sz w:val="28"/>
          <w:szCs w:val="36"/>
        </w:rPr>
        <w:t xml:space="preserve">3 </w:t>
      </w:r>
      <w:bookmarkEnd w:id="10"/>
      <w:bookmarkEnd w:id="11"/>
      <w:bookmarkEnd w:id="12"/>
      <w:bookmarkEnd w:id="13"/>
      <w:bookmarkEnd w:id="14"/>
      <w:r>
        <w:rPr>
          <w:rFonts w:hint="eastAsia" w:ascii="黑体" w:hAnsi="黑体" w:eastAsia="黑体" w:cs="黑体"/>
          <w:b/>
          <w:bCs/>
          <w:sz w:val="28"/>
          <w:szCs w:val="36"/>
        </w:rPr>
        <w:t>总体要求</w:t>
      </w:r>
    </w:p>
    <w:p w14:paraId="4CD6B8C4">
      <w:pPr>
        <w:adjustRightInd w:val="0"/>
        <w:snapToGrid w:val="0"/>
        <w:rPr>
          <w:rFonts w:asciiTheme="minorEastAsia" w:hAnsiTheme="minorEastAsia" w:eastAsiaTheme="minorEastAsia" w:cstheme="minorEastAsia"/>
          <w:sz w:val="24"/>
        </w:rPr>
      </w:pPr>
      <w:bookmarkStart w:id="16" w:name="_Toc457986926"/>
      <w:bookmarkStart w:id="17" w:name="_Toc448828694"/>
      <w:bookmarkStart w:id="18" w:name="_Toc455373921"/>
      <w:bookmarkStart w:id="19" w:name="_Toc241912000"/>
      <w:bookmarkStart w:id="20" w:name="_Toc114253693"/>
      <w:bookmarkStart w:id="21" w:name="_Toc482581219"/>
      <w:bookmarkStart w:id="22" w:name="_Toc457979127"/>
      <w:bookmarkStart w:id="23" w:name="_Toc146182538"/>
      <w:bookmarkStart w:id="24" w:name="_Toc459534976"/>
      <w:bookmarkStart w:id="25" w:name="_Toc155114612"/>
      <w:bookmarkStart w:id="26" w:name="_Toc455543289"/>
      <w:r>
        <w:rPr>
          <w:rFonts w:hint="eastAsia" w:asciiTheme="minorEastAsia" w:hAnsiTheme="minorEastAsia" w:eastAsiaTheme="minorEastAsia" w:cstheme="minorEastAsia"/>
          <w:sz w:val="24"/>
        </w:rPr>
        <w:t>3.1 除本规范书特殊规定外，投标方所提供的服务均按规定的标准和规程的最新版本执行。如果这些标准内容有矛盾时，应按最高标准的条款执行或按双方商定的标准执行。如果投标方选用本规范书规定以外的标准时，则需提交替换标准供审查和分析。仅在投标方已证明替换标准相当或优于规范书规定的标准，并从招标方处获得书面的认可才能使用。提交供审查的标准应为中文或英文版本。</w:t>
      </w:r>
    </w:p>
    <w:p w14:paraId="3A874C18">
      <w:pPr>
        <w:adjustRightInd w:val="0"/>
        <w:snapToGrid w:val="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3.2 主要引用标准如下：</w:t>
      </w:r>
    </w:p>
    <w:p w14:paraId="49F5CBD7">
      <w:pPr>
        <w:adjustRightInd w:val="0"/>
        <w:snapToGrid w:val="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Q/CSG 2153002《南方电网安全工器具管理细则》</w:t>
      </w:r>
    </w:p>
    <w:p w14:paraId="3D950E51">
      <w:pPr>
        <w:adjustRightInd w:val="0"/>
        <w:snapToGrid w:val="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DL/T</w:t>
      </w:r>
      <w:r>
        <w:rPr>
          <w:rFonts w:hint="eastAsia" w:asciiTheme="minorEastAsia" w:hAnsiTheme="minorEastAsia" w:eastAsiaTheme="minorEastAsia" w:cstheme="minorEastAsia"/>
          <w:sz w:val="24"/>
          <w:lang w:val="en-US" w:eastAsia="zh-CN"/>
        </w:rPr>
        <w:t xml:space="preserve"> </w:t>
      </w:r>
      <w:r>
        <w:rPr>
          <w:rFonts w:hint="eastAsia" w:asciiTheme="minorEastAsia" w:hAnsiTheme="minorEastAsia" w:eastAsiaTheme="minorEastAsia" w:cstheme="minorEastAsia"/>
          <w:sz w:val="24"/>
        </w:rPr>
        <w:t xml:space="preserve"> 1476《电力安全工器具预防性试验规程》</w:t>
      </w:r>
    </w:p>
    <w:p w14:paraId="4F510109">
      <w:pPr>
        <w:adjustRightInd w:val="0"/>
        <w:snapToGrid w:val="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GB/T 6379.4《测量方法与结果的准确度（正确度与精密度）》</w:t>
      </w:r>
    </w:p>
    <w:p w14:paraId="773D143C">
      <w:pPr>
        <w:adjustRightInd w:val="0"/>
        <w:snapToGrid w:val="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Q/CSG1205056.1</w:t>
      </w:r>
      <w:r>
        <w:rPr>
          <w:rFonts w:hint="eastAsia" w:asciiTheme="minorEastAsia" w:hAnsiTheme="minorEastAsia" w:eastAsiaTheme="minorEastAsia" w:cstheme="minorEastAsia"/>
          <w:sz w:val="24"/>
          <w:lang w:val="en-US" w:eastAsia="zh-CN"/>
        </w:rPr>
        <w:t xml:space="preserve"> </w:t>
      </w:r>
      <w:r>
        <w:rPr>
          <w:rFonts w:hint="eastAsia" w:asciiTheme="minorEastAsia" w:hAnsiTheme="minorEastAsia" w:eastAsiaTheme="minorEastAsia" w:cstheme="minorEastAsia"/>
          <w:sz w:val="24"/>
        </w:rPr>
        <w:t>《中国南方电网有限责任公司电力安全工作规程第1部分：发电厂和变电站部分》</w:t>
      </w:r>
    </w:p>
    <w:p w14:paraId="09D92778">
      <w:r>
        <w:rPr>
          <w:rFonts w:hint="eastAsia" w:ascii="Times New Roman" w:hAnsi="Times New Roman"/>
          <w:szCs w:val="21"/>
        </w:rPr>
        <w:t>注：上述标准是招标方</w:t>
      </w:r>
      <w:r>
        <w:rPr>
          <w:rFonts w:hint="eastAsia" w:ascii="Times New Roman" w:hAnsi="Times New Roman"/>
          <w:szCs w:val="21"/>
          <w:lang w:val="en-US" w:eastAsia="zh-CN"/>
        </w:rPr>
        <w:t>基本</w:t>
      </w:r>
      <w:r>
        <w:rPr>
          <w:rFonts w:hint="eastAsia" w:ascii="Times New Roman" w:hAnsi="Times New Roman"/>
          <w:szCs w:val="21"/>
        </w:rPr>
        <w:t>要求。除此标准以外，投标人可以推荐其他标准，但事先必须通过招标方认可，或选择其中较高标准。</w:t>
      </w:r>
    </w:p>
    <w:p w14:paraId="6ACBD1E7">
      <w:pPr>
        <w:snapToGrid w:val="0"/>
        <w:spacing w:before="120"/>
        <w:rPr>
          <w:rFonts w:ascii="黑体" w:hAnsi="黑体" w:eastAsia="黑体" w:cs="黑体"/>
          <w:b/>
          <w:bCs/>
          <w:sz w:val="28"/>
          <w:szCs w:val="36"/>
        </w:rPr>
      </w:pPr>
      <w:bookmarkStart w:id="27" w:name="_Toc282993253"/>
      <w:bookmarkStart w:id="28" w:name="_Toc22304904"/>
      <w:bookmarkStart w:id="29" w:name="_Toc39753345"/>
      <w:bookmarkStart w:id="30" w:name="_Toc32408"/>
      <w:bookmarkStart w:id="31" w:name="_Toc39754002"/>
      <w:bookmarkStart w:id="32" w:name="_Toc384340984"/>
      <w:r>
        <w:rPr>
          <w:rFonts w:hint="eastAsia" w:ascii="黑体" w:hAnsi="黑体" w:eastAsia="黑体" w:cs="黑体"/>
          <w:b/>
          <w:bCs/>
          <w:sz w:val="28"/>
          <w:szCs w:val="36"/>
        </w:rPr>
        <w:t>4 技术要求</w:t>
      </w:r>
      <w:bookmarkEnd w:id="27"/>
      <w:bookmarkEnd w:id="28"/>
      <w:bookmarkEnd w:id="29"/>
      <w:bookmarkEnd w:id="30"/>
      <w:bookmarkEnd w:id="31"/>
      <w:bookmarkEnd w:id="32"/>
    </w:p>
    <w:p w14:paraId="4CC7155C">
      <w:pPr>
        <w:adjustRightInd w:val="0"/>
        <w:snapToGrid w:val="0"/>
        <w:rPr>
          <w:rFonts w:ascii="宋体" w:hAnsi="宋体"/>
          <w:sz w:val="24"/>
        </w:rPr>
      </w:pPr>
      <w:r>
        <w:rPr>
          <w:rFonts w:hint="eastAsia" w:ascii="宋体" w:hAnsi="宋体"/>
          <w:sz w:val="24"/>
        </w:rPr>
        <w:t>4.</w:t>
      </w:r>
      <w:r>
        <w:rPr>
          <w:rFonts w:hint="eastAsia" w:ascii="宋体" w:hAnsi="宋体"/>
          <w:sz w:val="24"/>
          <w:lang w:val="en-US" w:eastAsia="zh-CN"/>
        </w:rPr>
        <w:t>1</w:t>
      </w:r>
      <w:r>
        <w:rPr>
          <w:rFonts w:hint="eastAsia" w:ascii="宋体" w:hAnsi="宋体"/>
          <w:sz w:val="24"/>
        </w:rPr>
        <w:t xml:space="preserve"> 研究内容</w:t>
      </w:r>
    </w:p>
    <w:p w14:paraId="0C8B42D7">
      <w:pPr>
        <w:adjustRightInd w:val="0"/>
        <w:snapToGrid w:val="0"/>
        <w:rPr>
          <w:rFonts w:ascii="宋体" w:hAnsi="宋体"/>
          <w:sz w:val="24"/>
        </w:rPr>
      </w:pPr>
      <w:r>
        <w:rPr>
          <w:rFonts w:hint="eastAsia" w:ascii="宋体" w:hAnsi="宋体"/>
          <w:sz w:val="24"/>
        </w:rPr>
        <w:t>4.</w:t>
      </w:r>
      <w:r>
        <w:rPr>
          <w:rFonts w:hint="eastAsia" w:ascii="宋体" w:hAnsi="宋体"/>
          <w:sz w:val="24"/>
          <w:lang w:val="en-US" w:eastAsia="zh-CN"/>
        </w:rPr>
        <w:t>1</w:t>
      </w:r>
      <w:r>
        <w:rPr>
          <w:rFonts w:hint="eastAsia" w:ascii="宋体" w:hAnsi="宋体"/>
          <w:sz w:val="24"/>
        </w:rPr>
        <w:t>.1 主要项目内容</w:t>
      </w:r>
    </w:p>
    <w:p w14:paraId="558FF278">
      <w:pPr>
        <w:adjustRightInd w:val="0"/>
        <w:snapToGrid w:val="0"/>
        <w:rPr>
          <w:rFonts w:ascii="宋体" w:hAnsi="宋体"/>
          <w:sz w:val="24"/>
        </w:rPr>
      </w:pPr>
      <w:r>
        <w:rPr>
          <w:rFonts w:hint="eastAsia" w:ascii="宋体" w:hAnsi="宋体"/>
          <w:sz w:val="24"/>
        </w:rPr>
        <w:t>主要项目内容按照以下工作内容及要求开展：</w:t>
      </w:r>
    </w:p>
    <w:tbl>
      <w:tblPr>
        <w:tblStyle w:val="14"/>
        <w:tblW w:w="85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5"/>
        <w:gridCol w:w="2985"/>
        <w:gridCol w:w="2363"/>
        <w:gridCol w:w="2357"/>
      </w:tblGrid>
      <w:tr w14:paraId="4527D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15" w:type="dxa"/>
            <w:vAlign w:val="center"/>
          </w:tcPr>
          <w:p w14:paraId="0E55C08F">
            <w:pPr>
              <w:spacing w:line="240" w:lineRule="auto"/>
              <w:jc w:val="center"/>
              <w:rPr>
                <w:rFonts w:ascii="宋体" w:hAnsi="宋体" w:cs="宋体"/>
                <w:b/>
                <w:bCs/>
                <w:szCs w:val="21"/>
              </w:rPr>
            </w:pPr>
            <w:r>
              <w:rPr>
                <w:rFonts w:hint="eastAsia" w:ascii="宋体" w:hAnsi="宋体" w:cs="宋体"/>
                <w:b/>
                <w:bCs/>
                <w:szCs w:val="21"/>
              </w:rPr>
              <w:t>序号</w:t>
            </w:r>
          </w:p>
        </w:tc>
        <w:tc>
          <w:tcPr>
            <w:tcW w:w="2985" w:type="dxa"/>
            <w:vAlign w:val="center"/>
          </w:tcPr>
          <w:p w14:paraId="0AC8F50F">
            <w:pPr>
              <w:spacing w:line="240" w:lineRule="auto"/>
              <w:jc w:val="center"/>
              <w:rPr>
                <w:rFonts w:ascii="宋体" w:hAnsi="宋体" w:cs="宋体"/>
                <w:b/>
                <w:bCs/>
                <w:szCs w:val="21"/>
              </w:rPr>
            </w:pPr>
            <w:r>
              <w:rPr>
                <w:rFonts w:hint="eastAsia" w:ascii="宋体" w:hAnsi="宋体" w:cs="宋体"/>
                <w:b/>
                <w:bCs/>
                <w:szCs w:val="21"/>
              </w:rPr>
              <w:t>主要项目内容</w:t>
            </w:r>
          </w:p>
        </w:tc>
        <w:tc>
          <w:tcPr>
            <w:tcW w:w="2363" w:type="dxa"/>
            <w:vAlign w:val="center"/>
          </w:tcPr>
          <w:p w14:paraId="5A6E0263">
            <w:pPr>
              <w:spacing w:line="240" w:lineRule="auto"/>
              <w:jc w:val="center"/>
              <w:rPr>
                <w:rFonts w:ascii="宋体" w:hAnsi="宋体" w:cs="宋体"/>
                <w:b/>
                <w:bCs/>
                <w:szCs w:val="21"/>
              </w:rPr>
            </w:pPr>
            <w:r>
              <w:rPr>
                <w:rFonts w:hint="eastAsia" w:ascii="宋体" w:hAnsi="宋体" w:cs="宋体"/>
                <w:b/>
                <w:bCs/>
                <w:szCs w:val="21"/>
              </w:rPr>
              <w:t>交付物</w:t>
            </w:r>
          </w:p>
        </w:tc>
        <w:tc>
          <w:tcPr>
            <w:tcW w:w="2357" w:type="dxa"/>
            <w:vAlign w:val="center"/>
          </w:tcPr>
          <w:p w14:paraId="495E63CF">
            <w:pPr>
              <w:spacing w:line="240" w:lineRule="auto"/>
              <w:jc w:val="center"/>
              <w:rPr>
                <w:rFonts w:ascii="宋体" w:hAnsi="宋体" w:cs="宋体"/>
                <w:b/>
                <w:bCs/>
                <w:szCs w:val="21"/>
              </w:rPr>
            </w:pPr>
            <w:r>
              <w:rPr>
                <w:rFonts w:hint="eastAsia" w:ascii="宋体" w:hAnsi="宋体" w:cs="宋体"/>
                <w:b/>
                <w:bCs/>
                <w:szCs w:val="21"/>
              </w:rPr>
              <w:t>时间要求</w:t>
            </w:r>
          </w:p>
        </w:tc>
      </w:tr>
      <w:tr w14:paraId="358CB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15" w:type="dxa"/>
            <w:shd w:val="clear" w:color="auto" w:fill="auto"/>
            <w:vAlign w:val="top"/>
          </w:tcPr>
          <w:p w14:paraId="25C39E5D">
            <w:pPr>
              <w:spacing w:before="120" w:after="120" w:line="288" w:lineRule="auto"/>
              <w:ind w:left="0" w:leftChars="0"/>
              <w:jc w:val="center"/>
              <w:rPr>
                <w:rFonts w:hint="eastAsia" w:ascii="宋体" w:hAnsi="宋体" w:eastAsia="宋体" w:cs="宋体"/>
                <w:sz w:val="21"/>
                <w:szCs w:val="21"/>
              </w:rPr>
            </w:pPr>
            <w:r>
              <w:rPr>
                <w:rFonts w:hint="eastAsia" w:ascii="宋体" w:hAnsi="宋体" w:eastAsia="宋体" w:cs="宋体"/>
                <w:sz w:val="21"/>
                <w:szCs w:val="21"/>
              </w:rPr>
              <w:t>1</w:t>
            </w:r>
          </w:p>
        </w:tc>
        <w:tc>
          <w:tcPr>
            <w:tcW w:w="2985" w:type="dxa"/>
            <w:shd w:val="clear" w:color="auto" w:fill="auto"/>
            <w:vAlign w:val="top"/>
          </w:tcPr>
          <w:p w14:paraId="5C9F2C67">
            <w:pPr>
              <w:spacing w:before="120" w:after="120" w:line="288" w:lineRule="auto"/>
              <w:ind w:left="0" w:leftChars="0"/>
              <w:jc w:val="center"/>
              <w:rPr>
                <w:rFonts w:hint="eastAsia" w:ascii="宋体" w:hAnsi="宋体" w:eastAsia="宋体" w:cs="宋体"/>
                <w:sz w:val="21"/>
                <w:szCs w:val="21"/>
              </w:rPr>
            </w:pPr>
            <w:r>
              <w:rPr>
                <w:rFonts w:hint="eastAsia" w:ascii="宋体" w:hAnsi="宋体" w:cs="宋体"/>
                <w:sz w:val="21"/>
                <w:szCs w:val="21"/>
                <w:lang w:val="en-US" w:eastAsia="zh-CN"/>
              </w:rPr>
              <w:t>配合开展</w:t>
            </w:r>
            <w:r>
              <w:rPr>
                <w:rFonts w:hint="eastAsia" w:ascii="宋体" w:hAnsi="宋体" w:eastAsia="宋体" w:cs="宋体"/>
                <w:sz w:val="21"/>
                <w:szCs w:val="21"/>
              </w:rPr>
              <w:t>断路器分合闸线圈电流波形防拒动分析演示教学装置研发</w:t>
            </w:r>
            <w:r>
              <w:rPr>
                <w:rFonts w:hint="eastAsia" w:ascii="宋体" w:hAnsi="宋体" w:cs="宋体"/>
                <w:sz w:val="21"/>
                <w:szCs w:val="21"/>
                <w:lang w:eastAsia="zh-CN"/>
              </w:rPr>
              <w:t>、</w:t>
            </w:r>
            <w:r>
              <w:rPr>
                <w:rFonts w:hint="eastAsia" w:ascii="宋体" w:hAnsi="宋体" w:cs="宋体"/>
                <w:sz w:val="21"/>
                <w:szCs w:val="21"/>
                <w:lang w:val="en-US" w:eastAsia="zh-CN"/>
              </w:rPr>
              <w:t>开展</w:t>
            </w:r>
            <w:r>
              <w:rPr>
                <w:rFonts w:hint="eastAsia" w:ascii="宋体" w:hAnsi="宋体" w:eastAsia="宋体" w:cs="宋体"/>
                <w:sz w:val="21"/>
                <w:szCs w:val="21"/>
              </w:rPr>
              <w:t>样机试制、结构优化、全套图纸编制</w:t>
            </w:r>
          </w:p>
        </w:tc>
        <w:tc>
          <w:tcPr>
            <w:tcW w:w="2363" w:type="dxa"/>
            <w:shd w:val="clear" w:color="auto" w:fill="auto"/>
            <w:vAlign w:val="top"/>
          </w:tcPr>
          <w:p w14:paraId="6177445B">
            <w:pPr>
              <w:spacing w:before="120" w:after="120" w:line="288" w:lineRule="auto"/>
              <w:ind w:left="0" w:leftChars="0"/>
              <w:jc w:val="center"/>
              <w:rPr>
                <w:rFonts w:hint="eastAsia" w:ascii="宋体" w:hAnsi="宋体" w:eastAsia="宋体" w:cs="宋体"/>
                <w:sz w:val="21"/>
                <w:szCs w:val="21"/>
              </w:rPr>
            </w:pPr>
            <w:r>
              <w:rPr>
                <w:rFonts w:hint="eastAsia" w:ascii="宋体" w:hAnsi="宋体" w:eastAsia="宋体" w:cs="宋体"/>
                <w:sz w:val="21"/>
                <w:szCs w:val="21"/>
              </w:rPr>
              <w:t>完整</w:t>
            </w:r>
            <w:r>
              <w:rPr>
                <w:rFonts w:hint="eastAsia" w:ascii="宋体" w:hAnsi="宋体" w:cs="宋体"/>
                <w:sz w:val="21"/>
                <w:szCs w:val="21"/>
                <w:lang w:val="en-US" w:eastAsia="zh-CN"/>
              </w:rPr>
              <w:t>教学装置</w:t>
            </w:r>
            <w:r>
              <w:rPr>
                <w:rFonts w:hint="eastAsia" w:ascii="宋体" w:hAnsi="宋体" w:eastAsia="宋体" w:cs="宋体"/>
                <w:sz w:val="21"/>
                <w:szCs w:val="21"/>
              </w:rPr>
              <w:t xml:space="preserve"> 1 套、全套设计加工图纸</w:t>
            </w:r>
          </w:p>
        </w:tc>
        <w:tc>
          <w:tcPr>
            <w:tcW w:w="2357" w:type="dxa"/>
            <w:vAlign w:val="top"/>
          </w:tcPr>
          <w:p w14:paraId="37864833">
            <w:pPr>
              <w:spacing w:before="120" w:after="120" w:line="288" w:lineRule="auto"/>
              <w:ind w:left="0" w:leftChars="0"/>
              <w:jc w:val="center"/>
              <w:rPr>
                <w:rFonts w:hint="eastAsia" w:ascii="宋体" w:hAnsi="宋体" w:eastAsia="宋体" w:cs="宋体"/>
                <w:sz w:val="21"/>
                <w:szCs w:val="21"/>
                <w:lang w:val="en-US" w:eastAsia="zh-CN"/>
              </w:rPr>
            </w:pPr>
            <w:r>
              <w:rPr>
                <w:rFonts w:hint="eastAsia" w:ascii="宋体" w:hAnsi="宋体" w:eastAsia="宋体" w:cs="宋体"/>
                <w:sz w:val="21"/>
                <w:szCs w:val="21"/>
              </w:rPr>
              <w:t>2026 年 1</w:t>
            </w:r>
            <w:r>
              <w:rPr>
                <w:rFonts w:hint="eastAsia" w:ascii="宋体" w:hAnsi="宋体" w:eastAsia="宋体" w:cs="宋体"/>
                <w:sz w:val="21"/>
                <w:szCs w:val="21"/>
                <w:lang w:val="en-US" w:eastAsia="zh-CN"/>
              </w:rPr>
              <w:t>0</w:t>
            </w:r>
            <w:r>
              <w:rPr>
                <w:rFonts w:hint="eastAsia" w:ascii="宋体" w:hAnsi="宋体" w:eastAsia="宋体" w:cs="宋体"/>
                <w:sz w:val="21"/>
                <w:szCs w:val="21"/>
              </w:rPr>
              <w:t xml:space="preserve"> 月</w:t>
            </w:r>
          </w:p>
        </w:tc>
      </w:tr>
      <w:tr w14:paraId="5899C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15" w:type="dxa"/>
            <w:shd w:val="clear" w:color="auto" w:fill="auto"/>
            <w:vAlign w:val="top"/>
          </w:tcPr>
          <w:p w14:paraId="4D608D8F">
            <w:pPr>
              <w:spacing w:before="120" w:after="120" w:line="288" w:lineRule="auto"/>
              <w:ind w:left="0" w:leftChars="0"/>
              <w:jc w:val="center"/>
              <w:rPr>
                <w:rFonts w:hint="eastAsia" w:ascii="宋体" w:hAnsi="宋体" w:eastAsia="宋体" w:cs="宋体"/>
                <w:sz w:val="21"/>
                <w:szCs w:val="21"/>
                <w:lang w:eastAsia="zh-CN"/>
              </w:rPr>
            </w:pPr>
            <w:r>
              <w:rPr>
                <w:rFonts w:hint="eastAsia" w:ascii="宋体" w:hAnsi="宋体" w:cs="宋体"/>
                <w:sz w:val="21"/>
                <w:szCs w:val="21"/>
                <w:lang w:val="en-US" w:eastAsia="zh-CN"/>
              </w:rPr>
              <w:t>2</w:t>
            </w:r>
          </w:p>
        </w:tc>
        <w:tc>
          <w:tcPr>
            <w:tcW w:w="2985" w:type="dxa"/>
            <w:shd w:val="clear" w:color="auto" w:fill="auto"/>
            <w:vAlign w:val="top"/>
          </w:tcPr>
          <w:p w14:paraId="0C239792">
            <w:pPr>
              <w:spacing w:before="120" w:after="120" w:line="288" w:lineRule="auto"/>
              <w:ind w:left="0" w:leftChars="0"/>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配合开展专利编制</w:t>
            </w:r>
          </w:p>
        </w:tc>
        <w:tc>
          <w:tcPr>
            <w:tcW w:w="2363" w:type="dxa"/>
            <w:shd w:val="clear" w:color="auto" w:fill="auto"/>
            <w:vAlign w:val="top"/>
          </w:tcPr>
          <w:p w14:paraId="4C7A6FBD">
            <w:pPr>
              <w:spacing w:before="120" w:after="120" w:line="288" w:lineRule="auto"/>
              <w:ind w:left="0" w:leftChars="0"/>
              <w:jc w:val="center"/>
              <w:rPr>
                <w:rFonts w:hint="eastAsia" w:ascii="宋体" w:hAnsi="宋体" w:eastAsia="宋体" w:cs="宋体"/>
                <w:sz w:val="21"/>
                <w:szCs w:val="21"/>
              </w:rPr>
            </w:pPr>
            <w:r>
              <w:rPr>
                <w:rFonts w:hint="eastAsia" w:ascii="宋体" w:hAnsi="宋体" w:eastAsia="宋体" w:cs="宋体"/>
                <w:sz w:val="21"/>
                <w:szCs w:val="21"/>
              </w:rPr>
              <w:t>专利受理通知书</w:t>
            </w:r>
          </w:p>
        </w:tc>
        <w:tc>
          <w:tcPr>
            <w:tcW w:w="2357" w:type="dxa"/>
            <w:vAlign w:val="top"/>
          </w:tcPr>
          <w:p w14:paraId="101D8C3E">
            <w:pPr>
              <w:spacing w:before="120" w:after="120" w:line="288" w:lineRule="auto"/>
              <w:ind w:left="0" w:leftChars="0"/>
              <w:jc w:val="center"/>
              <w:rPr>
                <w:rFonts w:hint="eastAsia" w:ascii="宋体" w:hAnsi="宋体" w:eastAsia="宋体" w:cs="宋体"/>
                <w:sz w:val="21"/>
                <w:szCs w:val="21"/>
              </w:rPr>
            </w:pPr>
            <w:r>
              <w:rPr>
                <w:rFonts w:hint="eastAsia" w:ascii="宋体" w:hAnsi="宋体" w:eastAsia="宋体" w:cs="宋体"/>
                <w:sz w:val="21"/>
                <w:szCs w:val="21"/>
              </w:rPr>
              <w:t>2026 年 1</w:t>
            </w:r>
            <w:r>
              <w:rPr>
                <w:rFonts w:hint="eastAsia" w:ascii="宋体" w:hAnsi="宋体" w:cs="宋体"/>
                <w:sz w:val="21"/>
                <w:szCs w:val="21"/>
                <w:lang w:val="en-US" w:eastAsia="zh-CN"/>
              </w:rPr>
              <w:t>1</w:t>
            </w:r>
            <w:r>
              <w:rPr>
                <w:rFonts w:hint="eastAsia" w:ascii="宋体" w:hAnsi="宋体" w:eastAsia="宋体" w:cs="宋体"/>
                <w:sz w:val="21"/>
                <w:szCs w:val="21"/>
              </w:rPr>
              <w:t>月</w:t>
            </w:r>
          </w:p>
        </w:tc>
      </w:tr>
      <w:tr w14:paraId="233C4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15" w:type="dxa"/>
            <w:shd w:val="clear" w:color="auto" w:fill="auto"/>
            <w:vAlign w:val="top"/>
          </w:tcPr>
          <w:p w14:paraId="2A9CFB93">
            <w:pPr>
              <w:spacing w:before="120" w:after="120" w:line="288" w:lineRule="auto"/>
              <w:ind w:left="0" w:leftChars="0"/>
              <w:jc w:val="center"/>
              <w:rPr>
                <w:rFonts w:hint="eastAsia" w:ascii="宋体" w:hAnsi="宋体" w:eastAsia="宋体" w:cs="宋体"/>
                <w:sz w:val="21"/>
                <w:szCs w:val="21"/>
                <w:lang w:eastAsia="zh-CN"/>
              </w:rPr>
            </w:pPr>
            <w:r>
              <w:rPr>
                <w:rFonts w:hint="eastAsia" w:ascii="宋体" w:hAnsi="宋体" w:cs="宋体"/>
                <w:sz w:val="21"/>
                <w:szCs w:val="21"/>
                <w:lang w:val="en-US" w:eastAsia="zh-CN"/>
              </w:rPr>
              <w:t>3</w:t>
            </w:r>
          </w:p>
        </w:tc>
        <w:tc>
          <w:tcPr>
            <w:tcW w:w="2985" w:type="dxa"/>
            <w:shd w:val="clear" w:color="auto" w:fill="auto"/>
            <w:vAlign w:val="top"/>
          </w:tcPr>
          <w:p w14:paraId="567E9AB9">
            <w:pPr>
              <w:spacing w:before="120" w:after="120" w:line="288" w:lineRule="auto"/>
              <w:ind w:left="0" w:leftChars="0"/>
              <w:jc w:val="center"/>
              <w:rPr>
                <w:rFonts w:hint="eastAsia" w:ascii="宋体" w:hAnsi="宋体" w:eastAsia="宋体" w:cs="宋体"/>
                <w:sz w:val="21"/>
                <w:szCs w:val="21"/>
              </w:rPr>
            </w:pPr>
            <w:r>
              <w:rPr>
                <w:rFonts w:hint="eastAsia" w:ascii="宋体" w:hAnsi="宋体" w:cs="宋体"/>
                <w:sz w:val="21"/>
                <w:szCs w:val="21"/>
                <w:lang w:val="en-US" w:eastAsia="zh-CN"/>
              </w:rPr>
              <w:t>配合</w:t>
            </w:r>
            <w:r>
              <w:rPr>
                <w:rFonts w:hint="eastAsia" w:ascii="宋体" w:hAnsi="宋体" w:eastAsia="宋体" w:cs="宋体"/>
                <w:sz w:val="21"/>
                <w:szCs w:val="21"/>
              </w:rPr>
              <w:t>项目全流程验收、人员实操培训</w:t>
            </w:r>
          </w:p>
        </w:tc>
        <w:tc>
          <w:tcPr>
            <w:tcW w:w="2363" w:type="dxa"/>
            <w:shd w:val="clear" w:color="auto" w:fill="auto"/>
            <w:vAlign w:val="top"/>
          </w:tcPr>
          <w:p w14:paraId="2AB2C982">
            <w:pPr>
              <w:spacing w:before="120" w:after="120" w:line="288" w:lineRule="auto"/>
              <w:ind w:left="0" w:leftChars="0"/>
              <w:jc w:val="center"/>
              <w:rPr>
                <w:rFonts w:hint="eastAsia" w:ascii="宋体" w:hAnsi="宋体" w:eastAsia="宋体" w:cs="宋体"/>
                <w:sz w:val="21"/>
                <w:szCs w:val="21"/>
              </w:rPr>
            </w:pPr>
            <w:r>
              <w:rPr>
                <w:rFonts w:hint="eastAsia" w:ascii="宋体" w:hAnsi="宋体" w:eastAsia="宋体" w:cs="宋体"/>
                <w:sz w:val="21"/>
                <w:szCs w:val="21"/>
              </w:rPr>
              <w:t>项目结题全套验收资料、作业人员实操培训、</w:t>
            </w:r>
          </w:p>
        </w:tc>
        <w:tc>
          <w:tcPr>
            <w:tcW w:w="2357" w:type="dxa"/>
            <w:vAlign w:val="top"/>
          </w:tcPr>
          <w:p w14:paraId="376FFA25">
            <w:pPr>
              <w:spacing w:before="120" w:after="120" w:line="288" w:lineRule="auto"/>
              <w:ind w:left="0" w:leftChars="0"/>
              <w:jc w:val="center"/>
              <w:rPr>
                <w:rFonts w:hint="eastAsia" w:ascii="宋体" w:hAnsi="宋体" w:eastAsia="宋体" w:cs="宋体"/>
                <w:sz w:val="21"/>
                <w:szCs w:val="21"/>
              </w:rPr>
            </w:pPr>
            <w:r>
              <w:rPr>
                <w:rFonts w:hint="eastAsia" w:ascii="宋体" w:hAnsi="宋体" w:eastAsia="宋体" w:cs="宋体"/>
                <w:sz w:val="21"/>
                <w:szCs w:val="21"/>
              </w:rPr>
              <w:t>2026 年 12 月</w:t>
            </w:r>
          </w:p>
        </w:tc>
      </w:tr>
    </w:tbl>
    <w:p w14:paraId="624F65C0">
      <w:pPr>
        <w:spacing w:before="300" w:after="120" w:line="288" w:lineRule="auto"/>
        <w:ind w:left="0"/>
        <w:jc w:val="left"/>
        <w:outlineLvl w:val="2"/>
        <w:rPr>
          <w:rFonts w:hint="eastAsia" w:ascii="宋体" w:hAnsi="宋体" w:eastAsia="宋体" w:cs="宋体"/>
          <w:b w:val="0"/>
          <w:bCs/>
          <w:color w:val="auto"/>
          <w:sz w:val="24"/>
          <w:szCs w:val="24"/>
        </w:rPr>
      </w:pPr>
      <w:bookmarkStart w:id="33" w:name="heading_15"/>
      <w:r>
        <w:rPr>
          <w:rFonts w:hint="eastAsia" w:ascii="宋体" w:hAnsi="宋体" w:eastAsia="宋体" w:cs="宋体"/>
          <w:b w:val="0"/>
          <w:bCs/>
          <w:color w:val="auto"/>
          <w:sz w:val="24"/>
          <w:szCs w:val="24"/>
        </w:rPr>
        <w:t xml:space="preserve">4.2 </w:t>
      </w:r>
      <w:r>
        <w:rPr>
          <w:rFonts w:hint="eastAsia" w:ascii="宋体" w:hAnsi="宋体" w:cs="宋体"/>
          <w:b w:val="0"/>
          <w:bCs/>
          <w:color w:val="auto"/>
          <w:sz w:val="24"/>
          <w:szCs w:val="24"/>
          <w:lang w:val="en-US" w:eastAsia="zh-CN"/>
        </w:rPr>
        <w:t>装置</w:t>
      </w:r>
      <w:r>
        <w:rPr>
          <w:rFonts w:hint="eastAsia" w:ascii="宋体" w:hAnsi="宋体" w:eastAsia="宋体" w:cs="宋体"/>
          <w:b w:val="0"/>
          <w:bCs/>
          <w:color w:val="auto"/>
          <w:sz w:val="24"/>
          <w:szCs w:val="24"/>
        </w:rPr>
        <w:t>整体设计通用要求</w:t>
      </w:r>
      <w:bookmarkEnd w:id="33"/>
    </w:p>
    <w:p w14:paraId="5D46BA4E">
      <w:pPr>
        <w:spacing w:before="260" w:after="120" w:line="288" w:lineRule="auto"/>
        <w:ind w:left="0"/>
        <w:jc w:val="left"/>
        <w:outlineLvl w:val="3"/>
        <w:rPr>
          <w:rFonts w:hint="eastAsia" w:ascii="宋体" w:hAnsi="宋体" w:eastAsia="宋体" w:cs="宋体"/>
          <w:b w:val="0"/>
          <w:bCs/>
          <w:color w:val="auto"/>
          <w:sz w:val="24"/>
          <w:szCs w:val="24"/>
        </w:rPr>
      </w:pPr>
      <w:bookmarkStart w:id="34" w:name="heading_16"/>
      <w:r>
        <w:rPr>
          <w:rFonts w:hint="eastAsia" w:ascii="宋体" w:hAnsi="宋体" w:eastAsia="宋体" w:cs="宋体"/>
          <w:b w:val="0"/>
          <w:bCs/>
          <w:color w:val="auto"/>
          <w:sz w:val="24"/>
          <w:szCs w:val="24"/>
        </w:rPr>
        <w:t>4.2.1 可靠性</w:t>
      </w:r>
      <w:bookmarkEnd w:id="34"/>
    </w:p>
    <w:p w14:paraId="685619A5">
      <w:pPr>
        <w:numPr>
          <w:ilvl w:val="0"/>
          <w:numId w:val="0"/>
        </w:numPr>
        <w:spacing w:before="120" w:after="120" w:line="288" w:lineRule="auto"/>
        <w:ind w:left="0" w:leftChars="0"/>
        <w:jc w:val="left"/>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1.</w:t>
      </w:r>
      <w:r>
        <w:rPr>
          <w:rFonts w:hint="eastAsia" w:ascii="宋体" w:hAnsi="宋体" w:cs="宋体"/>
          <w:b w:val="0"/>
          <w:bCs/>
          <w:color w:val="auto"/>
          <w:kern w:val="2"/>
          <w:sz w:val="24"/>
          <w:szCs w:val="24"/>
          <w:lang w:val="en-US" w:eastAsia="zh-CN" w:bidi="ar-SA"/>
        </w:rPr>
        <w:t>装置</w:t>
      </w:r>
      <w:r>
        <w:rPr>
          <w:rFonts w:hint="eastAsia" w:ascii="宋体" w:hAnsi="宋体" w:eastAsia="宋体" w:cs="宋体"/>
          <w:b w:val="0"/>
          <w:bCs/>
          <w:color w:val="auto"/>
          <w:kern w:val="2"/>
          <w:sz w:val="24"/>
          <w:szCs w:val="24"/>
          <w:lang w:val="en-US" w:eastAsia="zh-CN" w:bidi="ar-SA"/>
        </w:rPr>
        <w:t>通道采样频率不低于10kHz；电流波形采样率≥10K，准确度±(1%I+0.01A)。</w:t>
      </w:r>
    </w:p>
    <w:p w14:paraId="2D41ECA1">
      <w:pPr>
        <w:numPr>
          <w:ilvl w:val="0"/>
          <w:numId w:val="0"/>
        </w:numPr>
        <w:spacing w:before="120" w:after="120" w:line="288" w:lineRule="auto"/>
        <w:ind w:left="0" w:leftChars="0"/>
        <w:jc w:val="left"/>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2.装置输出电源DC 10～270V DC／20A，瞬时30A，功率4kW</w:t>
      </w:r>
    </w:p>
    <w:p w14:paraId="316BDC4F">
      <w:pPr>
        <w:numPr>
          <w:ilvl w:val="0"/>
          <w:numId w:val="0"/>
        </w:numPr>
        <w:spacing w:before="120" w:after="120" w:line="288" w:lineRule="auto"/>
        <w:ind w:left="0" w:leftChars="0"/>
        <w:jc w:val="left"/>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3.装置（含传感器）具有抗外部干扰的能力，支持检测信号的硬件滤波或数字滤波。</w:t>
      </w:r>
    </w:p>
    <w:p w14:paraId="4858D20C">
      <w:pPr>
        <w:numPr>
          <w:ilvl w:val="0"/>
          <w:numId w:val="0"/>
        </w:numPr>
        <w:spacing w:before="120" w:after="120" w:line="288" w:lineRule="auto"/>
        <w:ind w:left="0" w:leftChars="0"/>
        <w:jc w:val="left"/>
        <w:rPr>
          <w:rFonts w:hint="default"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4.装置具备测量、保存和导出分合闸线圈电流、环境温度的功能。</w:t>
      </w:r>
    </w:p>
    <w:p w14:paraId="088657B7">
      <w:pPr>
        <w:spacing w:before="260" w:after="120" w:line="288" w:lineRule="auto"/>
        <w:ind w:left="0"/>
        <w:jc w:val="left"/>
        <w:outlineLvl w:val="3"/>
        <w:rPr>
          <w:rFonts w:hint="eastAsia" w:ascii="宋体" w:hAnsi="宋体" w:eastAsia="宋体" w:cs="宋体"/>
          <w:b w:val="0"/>
          <w:bCs/>
          <w:color w:val="auto"/>
          <w:sz w:val="24"/>
          <w:szCs w:val="24"/>
        </w:rPr>
      </w:pPr>
      <w:bookmarkStart w:id="35" w:name="heading_17"/>
      <w:r>
        <w:rPr>
          <w:rFonts w:hint="eastAsia" w:ascii="宋体" w:hAnsi="宋体" w:eastAsia="宋体" w:cs="宋体"/>
          <w:b w:val="0"/>
          <w:bCs/>
          <w:color w:val="auto"/>
          <w:sz w:val="24"/>
          <w:szCs w:val="24"/>
        </w:rPr>
        <w:t>4.2.2 人机易用性</w:t>
      </w:r>
      <w:bookmarkEnd w:id="35"/>
    </w:p>
    <w:p w14:paraId="5264402B">
      <w:pPr>
        <w:numPr>
          <w:ilvl w:val="0"/>
          <w:numId w:val="0"/>
        </w:numPr>
        <w:spacing w:before="120" w:after="120" w:line="288" w:lineRule="auto"/>
        <w:ind w:left="0" w:leftChars="0"/>
        <w:jc w:val="left"/>
        <w:rPr>
          <w:rFonts w:hint="default" w:ascii="宋体" w:hAnsi="宋体" w:eastAsia="宋体" w:cs="宋体"/>
          <w:b w:val="0"/>
          <w:bCs/>
          <w:color w:val="auto"/>
          <w:sz w:val="24"/>
          <w:szCs w:val="24"/>
          <w:lang w:val="en-US" w:eastAsia="zh-CN"/>
        </w:rPr>
      </w:pPr>
      <w:r>
        <w:rPr>
          <w:rFonts w:hint="eastAsia" w:ascii="宋体" w:hAnsi="宋体" w:cs="宋体"/>
          <w:b w:val="0"/>
          <w:bCs/>
          <w:color w:val="auto"/>
          <w:kern w:val="2"/>
          <w:sz w:val="24"/>
          <w:szCs w:val="24"/>
          <w:lang w:val="en-US" w:eastAsia="zh-CN" w:bidi="ar-SA"/>
        </w:rPr>
        <w:t>1</w:t>
      </w:r>
      <w:r>
        <w:rPr>
          <w:rFonts w:hint="eastAsia" w:ascii="宋体" w:hAnsi="宋体" w:eastAsia="宋体" w:cs="宋体"/>
          <w:b w:val="0"/>
          <w:bCs/>
          <w:color w:val="auto"/>
          <w:kern w:val="2"/>
          <w:sz w:val="24"/>
          <w:szCs w:val="24"/>
          <w:lang w:val="en-US" w:eastAsia="zh-CN" w:bidi="ar-SA"/>
        </w:rPr>
        <w:t>.</w:t>
      </w:r>
      <w:r>
        <w:rPr>
          <w:rFonts w:hint="eastAsia" w:ascii="宋体" w:hAnsi="宋体" w:cs="宋体"/>
          <w:b w:val="0"/>
          <w:bCs/>
          <w:color w:val="auto"/>
          <w:sz w:val="24"/>
          <w:szCs w:val="24"/>
          <w:lang w:val="en-US" w:eastAsia="zh-CN"/>
        </w:rPr>
        <w:t>装置具备断路器分合闸线圈电流防拒动</w:t>
      </w:r>
      <w:r>
        <w:rPr>
          <w:rFonts w:hint="eastAsia" w:ascii="宋体" w:hAnsi="宋体" w:eastAsia="宋体" w:cs="宋体"/>
          <w:b w:val="0"/>
          <w:bCs/>
          <w:color w:val="auto"/>
          <w:sz w:val="24"/>
          <w:szCs w:val="24"/>
          <w:lang w:val="en-US" w:eastAsia="zh-CN"/>
        </w:rPr>
        <w:t>分析方法、具备多个电流波形特征值的分析能力。</w:t>
      </w:r>
    </w:p>
    <w:p w14:paraId="423373EA">
      <w:pPr>
        <w:numPr>
          <w:ilvl w:val="0"/>
          <w:numId w:val="0"/>
        </w:numPr>
        <w:spacing w:before="120" w:after="120" w:line="288" w:lineRule="auto"/>
        <w:ind w:left="0" w:leftChars="0"/>
        <w:jc w:val="left"/>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2.装置具备试验结束后，改变速度定义重计算功能。</w:t>
      </w:r>
    </w:p>
    <w:p w14:paraId="5636D8E0">
      <w:pPr>
        <w:numPr>
          <w:ilvl w:val="0"/>
          <w:numId w:val="0"/>
        </w:numPr>
        <w:spacing w:before="120" w:after="120" w:line="288" w:lineRule="auto"/>
        <w:ind w:left="0" w:leftChars="0"/>
        <w:jc w:val="left"/>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3.装置面板设有触头状态指示灯，便于判断合、分闸状态或接线是否正确。</w:t>
      </w:r>
    </w:p>
    <w:p w14:paraId="64A5763C">
      <w:pPr>
        <w:numPr>
          <w:ilvl w:val="0"/>
          <w:numId w:val="0"/>
        </w:numPr>
        <w:spacing w:before="120" w:after="120" w:line="288" w:lineRule="auto"/>
        <w:ind w:left="0" w:leftChars="0"/>
        <w:jc w:val="left"/>
        <w:rPr>
          <w:rFonts w:hint="default" w:ascii="宋体" w:hAnsi="宋体" w:eastAsia="宋体" w:cs="宋体"/>
          <w:b w:val="0"/>
          <w:bCs/>
          <w:color w:val="auto"/>
          <w:sz w:val="24"/>
          <w:szCs w:val="24"/>
          <w:lang w:val="en-US" w:eastAsia="zh-CN"/>
        </w:rPr>
      </w:pPr>
    </w:p>
    <w:p w14:paraId="4B2E3502">
      <w:pPr>
        <w:numPr>
          <w:ilvl w:val="0"/>
          <w:numId w:val="0"/>
        </w:numPr>
        <w:spacing w:before="120" w:after="120" w:line="288" w:lineRule="auto"/>
        <w:ind w:left="0" w:leftChars="0"/>
        <w:jc w:val="left"/>
        <w:rPr>
          <w:rFonts w:hint="eastAsia" w:ascii="宋体" w:hAnsi="宋体" w:eastAsia="宋体" w:cs="宋体"/>
          <w:b w:val="0"/>
          <w:bCs/>
          <w:color w:val="auto"/>
          <w:kern w:val="2"/>
          <w:sz w:val="24"/>
          <w:szCs w:val="24"/>
          <w:lang w:val="en-US" w:eastAsia="zh-CN" w:bidi="ar-SA"/>
        </w:rPr>
      </w:pPr>
      <w:bookmarkStart w:id="36" w:name="heading_18"/>
      <w:r>
        <w:rPr>
          <w:rFonts w:hint="eastAsia" w:ascii="宋体" w:hAnsi="宋体" w:eastAsia="宋体" w:cs="宋体"/>
          <w:b w:val="0"/>
          <w:bCs/>
          <w:color w:val="auto"/>
          <w:sz w:val="24"/>
          <w:szCs w:val="24"/>
        </w:rPr>
        <w:t xml:space="preserve">4.2.3 </w:t>
      </w:r>
      <w:bookmarkEnd w:id="36"/>
      <w:r>
        <w:rPr>
          <w:rFonts w:hint="eastAsia" w:ascii="宋体" w:hAnsi="宋体" w:eastAsia="宋体" w:cs="宋体"/>
          <w:b w:val="0"/>
          <w:bCs/>
          <w:color w:val="auto"/>
          <w:sz w:val="24"/>
          <w:szCs w:val="24"/>
        </w:rPr>
        <w:t>稳定性</w:t>
      </w:r>
    </w:p>
    <w:bookmarkEnd w:id="16"/>
    <w:bookmarkEnd w:id="17"/>
    <w:bookmarkEnd w:id="18"/>
    <w:bookmarkEnd w:id="19"/>
    <w:bookmarkEnd w:id="20"/>
    <w:bookmarkEnd w:id="21"/>
    <w:bookmarkEnd w:id="22"/>
    <w:bookmarkEnd w:id="23"/>
    <w:bookmarkEnd w:id="24"/>
    <w:bookmarkEnd w:id="25"/>
    <w:bookmarkEnd w:id="26"/>
    <w:p w14:paraId="0F514596">
      <w:pPr>
        <w:numPr>
          <w:ilvl w:val="0"/>
          <w:numId w:val="0"/>
        </w:numPr>
        <w:spacing w:before="120" w:after="120" w:line="288" w:lineRule="auto"/>
        <w:ind w:left="0" w:leftChars="0"/>
        <w:jc w:val="left"/>
        <w:rPr>
          <w:rFonts w:hint="default" w:ascii="宋体" w:hAnsi="宋体" w:eastAsia="宋体" w:cs="宋体"/>
          <w:b w:val="0"/>
          <w:bCs/>
          <w:color w:val="auto"/>
          <w:kern w:val="2"/>
          <w:sz w:val="24"/>
          <w:szCs w:val="24"/>
          <w:lang w:val="en-US" w:eastAsia="zh-CN" w:bidi="ar-SA"/>
        </w:rPr>
      </w:pPr>
      <w:bookmarkStart w:id="37" w:name="_Toc20013"/>
      <w:r>
        <w:rPr>
          <w:rFonts w:hint="eastAsia" w:ascii="宋体" w:hAnsi="宋体" w:eastAsia="宋体" w:cs="宋体"/>
          <w:b w:val="0"/>
          <w:bCs/>
          <w:color w:val="auto"/>
          <w:kern w:val="2"/>
          <w:sz w:val="24"/>
          <w:szCs w:val="24"/>
          <w:lang w:val="en-US" w:eastAsia="zh-CN" w:bidi="ar-SA"/>
        </w:rPr>
        <w:t>1.装置</w:t>
      </w:r>
      <w:r>
        <w:rPr>
          <w:rFonts w:hint="default" w:ascii="宋体" w:hAnsi="宋体" w:eastAsia="宋体" w:cs="宋体"/>
          <w:b w:val="0"/>
          <w:bCs/>
          <w:color w:val="auto"/>
          <w:kern w:val="2"/>
          <w:sz w:val="24"/>
          <w:szCs w:val="24"/>
          <w:lang w:val="en-US" w:eastAsia="zh-CN" w:bidi="ar-SA"/>
        </w:rPr>
        <w:t>具备强抗干扰能力，能够在500kV高压变电站等强电磁环境下稳定、可靠地运行，确保测量数据不受干扰。</w:t>
      </w:r>
    </w:p>
    <w:p w14:paraId="7E1BB049">
      <w:pPr>
        <w:numPr>
          <w:ilvl w:val="0"/>
          <w:numId w:val="0"/>
        </w:numPr>
        <w:spacing w:before="120" w:after="120" w:line="288" w:lineRule="auto"/>
        <w:ind w:left="0" w:leftChars="0"/>
        <w:jc w:val="left"/>
        <w:rPr>
          <w:rFonts w:hint="default"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2.装置应有自动保护功能，防止如试验过程突然停电等意外情况对仪器造成损坏。</w:t>
      </w:r>
    </w:p>
    <w:p w14:paraId="3259F772">
      <w:pPr>
        <w:rPr>
          <w:rFonts w:hint="eastAsia" w:ascii="宋体" w:hAnsi="宋体" w:cs="宋体"/>
          <w:sz w:val="24"/>
        </w:rPr>
      </w:pPr>
    </w:p>
    <w:p w14:paraId="7C914E8E">
      <w:pPr>
        <w:rPr>
          <w:rFonts w:ascii="宋体" w:hAnsi="宋体" w:cs="宋体"/>
          <w:sz w:val="24"/>
        </w:rPr>
      </w:pPr>
      <w:r>
        <w:rPr>
          <w:rFonts w:hint="eastAsia" w:ascii="宋体" w:hAnsi="宋体" w:cs="宋体"/>
          <w:sz w:val="24"/>
        </w:rPr>
        <w:t>4.</w:t>
      </w:r>
      <w:r>
        <w:rPr>
          <w:rFonts w:hint="eastAsia" w:ascii="宋体" w:hAnsi="宋体" w:cs="宋体"/>
          <w:sz w:val="24"/>
          <w:lang w:val="en-US" w:eastAsia="zh-CN"/>
        </w:rPr>
        <w:t>3</w:t>
      </w:r>
      <w:r>
        <w:rPr>
          <w:rFonts w:hint="eastAsia" w:ascii="宋体" w:hAnsi="宋体" w:cs="宋体"/>
          <w:sz w:val="24"/>
        </w:rPr>
        <w:t xml:space="preserve"> 研究成果。</w:t>
      </w:r>
      <w:bookmarkEnd w:id="37"/>
      <w:r>
        <w:rPr>
          <w:rFonts w:hint="eastAsia" w:ascii="宋体" w:hAnsi="宋体" w:cs="宋体"/>
          <w:sz w:val="24"/>
        </w:rPr>
        <w:t>通过项目实施，制定符合超高压输电公司实际。投标方提供的图纸、资料、文件应使用国家法定单位制即国际单位制，语言为中文。资料的组织结构清晰、逻辑性强。资料内容要正确、准确、一致、清晰、完整。</w:t>
      </w:r>
      <w:bookmarkStart w:id="38" w:name="_Toc309593209"/>
      <w:bookmarkStart w:id="39" w:name="_Toc309593280"/>
      <w:bookmarkStart w:id="40" w:name="_Toc531004269"/>
      <w:bookmarkStart w:id="41" w:name="_Toc531004215"/>
      <w:bookmarkStart w:id="42" w:name="_Toc309805604"/>
      <w:bookmarkStart w:id="43" w:name="_Toc441483969"/>
      <w:bookmarkStart w:id="44" w:name="_Toc312827040"/>
      <w:bookmarkStart w:id="45" w:name="_Toc18633"/>
    </w:p>
    <w:p w14:paraId="6D7F86C8">
      <w:pPr>
        <w:pStyle w:val="7"/>
        <w:rPr>
          <w:rFonts w:hAnsi="宋体"/>
          <w:sz w:val="24"/>
        </w:rPr>
      </w:pPr>
      <w:r>
        <w:rPr>
          <w:rFonts w:hint="eastAsia" w:hAnsi="宋体" w:cs="宋体"/>
          <w:sz w:val="24"/>
          <w:szCs w:val="24"/>
        </w:rPr>
        <w:t>4.</w:t>
      </w:r>
      <w:r>
        <w:rPr>
          <w:rFonts w:hint="eastAsia" w:hAnsi="宋体" w:cs="宋体"/>
          <w:sz w:val="24"/>
          <w:szCs w:val="24"/>
          <w:lang w:val="en-US" w:eastAsia="zh-CN"/>
        </w:rPr>
        <w:t>4</w:t>
      </w:r>
      <w:r>
        <w:rPr>
          <w:rFonts w:hint="eastAsia" w:hAnsi="宋体" w:cs="宋体"/>
          <w:sz w:val="24"/>
          <w:szCs w:val="24"/>
        </w:rPr>
        <w:t xml:space="preserve"> </w:t>
      </w:r>
      <w:r>
        <w:rPr>
          <w:rFonts w:hint="eastAsia"/>
          <w:sz w:val="24"/>
        </w:rPr>
        <w:t>招标方技术团队有权对投标方研发制造全过程的技术工作进行检查监督，有权参与设备图纸设计、审核、主要原材料选用、重大技术变更等关键技术环节工作。投标方应在设备研发、制造主要技术节点通知招标方技术团队参与</w:t>
      </w:r>
      <w:r>
        <w:rPr>
          <w:rFonts w:hint="eastAsia" w:hAnsi="宋体"/>
          <w:sz w:val="24"/>
        </w:rPr>
        <w:t>。</w:t>
      </w:r>
    </w:p>
    <w:p w14:paraId="5062A7C2">
      <w:pPr>
        <w:autoSpaceDN w:val="0"/>
        <w:rPr>
          <w:rFonts w:ascii="宋体" w:hAnsi="宋体"/>
          <w:sz w:val="24"/>
          <w:szCs w:val="21"/>
        </w:rPr>
      </w:pPr>
      <w:r>
        <w:rPr>
          <w:rFonts w:hint="eastAsia" w:ascii="宋体" w:hAnsi="宋体" w:cs="宋体"/>
          <w:sz w:val="24"/>
        </w:rPr>
        <w:t>4.</w:t>
      </w:r>
      <w:r>
        <w:rPr>
          <w:rFonts w:hint="eastAsia" w:ascii="宋体" w:hAnsi="宋体" w:cs="宋体"/>
          <w:sz w:val="24"/>
          <w:lang w:val="en-US" w:eastAsia="zh-CN"/>
        </w:rPr>
        <w:t>5</w:t>
      </w:r>
      <w:r>
        <w:rPr>
          <w:rFonts w:hint="eastAsia" w:ascii="宋体" w:hAnsi="宋体" w:cs="宋体"/>
          <w:sz w:val="24"/>
        </w:rPr>
        <w:t xml:space="preserve"> </w:t>
      </w:r>
      <w:r>
        <w:rPr>
          <w:rFonts w:hint="eastAsia" w:ascii="宋体" w:hAnsi="宋体"/>
          <w:sz w:val="24"/>
          <w:szCs w:val="21"/>
        </w:rPr>
        <w:t>为保证投标方有效进行技术服务工作，招标方提供与项目有关的技术资料，并协助投标方协调项目实施过程中所需解决的事项。</w:t>
      </w:r>
    </w:p>
    <w:p w14:paraId="73CA961D">
      <w:pPr>
        <w:pStyle w:val="7"/>
        <w:rPr>
          <w:rFonts w:hAnsi="宋体"/>
          <w:sz w:val="24"/>
        </w:rPr>
      </w:pPr>
      <w:r>
        <w:rPr>
          <w:rFonts w:hint="eastAsia" w:hAnsi="宋体" w:cs="宋体"/>
          <w:sz w:val="24"/>
          <w:szCs w:val="24"/>
        </w:rPr>
        <w:t>4.</w:t>
      </w:r>
      <w:r>
        <w:rPr>
          <w:rFonts w:hint="eastAsia" w:hAnsi="宋体" w:cs="宋体"/>
          <w:sz w:val="24"/>
          <w:szCs w:val="24"/>
          <w:lang w:val="en-US" w:eastAsia="zh-CN"/>
        </w:rPr>
        <w:t>6</w:t>
      </w:r>
      <w:r>
        <w:rPr>
          <w:rFonts w:hint="eastAsia" w:hAnsi="宋体" w:cs="宋体"/>
          <w:sz w:val="24"/>
          <w:szCs w:val="24"/>
        </w:rPr>
        <w:t>双</w:t>
      </w:r>
      <w:r>
        <w:rPr>
          <w:rFonts w:hint="eastAsia" w:hAnsi="宋体"/>
          <w:sz w:val="24"/>
        </w:rPr>
        <w:t>方确定，在项目进行期内，双方均指定项目联系人。项目联系人承担以下责任：</w:t>
      </w:r>
    </w:p>
    <w:p w14:paraId="3DEDD22B">
      <w:pPr>
        <w:pStyle w:val="7"/>
        <w:rPr>
          <w:rFonts w:hAnsi="宋体"/>
          <w:sz w:val="24"/>
        </w:rPr>
      </w:pPr>
      <w:r>
        <w:rPr>
          <w:rFonts w:hint="eastAsia" w:ascii="Times New Roman" w:hAnsi="Times New Roman"/>
          <w:sz w:val="24"/>
        </w:rPr>
        <w:t>（1）沟通项目所需资料的收集</w:t>
      </w:r>
      <w:r>
        <w:rPr>
          <w:rFonts w:hint="eastAsia" w:hAnsi="宋体"/>
          <w:sz w:val="24"/>
        </w:rPr>
        <w:t>。</w:t>
      </w:r>
    </w:p>
    <w:p w14:paraId="67A48A5E">
      <w:pPr>
        <w:pStyle w:val="7"/>
        <w:rPr>
          <w:rFonts w:hAnsi="宋体"/>
          <w:sz w:val="24"/>
        </w:rPr>
      </w:pPr>
      <w:r>
        <w:rPr>
          <w:rFonts w:hint="eastAsia" w:ascii="Times New Roman" w:hAnsi="Times New Roman"/>
          <w:sz w:val="24"/>
        </w:rPr>
        <w:t>（2）沟通项目进度信息。</w:t>
      </w:r>
    </w:p>
    <w:p w14:paraId="2E5D34AE">
      <w:pPr>
        <w:pStyle w:val="7"/>
        <w:rPr>
          <w:rFonts w:hAnsi="宋体"/>
          <w:sz w:val="24"/>
        </w:rPr>
      </w:pPr>
      <w:r>
        <w:rPr>
          <w:rFonts w:hint="eastAsia" w:ascii="Times New Roman" w:hAnsi="Times New Roman"/>
          <w:sz w:val="24"/>
        </w:rPr>
        <w:t>（3）协商解决项目执行过程中遇到的问题。</w:t>
      </w:r>
    </w:p>
    <w:p w14:paraId="48BACCB4">
      <w:pPr>
        <w:pStyle w:val="7"/>
        <w:ind w:firstLine="480" w:firstLineChars="200"/>
        <w:rPr>
          <w:rFonts w:hAnsi="宋体"/>
          <w:sz w:val="24"/>
          <w:szCs w:val="24"/>
        </w:rPr>
      </w:pPr>
      <w:r>
        <w:rPr>
          <w:rFonts w:hAnsi="宋体"/>
          <w:sz w:val="24"/>
        </w:rPr>
        <w:t>一方变更项目联系人的，应当及时以书面形式通知另一方。未及时通知并影响</w:t>
      </w:r>
      <w:r>
        <w:rPr>
          <w:rFonts w:hint="eastAsia" w:hAnsi="宋体"/>
          <w:sz w:val="24"/>
        </w:rPr>
        <w:t>项目进</w:t>
      </w:r>
      <w:r>
        <w:rPr>
          <w:rFonts w:hAnsi="宋体"/>
          <w:sz w:val="24"/>
        </w:rPr>
        <w:t>行或造成损失的，应承担相应的责任。</w:t>
      </w:r>
    </w:p>
    <w:p w14:paraId="414BF8E5">
      <w:pPr>
        <w:pStyle w:val="7"/>
        <w:rPr>
          <w:rFonts w:hAnsi="宋体"/>
          <w:sz w:val="24"/>
        </w:rPr>
      </w:pPr>
      <w:r>
        <w:rPr>
          <w:rFonts w:hint="eastAsia" w:hAnsi="宋体" w:cs="宋体"/>
          <w:sz w:val="24"/>
          <w:szCs w:val="24"/>
        </w:rPr>
        <w:t>4.</w:t>
      </w:r>
      <w:r>
        <w:rPr>
          <w:rFonts w:hint="eastAsia" w:hAnsi="宋体" w:cs="宋体"/>
          <w:sz w:val="24"/>
          <w:szCs w:val="24"/>
          <w:lang w:val="en-US" w:eastAsia="zh-CN"/>
        </w:rPr>
        <w:t>7</w:t>
      </w:r>
      <w:r>
        <w:rPr>
          <w:rFonts w:hint="eastAsia" w:hAnsi="宋体" w:cs="宋体"/>
          <w:sz w:val="24"/>
          <w:szCs w:val="24"/>
        </w:rPr>
        <w:t>双</w:t>
      </w:r>
      <w:r>
        <w:rPr>
          <w:rFonts w:hAnsi="宋体"/>
          <w:sz w:val="24"/>
        </w:rPr>
        <w:t>方确定</w:t>
      </w:r>
      <w:r>
        <w:rPr>
          <w:rFonts w:hint="eastAsia" w:hAnsi="宋体"/>
          <w:sz w:val="24"/>
        </w:rPr>
        <w:t>项目有关</w:t>
      </w:r>
      <w:r>
        <w:rPr>
          <w:rFonts w:hAnsi="宋体"/>
          <w:sz w:val="24"/>
        </w:rPr>
        <w:t>保密义务如下：</w:t>
      </w:r>
    </w:p>
    <w:p w14:paraId="1A984B6D">
      <w:pPr>
        <w:pStyle w:val="7"/>
        <w:ind w:firstLine="240"/>
        <w:rPr>
          <w:rFonts w:hAnsi="宋体"/>
          <w:sz w:val="24"/>
        </w:rPr>
      </w:pPr>
      <w:r>
        <w:rPr>
          <w:rFonts w:hAnsi="宋体"/>
          <w:sz w:val="24"/>
        </w:rPr>
        <w:t xml:space="preserve">    </w:t>
      </w:r>
      <w:r>
        <w:rPr>
          <w:rFonts w:hint="eastAsia" w:hAnsi="宋体"/>
          <w:sz w:val="24"/>
        </w:rPr>
        <w:t>招标方</w:t>
      </w:r>
      <w:r>
        <w:rPr>
          <w:rFonts w:hAnsi="宋体"/>
          <w:sz w:val="24"/>
        </w:rPr>
        <w:t>：</w:t>
      </w:r>
    </w:p>
    <w:p w14:paraId="5F924D18">
      <w:pPr>
        <w:pStyle w:val="7"/>
        <w:ind w:firstLine="720" w:firstLineChars="300"/>
        <w:rPr>
          <w:rFonts w:ascii="Times New Roman" w:hAnsi="Times New Roman"/>
          <w:sz w:val="24"/>
        </w:rPr>
      </w:pPr>
      <w:r>
        <w:rPr>
          <w:rFonts w:hint="eastAsia" w:hAnsi="宋体"/>
          <w:sz w:val="24"/>
        </w:rPr>
        <w:t>（1）</w:t>
      </w:r>
      <w:r>
        <w:rPr>
          <w:rFonts w:hAnsi="宋体"/>
          <w:sz w:val="24"/>
        </w:rPr>
        <w:t>保密内容（包括技术信息和经营信息）：</w:t>
      </w:r>
      <w:r>
        <w:rPr>
          <w:rFonts w:hint="eastAsia" w:hAnsi="宋体"/>
          <w:sz w:val="24"/>
        </w:rPr>
        <w:t>过程所有文件。</w:t>
      </w:r>
    </w:p>
    <w:p w14:paraId="0AA469EA">
      <w:pPr>
        <w:pStyle w:val="7"/>
        <w:ind w:firstLine="720" w:firstLineChars="300"/>
        <w:rPr>
          <w:rFonts w:ascii="Times New Roman" w:hAnsi="Times New Roman"/>
          <w:sz w:val="24"/>
        </w:rPr>
      </w:pPr>
      <w:r>
        <w:rPr>
          <w:rFonts w:hint="eastAsia" w:hAnsi="宋体"/>
          <w:sz w:val="24"/>
        </w:rPr>
        <w:t>（2）</w:t>
      </w:r>
      <w:r>
        <w:rPr>
          <w:rFonts w:hAnsi="宋体"/>
          <w:sz w:val="24"/>
        </w:rPr>
        <w:t>涉密人员范围：</w:t>
      </w:r>
      <w:r>
        <w:rPr>
          <w:rFonts w:hint="eastAsia" w:hAnsi="宋体"/>
          <w:sz w:val="24"/>
        </w:rPr>
        <w:t>参与技术服务工作人员。</w:t>
      </w:r>
    </w:p>
    <w:p w14:paraId="607FE177">
      <w:pPr>
        <w:pStyle w:val="7"/>
        <w:ind w:firstLine="720" w:firstLineChars="300"/>
        <w:rPr>
          <w:rFonts w:ascii="Times New Roman" w:hAnsi="Times New Roman"/>
          <w:sz w:val="24"/>
        </w:rPr>
      </w:pPr>
      <w:r>
        <w:rPr>
          <w:rFonts w:hint="eastAsia" w:hAnsi="宋体"/>
          <w:sz w:val="24"/>
        </w:rPr>
        <w:t>（3）</w:t>
      </w:r>
      <w:r>
        <w:rPr>
          <w:rFonts w:hAnsi="宋体"/>
          <w:sz w:val="24"/>
        </w:rPr>
        <w:t>保密期限：</w:t>
      </w:r>
      <w:r>
        <w:rPr>
          <w:rFonts w:hint="eastAsia" w:ascii="Times New Roman" w:hAnsi="Times New Roman"/>
          <w:sz w:val="24"/>
        </w:rPr>
        <w:t>本项目有效期及期满后5年内。</w:t>
      </w:r>
    </w:p>
    <w:p w14:paraId="24F9798F">
      <w:pPr>
        <w:pStyle w:val="7"/>
        <w:ind w:firstLine="720" w:firstLineChars="300"/>
        <w:rPr>
          <w:rFonts w:hAnsi="宋体"/>
          <w:sz w:val="24"/>
        </w:rPr>
      </w:pPr>
      <w:r>
        <w:rPr>
          <w:rFonts w:hint="eastAsia" w:hAnsi="宋体"/>
          <w:sz w:val="24"/>
        </w:rPr>
        <w:t>（4）</w:t>
      </w:r>
      <w:r>
        <w:rPr>
          <w:rFonts w:hAnsi="宋体"/>
          <w:sz w:val="24"/>
        </w:rPr>
        <w:t>泄密责任：</w:t>
      </w:r>
      <w:r>
        <w:rPr>
          <w:rFonts w:hint="eastAsia" w:ascii="Times New Roman" w:hAnsi="Times New Roman"/>
          <w:sz w:val="24"/>
        </w:rPr>
        <w:t>承担法律责任并赔偿由此给</w:t>
      </w:r>
      <w:r>
        <w:rPr>
          <w:rFonts w:hint="eastAsia" w:hAnsi="宋体"/>
          <w:sz w:val="24"/>
        </w:rPr>
        <w:t>投标方</w:t>
      </w:r>
      <w:r>
        <w:rPr>
          <w:rFonts w:hint="eastAsia" w:ascii="Times New Roman" w:hAnsi="Times New Roman"/>
          <w:sz w:val="24"/>
        </w:rPr>
        <w:t>造成的损失。</w:t>
      </w:r>
    </w:p>
    <w:p w14:paraId="11B928EF">
      <w:pPr>
        <w:pStyle w:val="7"/>
        <w:ind w:firstLine="240"/>
        <w:rPr>
          <w:rFonts w:hAnsi="宋体"/>
          <w:sz w:val="24"/>
        </w:rPr>
      </w:pPr>
      <w:r>
        <w:rPr>
          <w:rFonts w:hAnsi="宋体"/>
          <w:sz w:val="24"/>
        </w:rPr>
        <w:t xml:space="preserve">    </w:t>
      </w:r>
      <w:r>
        <w:rPr>
          <w:rFonts w:hint="eastAsia" w:hAnsi="宋体"/>
          <w:sz w:val="24"/>
        </w:rPr>
        <w:t>投标方</w:t>
      </w:r>
      <w:r>
        <w:rPr>
          <w:rFonts w:hAnsi="宋体"/>
          <w:sz w:val="24"/>
        </w:rPr>
        <w:t xml:space="preserve">：  </w:t>
      </w:r>
    </w:p>
    <w:p w14:paraId="07642554">
      <w:pPr>
        <w:pStyle w:val="7"/>
        <w:ind w:firstLine="720" w:firstLineChars="300"/>
        <w:rPr>
          <w:rFonts w:ascii="Times New Roman" w:hAnsi="Times New Roman"/>
          <w:sz w:val="24"/>
        </w:rPr>
      </w:pPr>
      <w:r>
        <w:rPr>
          <w:rFonts w:hint="eastAsia" w:hAnsi="宋体"/>
          <w:sz w:val="24"/>
        </w:rPr>
        <w:t>（1）</w:t>
      </w:r>
      <w:r>
        <w:rPr>
          <w:rFonts w:hAnsi="宋体"/>
          <w:sz w:val="24"/>
        </w:rPr>
        <w:t>保密内容（包括技术信息和经营信息）：</w:t>
      </w:r>
      <w:r>
        <w:rPr>
          <w:rFonts w:hint="eastAsia" w:hAnsi="宋体"/>
          <w:sz w:val="24"/>
        </w:rPr>
        <w:t>过程所有文件。</w:t>
      </w:r>
    </w:p>
    <w:p w14:paraId="27F8CC74">
      <w:pPr>
        <w:pStyle w:val="7"/>
        <w:ind w:firstLine="720" w:firstLineChars="300"/>
        <w:rPr>
          <w:rFonts w:ascii="Times New Roman" w:hAnsi="Times New Roman"/>
          <w:sz w:val="24"/>
        </w:rPr>
      </w:pPr>
      <w:r>
        <w:rPr>
          <w:rFonts w:hint="eastAsia" w:hAnsi="宋体"/>
          <w:sz w:val="24"/>
        </w:rPr>
        <w:t>（2）</w:t>
      </w:r>
      <w:r>
        <w:rPr>
          <w:rFonts w:hAnsi="宋体"/>
          <w:sz w:val="24"/>
        </w:rPr>
        <w:t>涉密人员范围：</w:t>
      </w:r>
      <w:r>
        <w:rPr>
          <w:rFonts w:hint="eastAsia" w:hAnsi="宋体"/>
          <w:sz w:val="24"/>
        </w:rPr>
        <w:t>参与技术服务工作人员。</w:t>
      </w:r>
    </w:p>
    <w:p w14:paraId="0EC835D1">
      <w:pPr>
        <w:pStyle w:val="7"/>
        <w:ind w:firstLine="720" w:firstLineChars="300"/>
        <w:rPr>
          <w:rFonts w:ascii="Times New Roman" w:hAnsi="Times New Roman"/>
          <w:sz w:val="24"/>
        </w:rPr>
      </w:pPr>
      <w:r>
        <w:rPr>
          <w:rFonts w:hint="eastAsia" w:hAnsi="宋体"/>
          <w:sz w:val="24"/>
        </w:rPr>
        <w:t>（3）</w:t>
      </w:r>
      <w:r>
        <w:rPr>
          <w:rFonts w:hAnsi="宋体"/>
          <w:sz w:val="24"/>
        </w:rPr>
        <w:t>保密期限：</w:t>
      </w:r>
      <w:r>
        <w:rPr>
          <w:rFonts w:hint="eastAsia" w:ascii="Times New Roman" w:hAnsi="Times New Roman"/>
          <w:sz w:val="24"/>
        </w:rPr>
        <w:t>本项目有效期及期满后5年内。</w:t>
      </w:r>
    </w:p>
    <w:p w14:paraId="31C544D4">
      <w:pPr>
        <w:pStyle w:val="7"/>
        <w:ind w:firstLine="720" w:firstLineChars="300"/>
        <w:rPr>
          <w:rFonts w:hint="eastAsia" w:ascii="Times New Roman" w:hAnsi="Times New Roman"/>
          <w:sz w:val="24"/>
        </w:rPr>
      </w:pPr>
      <w:r>
        <w:rPr>
          <w:rFonts w:hint="eastAsia" w:hAnsi="宋体"/>
          <w:sz w:val="24"/>
        </w:rPr>
        <w:t>（4）</w:t>
      </w:r>
      <w:r>
        <w:rPr>
          <w:rFonts w:hAnsi="宋体"/>
          <w:sz w:val="24"/>
        </w:rPr>
        <w:t>泄密责任：</w:t>
      </w:r>
      <w:r>
        <w:rPr>
          <w:rFonts w:hint="eastAsia" w:ascii="Times New Roman" w:hAnsi="Times New Roman"/>
          <w:sz w:val="24"/>
        </w:rPr>
        <w:t>承担法律责任并赔偿由此给招标方造成的损失。</w:t>
      </w:r>
    </w:p>
    <w:p w14:paraId="5F0E491E">
      <w:pPr>
        <w:snapToGrid w:val="0"/>
        <w:spacing w:before="120"/>
        <w:rPr>
          <w:rFonts w:hint="eastAsia" w:ascii="黑体" w:hAnsi="黑体" w:eastAsia="黑体" w:cs="黑体"/>
          <w:b/>
          <w:bCs/>
          <w:sz w:val="28"/>
          <w:szCs w:val="36"/>
        </w:rPr>
      </w:pPr>
      <w:r>
        <w:rPr>
          <w:rFonts w:hint="eastAsia" w:ascii="黑体" w:hAnsi="黑体" w:eastAsia="黑体" w:cs="黑体"/>
          <w:b/>
          <w:bCs/>
          <w:sz w:val="28"/>
          <w:szCs w:val="36"/>
        </w:rPr>
        <w:t>5.投标方技术文件编制要求</w:t>
      </w:r>
    </w:p>
    <w:p w14:paraId="3B2BE2DA">
      <w:pPr>
        <w:spacing w:line="360" w:lineRule="auto"/>
        <w:ind w:left="6" w:leftChars="3" w:firstLine="480" w:firstLineChars="200"/>
        <w:rPr>
          <w:sz w:val="24"/>
        </w:rPr>
      </w:pPr>
      <w:r>
        <w:rPr>
          <w:rFonts w:hint="eastAsia"/>
          <w:sz w:val="24"/>
        </w:rPr>
        <w:t>投标方</w:t>
      </w:r>
      <w:r>
        <w:rPr>
          <w:sz w:val="24"/>
        </w:rPr>
        <w:t>技术文件应包括：</w:t>
      </w:r>
    </w:p>
    <w:p w14:paraId="1AEDD50F">
      <w:pPr>
        <w:spacing w:line="360" w:lineRule="auto"/>
        <w:ind w:left="6" w:leftChars="3" w:firstLine="480" w:firstLineChars="200"/>
        <w:rPr>
          <w:sz w:val="24"/>
        </w:rPr>
      </w:pPr>
      <w:r>
        <w:rPr>
          <w:sz w:val="24"/>
        </w:rPr>
        <w:t>（1）</w:t>
      </w:r>
      <w:r>
        <w:rPr>
          <w:rFonts w:ascii="宋体" w:hAnsi="宋体" w:cs="宋体"/>
          <w:sz w:val="24"/>
        </w:rPr>
        <w:t>提供完整的设计方案及实施方案与计划</w:t>
      </w:r>
      <w:r>
        <w:rPr>
          <w:rFonts w:hint="eastAsia" w:ascii="宋体" w:hAnsi="宋体" w:cs="宋体"/>
          <w:sz w:val="24"/>
          <w:lang w:eastAsia="zh-CN"/>
        </w:rPr>
        <w:t>；</w:t>
      </w:r>
    </w:p>
    <w:p w14:paraId="644A5040">
      <w:pPr>
        <w:pStyle w:val="4"/>
        <w:numPr>
          <w:ilvl w:val="0"/>
          <w:numId w:val="0"/>
        </w:numPr>
        <w:rPr>
          <w:rFonts w:hint="eastAsia" w:ascii="黑体" w:hAnsi="黑体" w:eastAsia="黑体" w:cs="黑体"/>
          <w:b/>
          <w:bCs/>
          <w:kern w:val="2"/>
          <w:sz w:val="28"/>
          <w:szCs w:val="36"/>
          <w:lang w:val="en-US" w:eastAsia="zh-CN" w:bidi="ar-SA"/>
        </w:rPr>
      </w:pPr>
      <w:bookmarkStart w:id="46" w:name="_Toc309805603"/>
      <w:bookmarkStart w:id="47" w:name="_Toc12135"/>
      <w:bookmarkStart w:id="48" w:name="_Toc12192"/>
      <w:bookmarkStart w:id="49" w:name="_Toc312827039"/>
      <w:bookmarkStart w:id="50" w:name="_Toc23520"/>
      <w:bookmarkStart w:id="51" w:name="_Toc26448179"/>
      <w:bookmarkStart w:id="52" w:name="_Toc14774"/>
      <w:bookmarkStart w:id="53" w:name="_Toc309593208"/>
      <w:bookmarkStart w:id="54" w:name="_Toc309593279"/>
      <w:r>
        <w:rPr>
          <w:rFonts w:hint="eastAsia" w:ascii="黑体" w:hAnsi="黑体" w:eastAsia="黑体" w:cs="黑体"/>
          <w:b/>
          <w:bCs/>
          <w:kern w:val="2"/>
          <w:sz w:val="28"/>
          <w:szCs w:val="36"/>
          <w:lang w:val="en-US" w:eastAsia="zh-CN" w:bidi="ar-SA"/>
        </w:rPr>
        <w:t>6.※工期进度要求</w:t>
      </w:r>
      <w:bookmarkEnd w:id="46"/>
      <w:bookmarkEnd w:id="47"/>
      <w:bookmarkEnd w:id="48"/>
      <w:bookmarkEnd w:id="49"/>
      <w:bookmarkEnd w:id="50"/>
      <w:bookmarkEnd w:id="51"/>
      <w:bookmarkEnd w:id="52"/>
      <w:bookmarkEnd w:id="53"/>
      <w:bookmarkEnd w:id="54"/>
    </w:p>
    <w:p w14:paraId="5BD3C678">
      <w:pPr>
        <w:spacing w:line="360" w:lineRule="auto"/>
        <w:ind w:left="6" w:leftChars="3" w:firstLine="480" w:firstLineChars="200"/>
        <w:rPr>
          <w:sz w:val="24"/>
        </w:rPr>
      </w:pPr>
      <w:r>
        <w:rPr>
          <w:sz w:val="24"/>
        </w:rPr>
        <w:t>本项目应按照下表所示进度安排开展</w:t>
      </w:r>
      <w:r>
        <w:rPr>
          <w:rFonts w:hint="eastAsia"/>
          <w:sz w:val="24"/>
          <w:lang w:val="en-US" w:eastAsia="zh-CN"/>
        </w:rPr>
        <w:t>加工制作</w:t>
      </w:r>
      <w:r>
        <w:rPr>
          <w:sz w:val="24"/>
        </w:rPr>
        <w:t>工作：</w:t>
      </w:r>
    </w:p>
    <w:tbl>
      <w:tblPr>
        <w:tblStyle w:val="13"/>
        <w:tblW w:w="88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37"/>
        <w:gridCol w:w="1734"/>
        <w:gridCol w:w="5358"/>
      </w:tblGrid>
      <w:tr w14:paraId="3A265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jc w:val="center"/>
        </w:trPr>
        <w:tc>
          <w:tcPr>
            <w:tcW w:w="1737" w:type="dxa"/>
            <w:noWrap w:val="0"/>
            <w:vAlign w:val="center"/>
          </w:tcPr>
          <w:p w14:paraId="08BBD23B">
            <w:pPr>
              <w:jc w:val="center"/>
              <w:rPr>
                <w:b/>
                <w:sz w:val="24"/>
              </w:rPr>
            </w:pPr>
            <w:r>
              <w:rPr>
                <w:b/>
                <w:sz w:val="24"/>
              </w:rPr>
              <w:t>任务名称</w:t>
            </w:r>
          </w:p>
        </w:tc>
        <w:tc>
          <w:tcPr>
            <w:tcW w:w="1734" w:type="dxa"/>
            <w:noWrap w:val="0"/>
            <w:vAlign w:val="center"/>
          </w:tcPr>
          <w:p w14:paraId="516846AB">
            <w:pPr>
              <w:jc w:val="center"/>
              <w:rPr>
                <w:b/>
                <w:sz w:val="24"/>
              </w:rPr>
            </w:pPr>
            <w:r>
              <w:rPr>
                <w:b/>
                <w:sz w:val="24"/>
              </w:rPr>
              <w:t>工作时间</w:t>
            </w:r>
          </w:p>
        </w:tc>
        <w:tc>
          <w:tcPr>
            <w:tcW w:w="5358" w:type="dxa"/>
            <w:noWrap w:val="0"/>
            <w:vAlign w:val="center"/>
          </w:tcPr>
          <w:p w14:paraId="0FB0BFA4">
            <w:pPr>
              <w:tabs>
                <w:tab w:val="left" w:pos="859"/>
              </w:tabs>
              <w:ind w:left="111" w:leftChars="53" w:firstLine="7" w:firstLineChars="3"/>
              <w:jc w:val="center"/>
              <w:rPr>
                <w:b/>
                <w:sz w:val="24"/>
              </w:rPr>
            </w:pPr>
            <w:r>
              <w:rPr>
                <w:b/>
                <w:sz w:val="24"/>
              </w:rPr>
              <w:t>主要内容及交付项</w:t>
            </w:r>
          </w:p>
        </w:tc>
      </w:tr>
      <w:tr w14:paraId="59E10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41" w:hRule="atLeast"/>
          <w:jc w:val="center"/>
        </w:trPr>
        <w:tc>
          <w:tcPr>
            <w:tcW w:w="1737" w:type="dxa"/>
            <w:noWrap w:val="0"/>
            <w:vAlign w:val="top"/>
          </w:tcPr>
          <w:p w14:paraId="71CE3849">
            <w:pPr>
              <w:spacing w:before="120" w:after="120" w:line="288" w:lineRule="auto"/>
              <w:ind w:left="0" w:leftChars="0"/>
              <w:jc w:val="left"/>
              <w:rPr>
                <w:rFonts w:hint="eastAsia" w:ascii="宋体" w:hAnsi="宋体" w:eastAsia="宋体" w:cs="宋体"/>
                <w:kern w:val="2"/>
                <w:sz w:val="21"/>
                <w:szCs w:val="21"/>
                <w:lang w:eastAsia="zh-CN"/>
              </w:rPr>
            </w:pPr>
            <w:r>
              <w:rPr>
                <w:rFonts w:hint="eastAsia" w:ascii="宋体" w:hAnsi="宋体" w:eastAsia="宋体" w:cs="宋体"/>
                <w:sz w:val="22"/>
              </w:rPr>
              <w:t>需求调研与方案设计</w:t>
            </w:r>
          </w:p>
        </w:tc>
        <w:tc>
          <w:tcPr>
            <w:tcW w:w="1734" w:type="dxa"/>
            <w:noWrap w:val="0"/>
            <w:vAlign w:val="top"/>
          </w:tcPr>
          <w:p w14:paraId="4E19A742">
            <w:pPr>
              <w:spacing w:before="120" w:after="120" w:line="288" w:lineRule="auto"/>
              <w:ind w:left="0" w:leftChars="0"/>
              <w:jc w:val="left"/>
              <w:rPr>
                <w:rFonts w:hint="eastAsia" w:ascii="宋体" w:hAnsi="宋体" w:eastAsia="宋体" w:cs="宋体"/>
                <w:szCs w:val="21"/>
              </w:rPr>
            </w:pPr>
            <w:r>
              <w:rPr>
                <w:rFonts w:hint="eastAsia" w:ascii="宋体" w:hAnsi="宋体" w:eastAsia="宋体" w:cs="宋体"/>
                <w:sz w:val="22"/>
              </w:rPr>
              <w:t>采购结果确定后 1 个月内</w:t>
            </w:r>
          </w:p>
        </w:tc>
        <w:tc>
          <w:tcPr>
            <w:tcW w:w="5358" w:type="dxa"/>
            <w:noWrap w:val="0"/>
            <w:vAlign w:val="top"/>
          </w:tcPr>
          <w:p w14:paraId="7CBD870C">
            <w:pPr>
              <w:spacing w:before="120" w:after="120" w:line="288" w:lineRule="auto"/>
              <w:ind w:left="0" w:leftChars="0"/>
              <w:jc w:val="left"/>
              <w:rPr>
                <w:rFonts w:hint="eastAsia" w:ascii="宋体" w:hAnsi="宋体" w:eastAsia="宋体" w:cs="宋体"/>
                <w:b/>
                <w:kern w:val="2"/>
                <w:sz w:val="21"/>
                <w:szCs w:val="21"/>
              </w:rPr>
            </w:pPr>
            <w:r>
              <w:rPr>
                <w:rFonts w:hint="eastAsia" w:ascii="宋体" w:hAnsi="宋体" w:eastAsia="宋体" w:cs="宋体"/>
                <w:sz w:val="22"/>
              </w:rPr>
              <w:t>1. 现场调研</w:t>
            </w:r>
            <w:r>
              <w:rPr>
                <w:rFonts w:hint="eastAsia" w:ascii="宋体" w:hAnsi="宋体" w:cs="宋体"/>
                <w:sz w:val="22"/>
                <w:lang w:val="en-US" w:eastAsia="zh-CN"/>
              </w:rPr>
              <w:t>断路器分合闸电磁铁间隙变异、电磁铁铁芯卡涩、不同直流电压、分合闸线圈匝间短路</w:t>
            </w:r>
            <w:r>
              <w:rPr>
                <w:rFonts w:hint="eastAsia" w:ascii="宋体" w:hAnsi="宋体" w:cs="宋体"/>
                <w:sz w:val="22"/>
                <w:lang w:val="en-US" w:eastAsia="zh-CN"/>
              </w:rPr>
              <w:t>等</w:t>
            </w:r>
            <w:r>
              <w:rPr>
                <w:rFonts w:hint="eastAsia" w:ascii="宋体" w:hAnsi="宋体" w:cs="宋体"/>
                <w:sz w:val="22"/>
                <w:lang w:val="en-US" w:eastAsia="zh-CN"/>
              </w:rPr>
              <w:t>工</w:t>
            </w:r>
            <w:r>
              <w:rPr>
                <w:rFonts w:hint="eastAsia" w:ascii="宋体" w:hAnsi="宋体" w:eastAsia="宋体" w:cs="宋体"/>
                <w:sz w:val="22"/>
              </w:rPr>
              <w:t>况</w:t>
            </w:r>
            <w:r>
              <w:rPr>
                <w:rFonts w:hint="eastAsia" w:ascii="宋体" w:hAnsi="宋体" w:cs="宋体"/>
                <w:sz w:val="22"/>
                <w:lang w:val="en-US" w:eastAsia="zh-CN"/>
              </w:rPr>
              <w:t>引起线圈电流变化</w:t>
            </w:r>
            <w:r>
              <w:rPr>
                <w:rFonts w:hint="eastAsia" w:ascii="宋体" w:hAnsi="宋体" w:cs="宋体"/>
                <w:sz w:val="22"/>
                <w:lang w:val="en-US" w:eastAsia="zh-CN"/>
              </w:rPr>
              <w:t>的</w:t>
            </w:r>
            <w:r>
              <w:rPr>
                <w:rFonts w:hint="eastAsia" w:ascii="宋体" w:hAnsi="宋体" w:cs="宋体"/>
                <w:sz w:val="22"/>
                <w:lang w:val="en-US" w:eastAsia="zh-CN"/>
              </w:rPr>
              <w:t>情况</w:t>
            </w:r>
            <w:r>
              <w:rPr>
                <w:rFonts w:hint="eastAsia" w:ascii="宋体" w:hAnsi="宋体" w:eastAsia="宋体" w:cs="宋体"/>
                <w:sz w:val="22"/>
              </w:rPr>
              <w:t>；</w:t>
            </w:r>
            <w:r>
              <w:rPr>
                <w:rFonts w:hint="eastAsia" w:ascii="宋体" w:hAnsi="宋体" w:eastAsia="宋体" w:cs="宋体"/>
                <w:sz w:val="22"/>
              </w:rPr>
              <w:br w:type="textWrapping"/>
            </w:r>
            <w:r>
              <w:rPr>
                <w:rFonts w:hint="eastAsia" w:ascii="宋体" w:hAnsi="宋体" w:cs="宋体"/>
                <w:sz w:val="22"/>
                <w:lang w:val="en-US" w:eastAsia="zh-CN"/>
              </w:rPr>
              <w:t>2</w:t>
            </w:r>
            <w:r>
              <w:rPr>
                <w:rFonts w:hint="eastAsia" w:ascii="宋体" w:hAnsi="宋体" w:eastAsia="宋体" w:cs="宋体"/>
                <w:sz w:val="22"/>
              </w:rPr>
              <w:t>. 完成</w:t>
            </w:r>
            <w:r>
              <w:rPr>
                <w:rFonts w:hint="eastAsia" w:ascii="宋体" w:hAnsi="宋体" w:cs="宋体"/>
                <w:sz w:val="22"/>
                <w:lang w:val="en-US" w:eastAsia="zh-CN"/>
              </w:rPr>
              <w:t>装置</w:t>
            </w:r>
            <w:r>
              <w:rPr>
                <w:rFonts w:hint="eastAsia" w:ascii="宋体" w:hAnsi="宋体" w:eastAsia="宋体" w:cs="宋体"/>
                <w:sz w:val="22"/>
              </w:rPr>
              <w:t>整体结构、</w:t>
            </w:r>
            <w:r>
              <w:rPr>
                <w:rFonts w:hint="eastAsia" w:ascii="宋体" w:hAnsi="宋体" w:cs="宋体"/>
                <w:sz w:val="22"/>
                <w:lang w:val="en-US" w:eastAsia="zh-CN"/>
              </w:rPr>
              <w:t>测试</w:t>
            </w:r>
            <w:r>
              <w:rPr>
                <w:rFonts w:hint="eastAsia" w:ascii="宋体" w:hAnsi="宋体" w:eastAsia="宋体" w:cs="宋体"/>
                <w:sz w:val="22"/>
              </w:rPr>
              <w:t>方案设计</w:t>
            </w:r>
            <w:r>
              <w:rPr>
                <w:rFonts w:hint="eastAsia" w:ascii="宋体" w:hAnsi="宋体" w:cs="宋体"/>
                <w:sz w:val="22"/>
                <w:lang w:eastAsia="zh-CN"/>
              </w:rPr>
              <w:t>。</w:t>
            </w:r>
            <w:r>
              <w:rPr>
                <w:rFonts w:hint="eastAsia" w:ascii="宋体" w:hAnsi="宋体" w:eastAsia="宋体" w:cs="宋体"/>
                <w:sz w:val="22"/>
              </w:rPr>
              <w:br w:type="textWrapping"/>
            </w:r>
            <w:r>
              <w:rPr>
                <w:rFonts w:hint="eastAsia" w:ascii="宋体" w:hAnsi="宋体" w:eastAsia="宋体" w:cs="宋体"/>
                <w:sz w:val="22"/>
              </w:rPr>
              <w:t>交付：完整</w:t>
            </w:r>
            <w:r>
              <w:rPr>
                <w:rFonts w:hint="eastAsia" w:ascii="宋体" w:hAnsi="宋体" w:cs="宋体"/>
                <w:sz w:val="22"/>
                <w:lang w:val="en-US" w:eastAsia="zh-CN"/>
              </w:rPr>
              <w:t>装置操作说明书</w:t>
            </w:r>
            <w:r>
              <w:rPr>
                <w:rFonts w:hint="eastAsia" w:ascii="宋体" w:hAnsi="宋体" w:eastAsia="宋体" w:cs="宋体"/>
                <w:sz w:val="22"/>
              </w:rPr>
              <w:t xml:space="preserve"> 1 份、初步</w:t>
            </w:r>
            <w:r>
              <w:rPr>
                <w:rFonts w:hint="eastAsia" w:ascii="宋体" w:hAnsi="宋体" w:cs="宋体"/>
                <w:sz w:val="22"/>
                <w:lang w:val="en-US" w:eastAsia="zh-CN"/>
              </w:rPr>
              <w:t>构造</w:t>
            </w:r>
            <w:r>
              <w:rPr>
                <w:rFonts w:hint="eastAsia" w:ascii="宋体" w:hAnsi="宋体" w:eastAsia="宋体" w:cs="宋体"/>
                <w:sz w:val="22"/>
              </w:rPr>
              <w:t>图</w:t>
            </w:r>
          </w:p>
        </w:tc>
      </w:tr>
      <w:tr w14:paraId="2C451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57" w:hRule="atLeast"/>
          <w:jc w:val="center"/>
        </w:trPr>
        <w:tc>
          <w:tcPr>
            <w:tcW w:w="1737" w:type="dxa"/>
            <w:noWrap w:val="0"/>
            <w:vAlign w:val="top"/>
          </w:tcPr>
          <w:p w14:paraId="0CF2D0E4">
            <w:pPr>
              <w:spacing w:before="120" w:after="120" w:line="288" w:lineRule="auto"/>
              <w:ind w:left="0" w:leftChars="0"/>
              <w:jc w:val="left"/>
              <w:rPr>
                <w:rFonts w:hint="eastAsia" w:ascii="宋体" w:hAnsi="宋体" w:eastAsia="宋体" w:cs="宋体"/>
                <w:kern w:val="2"/>
                <w:sz w:val="21"/>
                <w:szCs w:val="21"/>
                <w:highlight w:val="none"/>
              </w:rPr>
            </w:pPr>
            <w:r>
              <w:rPr>
                <w:rFonts w:hint="eastAsia" w:ascii="宋体" w:hAnsi="宋体" w:eastAsia="宋体" w:cs="宋体"/>
                <w:sz w:val="22"/>
              </w:rPr>
              <w:t>样机试制</w:t>
            </w:r>
          </w:p>
        </w:tc>
        <w:tc>
          <w:tcPr>
            <w:tcW w:w="1734" w:type="dxa"/>
            <w:noWrap w:val="0"/>
            <w:vAlign w:val="top"/>
          </w:tcPr>
          <w:p w14:paraId="310A5E4E">
            <w:pPr>
              <w:spacing w:before="120" w:after="120" w:line="288" w:lineRule="auto"/>
              <w:ind w:left="0" w:leftChars="0"/>
              <w:jc w:val="left"/>
              <w:rPr>
                <w:rFonts w:hint="eastAsia" w:ascii="宋体" w:hAnsi="宋体" w:eastAsia="宋体" w:cs="宋体"/>
                <w:sz w:val="24"/>
              </w:rPr>
            </w:pPr>
            <w:r>
              <w:rPr>
                <w:rFonts w:hint="eastAsia" w:ascii="宋体" w:hAnsi="宋体" w:eastAsia="宋体" w:cs="宋体"/>
                <w:sz w:val="22"/>
              </w:rPr>
              <w:t xml:space="preserve">采购结果确定后 </w:t>
            </w:r>
            <w:r>
              <w:rPr>
                <w:rFonts w:hint="eastAsia" w:ascii="宋体" w:hAnsi="宋体" w:cs="宋体"/>
                <w:sz w:val="22"/>
                <w:lang w:val="en-US" w:eastAsia="zh-CN"/>
              </w:rPr>
              <w:t>2</w:t>
            </w:r>
            <w:r>
              <w:rPr>
                <w:rFonts w:hint="eastAsia" w:ascii="宋体" w:hAnsi="宋体" w:eastAsia="宋体" w:cs="宋体"/>
                <w:sz w:val="22"/>
              </w:rPr>
              <w:t>个月内</w:t>
            </w:r>
          </w:p>
        </w:tc>
        <w:tc>
          <w:tcPr>
            <w:tcW w:w="5358" w:type="dxa"/>
            <w:noWrap w:val="0"/>
            <w:vAlign w:val="top"/>
          </w:tcPr>
          <w:p w14:paraId="4CC168F9">
            <w:pPr>
              <w:spacing w:before="120" w:after="120" w:line="288" w:lineRule="auto"/>
              <w:ind w:left="0" w:leftChars="0"/>
              <w:jc w:val="left"/>
              <w:rPr>
                <w:rFonts w:hint="eastAsia" w:ascii="宋体" w:hAnsi="宋体" w:eastAsia="宋体" w:cs="宋体"/>
              </w:rPr>
            </w:pPr>
            <w:r>
              <w:rPr>
                <w:rFonts w:hint="eastAsia" w:ascii="宋体" w:hAnsi="宋体" w:cs="宋体"/>
                <w:sz w:val="22"/>
                <w:lang w:val="en-US" w:eastAsia="zh-CN"/>
              </w:rPr>
              <w:t>1.装置</w:t>
            </w:r>
            <w:r>
              <w:rPr>
                <w:rFonts w:hint="eastAsia" w:ascii="宋体" w:hAnsi="宋体" w:eastAsia="宋体" w:cs="宋体"/>
                <w:sz w:val="22"/>
              </w:rPr>
              <w:t>加工；</w:t>
            </w:r>
            <w:r>
              <w:rPr>
                <w:rFonts w:hint="eastAsia" w:ascii="宋体" w:hAnsi="宋体" w:eastAsia="宋体" w:cs="宋体"/>
                <w:sz w:val="22"/>
                <w:lang w:val="en-US" w:eastAsia="zh-CN"/>
              </w:rPr>
              <w:br w:type="textWrapping"/>
            </w:r>
            <w:r>
              <w:rPr>
                <w:rFonts w:hint="eastAsia" w:ascii="宋体" w:hAnsi="宋体" w:eastAsia="宋体" w:cs="宋体"/>
                <w:sz w:val="22"/>
                <w:lang w:val="en-US" w:eastAsia="zh-CN"/>
              </w:rPr>
              <w:t>2.首版样机加工装配、调试；</w:t>
            </w:r>
            <w:r>
              <w:rPr>
                <w:rFonts w:hint="eastAsia" w:ascii="宋体" w:hAnsi="宋体" w:eastAsia="宋体" w:cs="宋体"/>
                <w:sz w:val="22"/>
                <w:lang w:val="en-US" w:eastAsia="zh-CN"/>
              </w:rPr>
              <w:br w:type="textWrapping"/>
            </w:r>
            <w:r>
              <w:rPr>
                <w:rFonts w:hint="eastAsia" w:ascii="宋体" w:hAnsi="宋体" w:eastAsia="宋体" w:cs="宋体"/>
                <w:sz w:val="22"/>
                <w:lang w:val="en-US" w:eastAsia="zh-CN"/>
              </w:rPr>
              <w:t>3.迭代优化缺陷。</w:t>
            </w:r>
            <w:r>
              <w:rPr>
                <w:rFonts w:hint="eastAsia" w:ascii="宋体" w:hAnsi="宋体" w:eastAsia="宋体" w:cs="宋体"/>
                <w:sz w:val="22"/>
                <w:lang w:val="en-US" w:eastAsia="zh-CN"/>
              </w:rPr>
              <w:br w:type="textWrapping"/>
            </w:r>
            <w:r>
              <w:rPr>
                <w:rFonts w:hint="eastAsia" w:ascii="宋体" w:hAnsi="宋体" w:eastAsia="宋体" w:cs="宋体"/>
                <w:sz w:val="22"/>
                <w:lang w:val="en-US" w:eastAsia="zh-CN"/>
              </w:rPr>
              <w:t>交付：装置样机 1 套</w:t>
            </w:r>
          </w:p>
        </w:tc>
      </w:tr>
      <w:tr w14:paraId="248DF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09" w:hRule="atLeast"/>
          <w:jc w:val="center"/>
        </w:trPr>
        <w:tc>
          <w:tcPr>
            <w:tcW w:w="1737" w:type="dxa"/>
            <w:noWrap w:val="0"/>
            <w:vAlign w:val="top"/>
          </w:tcPr>
          <w:p w14:paraId="18F89A74">
            <w:pPr>
              <w:spacing w:before="120" w:after="120" w:line="288" w:lineRule="auto"/>
              <w:ind w:left="0" w:leftChars="0"/>
              <w:jc w:val="left"/>
              <w:rPr>
                <w:rFonts w:hint="eastAsia" w:ascii="宋体" w:hAnsi="宋体" w:eastAsia="宋体" w:cs="宋体"/>
                <w:kern w:val="2"/>
                <w:sz w:val="21"/>
                <w:szCs w:val="21"/>
                <w:highlight w:val="none"/>
              </w:rPr>
            </w:pPr>
            <w:r>
              <w:rPr>
                <w:rFonts w:hint="eastAsia" w:ascii="宋体" w:hAnsi="宋体" w:eastAsia="宋体" w:cs="宋体"/>
                <w:sz w:val="22"/>
              </w:rPr>
              <w:t>现场试用与优化</w:t>
            </w:r>
          </w:p>
        </w:tc>
        <w:tc>
          <w:tcPr>
            <w:tcW w:w="1734" w:type="dxa"/>
            <w:noWrap w:val="0"/>
            <w:vAlign w:val="top"/>
          </w:tcPr>
          <w:p w14:paraId="35C52FF6">
            <w:pPr>
              <w:spacing w:before="120" w:after="120" w:line="288" w:lineRule="auto"/>
              <w:ind w:left="0" w:leftChars="0"/>
              <w:jc w:val="left"/>
              <w:rPr>
                <w:rFonts w:hint="eastAsia" w:ascii="宋体" w:hAnsi="宋体" w:eastAsia="宋体" w:cs="宋体"/>
                <w:sz w:val="24"/>
              </w:rPr>
            </w:pPr>
            <w:r>
              <w:rPr>
                <w:rFonts w:hint="eastAsia" w:ascii="宋体" w:hAnsi="宋体" w:eastAsia="宋体" w:cs="宋体"/>
                <w:sz w:val="22"/>
              </w:rPr>
              <w:t xml:space="preserve">采购结果确定后 </w:t>
            </w:r>
            <w:r>
              <w:rPr>
                <w:rFonts w:hint="eastAsia" w:ascii="宋体" w:hAnsi="宋体" w:cs="宋体"/>
                <w:sz w:val="22"/>
                <w:lang w:val="en-US" w:eastAsia="zh-CN"/>
              </w:rPr>
              <w:t>4</w:t>
            </w:r>
            <w:r>
              <w:rPr>
                <w:rFonts w:hint="eastAsia" w:ascii="宋体" w:hAnsi="宋体" w:eastAsia="宋体" w:cs="宋体"/>
                <w:sz w:val="22"/>
              </w:rPr>
              <w:t xml:space="preserve"> 个月内</w:t>
            </w:r>
          </w:p>
        </w:tc>
        <w:tc>
          <w:tcPr>
            <w:tcW w:w="5358" w:type="dxa"/>
            <w:noWrap w:val="0"/>
            <w:vAlign w:val="top"/>
          </w:tcPr>
          <w:p w14:paraId="0775C4B8">
            <w:pPr>
              <w:spacing w:before="120" w:after="120" w:line="288" w:lineRule="auto"/>
              <w:ind w:left="0" w:leftChars="0"/>
              <w:jc w:val="left"/>
              <w:rPr>
                <w:rFonts w:hint="eastAsia" w:ascii="宋体" w:hAnsi="宋体" w:eastAsia="宋体" w:cs="宋体"/>
                <w:kern w:val="2"/>
                <w:sz w:val="21"/>
                <w:szCs w:val="21"/>
                <w:lang w:val="en-US" w:eastAsia="zh-CN"/>
              </w:rPr>
            </w:pPr>
            <w:r>
              <w:rPr>
                <w:rFonts w:hint="eastAsia" w:ascii="宋体" w:hAnsi="宋体" w:eastAsia="宋体" w:cs="宋体"/>
                <w:sz w:val="22"/>
              </w:rPr>
              <w:t xml:space="preserve">1. </w:t>
            </w:r>
            <w:r>
              <w:rPr>
                <w:rFonts w:hint="eastAsia" w:ascii="宋体" w:hAnsi="宋体" w:eastAsia="宋体" w:cs="宋体"/>
                <w:sz w:val="22"/>
                <w:lang w:val="en-US" w:eastAsia="zh-CN"/>
              </w:rPr>
              <w:t>模拟工况</w:t>
            </w:r>
            <w:r>
              <w:rPr>
                <w:rFonts w:hint="eastAsia" w:ascii="宋体" w:hAnsi="宋体" w:eastAsia="宋体" w:cs="宋体"/>
                <w:sz w:val="22"/>
              </w:rPr>
              <w:t>试用；</w:t>
            </w:r>
            <w:r>
              <w:rPr>
                <w:rFonts w:hint="eastAsia" w:ascii="宋体" w:hAnsi="宋体" w:eastAsia="宋体" w:cs="宋体"/>
                <w:sz w:val="22"/>
              </w:rPr>
              <w:br w:type="textWrapping"/>
            </w:r>
            <w:r>
              <w:rPr>
                <w:rFonts w:hint="eastAsia" w:ascii="宋体" w:hAnsi="宋体" w:eastAsia="宋体" w:cs="宋体"/>
                <w:sz w:val="22"/>
              </w:rPr>
              <w:t>2. 收集</w:t>
            </w:r>
            <w:r>
              <w:rPr>
                <w:rFonts w:hint="eastAsia" w:ascii="宋体" w:hAnsi="宋体" w:cs="宋体"/>
                <w:sz w:val="22"/>
                <w:lang w:val="en-US" w:eastAsia="zh-CN"/>
              </w:rPr>
              <w:t>检修</w:t>
            </w:r>
            <w:r>
              <w:rPr>
                <w:rFonts w:hint="eastAsia" w:ascii="宋体" w:hAnsi="宋体" w:eastAsia="宋体" w:cs="宋体"/>
                <w:sz w:val="22"/>
              </w:rPr>
              <w:t>人员</w:t>
            </w:r>
            <w:r>
              <w:rPr>
                <w:rFonts w:hint="eastAsia" w:ascii="宋体" w:hAnsi="宋体" w:cs="宋体"/>
                <w:sz w:val="22"/>
                <w:lang w:val="en-US" w:eastAsia="zh-CN"/>
              </w:rPr>
              <w:t>使用</w:t>
            </w:r>
            <w:r>
              <w:rPr>
                <w:rFonts w:hint="eastAsia" w:ascii="宋体" w:hAnsi="宋体" w:eastAsia="宋体" w:cs="宋体"/>
                <w:sz w:val="22"/>
              </w:rPr>
              <w:t>反馈，优化指标；</w:t>
            </w:r>
            <w:r>
              <w:rPr>
                <w:rFonts w:hint="eastAsia" w:ascii="宋体" w:hAnsi="宋体" w:eastAsia="宋体" w:cs="宋体"/>
                <w:sz w:val="22"/>
              </w:rPr>
              <w:br w:type="textWrapping"/>
            </w:r>
            <w:r>
              <w:rPr>
                <w:rFonts w:hint="eastAsia" w:ascii="宋体" w:hAnsi="宋体" w:eastAsia="宋体" w:cs="宋体"/>
                <w:sz w:val="22"/>
              </w:rPr>
              <w:t>3. 完成最终</w:t>
            </w:r>
            <w:r>
              <w:rPr>
                <w:rFonts w:hint="eastAsia" w:ascii="宋体" w:hAnsi="宋体" w:cs="宋体"/>
                <w:sz w:val="22"/>
                <w:lang w:val="en-US" w:eastAsia="zh-CN"/>
              </w:rPr>
              <w:t>装置。</w:t>
            </w:r>
            <w:r>
              <w:rPr>
                <w:rFonts w:hint="eastAsia" w:ascii="宋体" w:hAnsi="宋体" w:eastAsia="宋体" w:cs="宋体"/>
                <w:sz w:val="22"/>
              </w:rPr>
              <w:br w:type="textWrapping"/>
            </w:r>
            <w:r>
              <w:rPr>
                <w:rFonts w:hint="eastAsia" w:ascii="宋体" w:hAnsi="宋体" w:eastAsia="宋体" w:cs="宋体"/>
                <w:sz w:val="22"/>
              </w:rPr>
              <w:t>交付：定型成品</w:t>
            </w:r>
            <w:r>
              <w:rPr>
                <w:rFonts w:hint="eastAsia" w:ascii="宋体" w:hAnsi="宋体" w:cs="宋体"/>
                <w:sz w:val="22"/>
                <w:lang w:val="en-US" w:eastAsia="zh-CN"/>
              </w:rPr>
              <w:t>装置</w:t>
            </w:r>
            <w:r>
              <w:rPr>
                <w:rFonts w:hint="eastAsia" w:ascii="宋体" w:hAnsi="宋体" w:eastAsia="宋体" w:cs="宋体"/>
                <w:sz w:val="22"/>
              </w:rPr>
              <w:t xml:space="preserve"> 1 套</w:t>
            </w:r>
          </w:p>
        </w:tc>
      </w:tr>
      <w:tr w14:paraId="4EE26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jc w:val="center"/>
        </w:trPr>
        <w:tc>
          <w:tcPr>
            <w:tcW w:w="1737" w:type="dxa"/>
            <w:noWrap w:val="0"/>
            <w:vAlign w:val="top"/>
          </w:tcPr>
          <w:p w14:paraId="4A7FDAFE">
            <w:pPr>
              <w:spacing w:before="120" w:after="120" w:line="288" w:lineRule="auto"/>
              <w:ind w:left="0" w:leftChars="0"/>
              <w:jc w:val="left"/>
              <w:rPr>
                <w:rFonts w:hint="eastAsia" w:ascii="宋体" w:hAnsi="宋体" w:eastAsia="宋体" w:cs="宋体"/>
                <w:highlight w:val="none"/>
              </w:rPr>
            </w:pPr>
            <w:r>
              <w:rPr>
                <w:rFonts w:hint="eastAsia" w:ascii="宋体" w:hAnsi="宋体" w:eastAsia="宋体" w:cs="宋体"/>
                <w:sz w:val="22"/>
              </w:rPr>
              <w:t>试验与技术文件编制</w:t>
            </w:r>
          </w:p>
        </w:tc>
        <w:tc>
          <w:tcPr>
            <w:tcW w:w="1734" w:type="dxa"/>
            <w:noWrap w:val="0"/>
            <w:vAlign w:val="top"/>
          </w:tcPr>
          <w:p w14:paraId="5A1B1BF1">
            <w:pPr>
              <w:spacing w:before="120" w:after="120" w:line="288" w:lineRule="auto"/>
              <w:ind w:left="0" w:leftChars="0"/>
              <w:jc w:val="left"/>
              <w:rPr>
                <w:rFonts w:hint="eastAsia" w:ascii="宋体" w:hAnsi="宋体" w:eastAsia="宋体" w:cs="宋体"/>
                <w:sz w:val="24"/>
                <w:highlight w:val="none"/>
              </w:rPr>
            </w:pPr>
            <w:r>
              <w:rPr>
                <w:rFonts w:hint="eastAsia" w:ascii="宋体" w:hAnsi="宋体" w:eastAsia="宋体" w:cs="宋体"/>
                <w:sz w:val="22"/>
              </w:rPr>
              <w:t xml:space="preserve">采购结果确定后 </w:t>
            </w:r>
            <w:r>
              <w:rPr>
                <w:rFonts w:hint="eastAsia" w:ascii="宋体" w:hAnsi="宋体" w:cs="宋体"/>
                <w:sz w:val="22"/>
                <w:lang w:val="en-US" w:eastAsia="zh-CN"/>
              </w:rPr>
              <w:t>5</w:t>
            </w:r>
            <w:r>
              <w:rPr>
                <w:rFonts w:hint="eastAsia" w:ascii="宋体" w:hAnsi="宋体" w:eastAsia="宋体" w:cs="宋体"/>
                <w:sz w:val="22"/>
              </w:rPr>
              <w:t>个月内</w:t>
            </w:r>
          </w:p>
        </w:tc>
        <w:tc>
          <w:tcPr>
            <w:tcW w:w="5358" w:type="dxa"/>
            <w:noWrap w:val="0"/>
            <w:vAlign w:val="top"/>
          </w:tcPr>
          <w:p w14:paraId="14A56BB5">
            <w:pPr>
              <w:spacing w:before="120" w:after="120" w:line="288" w:lineRule="auto"/>
              <w:ind w:left="0" w:leftChars="0"/>
              <w:jc w:val="left"/>
              <w:rPr>
                <w:rFonts w:hint="eastAsia" w:ascii="宋体" w:hAnsi="宋体" w:eastAsia="宋体" w:cs="宋体"/>
                <w:highlight w:val="none"/>
              </w:rPr>
            </w:pPr>
            <w:r>
              <w:rPr>
                <w:rFonts w:hint="eastAsia" w:ascii="宋体" w:hAnsi="宋体" w:eastAsia="宋体" w:cs="宋体"/>
                <w:sz w:val="22"/>
              </w:rPr>
              <w:t xml:space="preserve">1. </w:t>
            </w:r>
            <w:r>
              <w:rPr>
                <w:rFonts w:hint="eastAsia" w:ascii="宋体" w:hAnsi="宋体" w:eastAsia="宋体" w:cs="宋体"/>
                <w:sz w:val="22"/>
                <w:lang w:val="en-US" w:eastAsia="zh-CN"/>
              </w:rPr>
              <w:t>提供产品的试验报告</w:t>
            </w:r>
            <w:r>
              <w:rPr>
                <w:rFonts w:hint="eastAsia" w:ascii="宋体" w:hAnsi="宋体" w:eastAsia="宋体" w:cs="宋体"/>
                <w:sz w:val="22"/>
              </w:rPr>
              <w:t>；</w:t>
            </w:r>
            <w:r>
              <w:rPr>
                <w:rFonts w:hint="eastAsia" w:ascii="宋体" w:hAnsi="宋体" w:eastAsia="宋体" w:cs="宋体"/>
                <w:sz w:val="22"/>
              </w:rPr>
              <w:br w:type="textWrapping"/>
            </w:r>
            <w:r>
              <w:rPr>
                <w:rFonts w:hint="eastAsia" w:ascii="宋体" w:hAnsi="宋体" w:eastAsia="宋体" w:cs="宋体"/>
                <w:sz w:val="22"/>
                <w:lang w:val="en-US" w:eastAsia="zh-CN"/>
              </w:rPr>
              <w:t>2</w:t>
            </w:r>
            <w:r>
              <w:rPr>
                <w:rFonts w:hint="eastAsia" w:ascii="宋体" w:hAnsi="宋体" w:eastAsia="宋体" w:cs="宋体"/>
                <w:sz w:val="22"/>
              </w:rPr>
              <w:t xml:space="preserve">. </w:t>
            </w:r>
            <w:r>
              <w:rPr>
                <w:rFonts w:hint="eastAsia" w:ascii="宋体" w:hAnsi="宋体" w:cs="宋体"/>
                <w:sz w:val="22"/>
                <w:lang w:val="en-US" w:eastAsia="zh-CN"/>
              </w:rPr>
              <w:t>配合</w:t>
            </w:r>
            <w:r>
              <w:rPr>
                <w:rFonts w:hint="eastAsia" w:ascii="宋体" w:hAnsi="宋体" w:eastAsia="宋体" w:cs="宋体"/>
                <w:sz w:val="22"/>
              </w:rPr>
              <w:t>编制专利申报材料</w:t>
            </w:r>
            <w:r>
              <w:rPr>
                <w:rFonts w:hint="eastAsia" w:ascii="宋体" w:hAnsi="宋体" w:eastAsia="宋体" w:cs="宋体"/>
                <w:sz w:val="22"/>
              </w:rPr>
              <w:br w:type="textWrapping"/>
            </w:r>
            <w:r>
              <w:rPr>
                <w:rFonts w:hint="eastAsia" w:ascii="宋体" w:hAnsi="宋体" w:eastAsia="宋体" w:cs="宋体"/>
                <w:sz w:val="22"/>
              </w:rPr>
              <w:t>交付：试验报告、技术资料、专利申</w:t>
            </w:r>
            <w:bookmarkStart w:id="55" w:name="_GoBack"/>
            <w:bookmarkEnd w:id="55"/>
            <w:r>
              <w:rPr>
                <w:rFonts w:hint="eastAsia" w:ascii="宋体" w:hAnsi="宋体" w:eastAsia="宋体" w:cs="宋体"/>
                <w:sz w:val="22"/>
              </w:rPr>
              <w:t>报材料</w:t>
            </w:r>
          </w:p>
        </w:tc>
      </w:tr>
    </w:tbl>
    <w:p w14:paraId="77EE51CD">
      <w:pPr>
        <w:snapToGrid w:val="0"/>
        <w:spacing w:before="120"/>
        <w:rPr>
          <w:rFonts w:ascii="黑体" w:hAnsi="黑体" w:eastAsia="黑体" w:cs="黑体"/>
          <w:b/>
          <w:bCs/>
          <w:sz w:val="28"/>
          <w:szCs w:val="36"/>
        </w:rPr>
      </w:pPr>
      <w:r>
        <w:rPr>
          <w:rFonts w:hint="eastAsia" w:ascii="黑体" w:hAnsi="黑体" w:eastAsia="黑体" w:cs="黑体"/>
          <w:b/>
          <w:bCs/>
          <w:sz w:val="28"/>
          <w:szCs w:val="36"/>
          <w:lang w:val="en-US" w:eastAsia="zh-CN"/>
        </w:rPr>
        <w:t>7</w:t>
      </w:r>
      <w:r>
        <w:rPr>
          <w:rFonts w:hint="eastAsia" w:ascii="黑体" w:hAnsi="黑体" w:eastAsia="黑体" w:cs="黑体"/>
          <w:b/>
          <w:bCs/>
          <w:sz w:val="28"/>
          <w:szCs w:val="36"/>
        </w:rPr>
        <w:t>.项目验收</w:t>
      </w:r>
      <w:bookmarkEnd w:id="38"/>
      <w:bookmarkEnd w:id="39"/>
      <w:bookmarkEnd w:id="40"/>
      <w:bookmarkEnd w:id="41"/>
      <w:bookmarkEnd w:id="42"/>
      <w:bookmarkEnd w:id="43"/>
      <w:bookmarkEnd w:id="44"/>
    </w:p>
    <w:p w14:paraId="0CC52F0B">
      <w:pPr>
        <w:rPr>
          <w:rFonts w:ascii="宋体" w:hAnsi="宋体" w:cs="宋体"/>
          <w:sz w:val="24"/>
        </w:rPr>
      </w:pPr>
      <w:r>
        <w:rPr>
          <w:rFonts w:hint="eastAsia" w:ascii="宋体" w:hAnsi="宋体" w:cs="宋体"/>
          <w:sz w:val="24"/>
          <w:lang w:val="en-US" w:eastAsia="zh-CN"/>
        </w:rPr>
        <w:t>7</w:t>
      </w:r>
      <w:r>
        <w:rPr>
          <w:rFonts w:hint="eastAsia" w:ascii="宋体" w:hAnsi="宋体" w:cs="宋体"/>
          <w:sz w:val="24"/>
        </w:rPr>
        <w:t>.1项目验收。投标方在自评具备验收条件后提出验收申请，招标方在收到验收申请后组织专家对所有项目材料和相关成果进行评审，开展项目验收。项目验收后，验收人员将根据实际情况提出验收</w:t>
      </w:r>
      <w:r>
        <w:rPr>
          <w:rFonts w:hint="eastAsia" w:ascii="宋体" w:hAnsi="宋体" w:cs="宋体"/>
          <w:sz w:val="24"/>
          <w:lang w:val="en-US" w:eastAsia="zh-CN"/>
        </w:rPr>
        <w:t>意见</w:t>
      </w:r>
      <w:r>
        <w:rPr>
          <w:rFonts w:hint="eastAsia" w:ascii="宋体" w:hAnsi="宋体" w:cs="宋体"/>
          <w:sz w:val="24"/>
        </w:rPr>
        <w:t>，如若有需要整改的内容，投标方在验收后应主动配合招标方严格按照整改意见进行整改完善。</w:t>
      </w:r>
    </w:p>
    <w:p w14:paraId="03AA7F5C">
      <w:pPr>
        <w:snapToGrid w:val="0"/>
        <w:spacing w:before="120"/>
        <w:rPr>
          <w:rFonts w:ascii="黑体" w:hAnsi="黑体" w:eastAsia="黑体" w:cs="黑体"/>
          <w:b/>
          <w:bCs/>
          <w:sz w:val="28"/>
          <w:szCs w:val="36"/>
        </w:rPr>
      </w:pPr>
      <w:r>
        <w:rPr>
          <w:rFonts w:hint="eastAsia" w:ascii="黑体" w:hAnsi="黑体" w:eastAsia="黑体" w:cs="黑体"/>
          <w:b/>
          <w:bCs/>
          <w:sz w:val="28"/>
          <w:szCs w:val="36"/>
          <w:lang w:val="en-US" w:eastAsia="zh-CN"/>
        </w:rPr>
        <w:t>8.</w:t>
      </w:r>
      <w:r>
        <w:rPr>
          <w:rFonts w:hint="eastAsia" w:ascii="黑体" w:hAnsi="黑体" w:eastAsia="黑体" w:cs="黑体"/>
          <w:b/>
          <w:bCs/>
          <w:sz w:val="28"/>
          <w:szCs w:val="36"/>
        </w:rPr>
        <w:t>其他要求</w:t>
      </w:r>
      <w:bookmarkEnd w:id="45"/>
    </w:p>
    <w:p w14:paraId="21B31973">
      <w:pPr>
        <w:rPr>
          <w:rFonts w:ascii="宋体" w:hAnsi="宋体" w:cs="宋体"/>
          <w:sz w:val="24"/>
        </w:rPr>
      </w:pPr>
      <w:r>
        <w:rPr>
          <w:rFonts w:hint="eastAsia" w:ascii="宋体" w:hAnsi="宋体" w:cs="宋体"/>
          <w:sz w:val="24"/>
        </w:rPr>
        <w:t>本技术规范书中的未尽事宜，请与中国南方电网有限责任公司超高压输电公司南宁局联系。</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Helvetica">
    <w:altName w:val="Arial"/>
    <w:panose1 w:val="020B0604020202020204"/>
    <w:charset w:val="00"/>
    <w:family w:val="swiss"/>
    <w:pitch w:val="default"/>
    <w:sig w:usb0="00000000" w:usb1="00000000" w:usb2="00000009" w:usb3="00000000" w:csb0="000001FF" w:csb1="0000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0"/>
    <w:multiLevelType w:val="multilevel"/>
    <w:tmpl w:val="00000010"/>
    <w:lvl w:ilvl="0" w:tentative="0">
      <w:start w:val="1"/>
      <w:numFmt w:val="decimal"/>
      <w:pStyle w:val="4"/>
      <w:suff w:val="space"/>
      <w:lvlText w:val="%1."/>
      <w:lvlJc w:val="left"/>
      <w:pPr>
        <w:ind w:left="480" w:firstLine="0"/>
      </w:pPr>
      <w:rPr>
        <w:rFonts w:hint="eastAsia"/>
      </w:rPr>
    </w:lvl>
    <w:lvl w:ilvl="1" w:tentative="0">
      <w:start w:val="1"/>
      <w:numFmt w:val="decimal"/>
      <w:lvlText w:val="%1.%2."/>
      <w:lvlJc w:val="left"/>
      <w:pPr>
        <w:ind w:left="480" w:firstLine="0"/>
      </w:pPr>
      <w:rPr>
        <w:rFonts w:hint="eastAsia"/>
      </w:rPr>
    </w:lvl>
    <w:lvl w:ilvl="2" w:tentative="0">
      <w:start w:val="1"/>
      <w:numFmt w:val="decimal"/>
      <w:lvlText w:val="%1.%2.%3."/>
      <w:lvlJc w:val="left"/>
      <w:pPr>
        <w:ind w:left="480" w:firstLine="0"/>
      </w:pPr>
      <w:rPr>
        <w:rFonts w:hint="eastAsia"/>
      </w:rPr>
    </w:lvl>
    <w:lvl w:ilvl="3" w:tentative="0">
      <w:start w:val="1"/>
      <w:numFmt w:val="decimal"/>
      <w:lvlText w:val="%1.%2.%3.%4."/>
      <w:lvlJc w:val="left"/>
      <w:pPr>
        <w:ind w:left="480" w:firstLine="0"/>
      </w:pPr>
      <w:rPr>
        <w:rFonts w:hint="eastAsia"/>
      </w:rPr>
    </w:lvl>
    <w:lvl w:ilvl="4" w:tentative="0">
      <w:start w:val="1"/>
      <w:numFmt w:val="decimal"/>
      <w:lvlText w:val="%1.%2.%3.%4.%5."/>
      <w:lvlJc w:val="left"/>
      <w:pPr>
        <w:ind w:left="480" w:firstLine="0"/>
      </w:pPr>
      <w:rPr>
        <w:rFonts w:hint="eastAsia"/>
      </w:rPr>
    </w:lvl>
    <w:lvl w:ilvl="5" w:tentative="0">
      <w:start w:val="1"/>
      <w:numFmt w:val="decimal"/>
      <w:lvlText w:val="%1.%2.%3.%4.%5.%6."/>
      <w:lvlJc w:val="left"/>
      <w:pPr>
        <w:ind w:left="480" w:firstLine="0"/>
      </w:pPr>
      <w:rPr>
        <w:rFonts w:hint="eastAsia"/>
      </w:rPr>
    </w:lvl>
    <w:lvl w:ilvl="6" w:tentative="0">
      <w:start w:val="1"/>
      <w:numFmt w:val="decimal"/>
      <w:lvlText w:val="%1.%2.%3.%4.%5.%6.%7."/>
      <w:lvlJc w:val="left"/>
      <w:pPr>
        <w:ind w:left="480" w:firstLine="0"/>
      </w:pPr>
      <w:rPr>
        <w:rFonts w:hint="eastAsia"/>
      </w:rPr>
    </w:lvl>
    <w:lvl w:ilvl="7" w:tentative="0">
      <w:start w:val="1"/>
      <w:numFmt w:val="decimal"/>
      <w:lvlText w:val="%1.%2.%3.%4.%5.%6.%7.%8."/>
      <w:lvlJc w:val="left"/>
      <w:pPr>
        <w:ind w:left="480" w:firstLine="0"/>
      </w:pPr>
      <w:rPr>
        <w:rFonts w:hint="eastAsia"/>
      </w:rPr>
    </w:lvl>
    <w:lvl w:ilvl="8" w:tentative="0">
      <w:start w:val="1"/>
      <w:numFmt w:val="decimal"/>
      <w:lvlText w:val="%1.%2.%3.%4.%5.%6.%7.%8.%9."/>
      <w:lvlJc w:val="left"/>
      <w:pPr>
        <w:ind w:left="48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ljYTRjNDAwYmIxNTUxMzYwNWZjOGVjNzhjMmNiNGYifQ=="/>
    <w:docVar w:name="KSO_WPS_MARK_KEY" w:val="d8c2494a-917d-458a-8fc8-613114da08d3"/>
  </w:docVars>
  <w:rsids>
    <w:rsidRoot w:val="191A5617"/>
    <w:rsid w:val="000177AE"/>
    <w:rsid w:val="00082A13"/>
    <w:rsid w:val="000A3B84"/>
    <w:rsid w:val="000B5C76"/>
    <w:rsid w:val="00103E7B"/>
    <w:rsid w:val="00122F3E"/>
    <w:rsid w:val="00134895"/>
    <w:rsid w:val="00146961"/>
    <w:rsid w:val="00180D33"/>
    <w:rsid w:val="00216FE8"/>
    <w:rsid w:val="0028440A"/>
    <w:rsid w:val="00291379"/>
    <w:rsid w:val="002A457E"/>
    <w:rsid w:val="00385919"/>
    <w:rsid w:val="003A4DD8"/>
    <w:rsid w:val="00452C8A"/>
    <w:rsid w:val="004A72AF"/>
    <w:rsid w:val="004C0933"/>
    <w:rsid w:val="00513DAD"/>
    <w:rsid w:val="00531528"/>
    <w:rsid w:val="00533971"/>
    <w:rsid w:val="00536D1C"/>
    <w:rsid w:val="005641EA"/>
    <w:rsid w:val="00583545"/>
    <w:rsid w:val="0058678F"/>
    <w:rsid w:val="00595297"/>
    <w:rsid w:val="005C42BD"/>
    <w:rsid w:val="005C7AAE"/>
    <w:rsid w:val="00633F47"/>
    <w:rsid w:val="00640D75"/>
    <w:rsid w:val="006852F9"/>
    <w:rsid w:val="006D6C23"/>
    <w:rsid w:val="006F59F4"/>
    <w:rsid w:val="007157BD"/>
    <w:rsid w:val="007318D0"/>
    <w:rsid w:val="00746122"/>
    <w:rsid w:val="007C6002"/>
    <w:rsid w:val="007D39A6"/>
    <w:rsid w:val="0081520A"/>
    <w:rsid w:val="00825484"/>
    <w:rsid w:val="008806DD"/>
    <w:rsid w:val="009062CC"/>
    <w:rsid w:val="00921326"/>
    <w:rsid w:val="009622E8"/>
    <w:rsid w:val="009648F6"/>
    <w:rsid w:val="00975AE9"/>
    <w:rsid w:val="009B6782"/>
    <w:rsid w:val="009D048B"/>
    <w:rsid w:val="00A17398"/>
    <w:rsid w:val="00A34D7E"/>
    <w:rsid w:val="00A5073F"/>
    <w:rsid w:val="00A9312B"/>
    <w:rsid w:val="00AA6538"/>
    <w:rsid w:val="00AA7138"/>
    <w:rsid w:val="00B5473C"/>
    <w:rsid w:val="00B548A2"/>
    <w:rsid w:val="00C50F57"/>
    <w:rsid w:val="00CA3628"/>
    <w:rsid w:val="00CC1C57"/>
    <w:rsid w:val="00D235DA"/>
    <w:rsid w:val="00D620BA"/>
    <w:rsid w:val="00D70460"/>
    <w:rsid w:val="00DA4BCD"/>
    <w:rsid w:val="00DB19A9"/>
    <w:rsid w:val="00DD2B82"/>
    <w:rsid w:val="00DD609C"/>
    <w:rsid w:val="00E4648D"/>
    <w:rsid w:val="00E54E64"/>
    <w:rsid w:val="00EA1831"/>
    <w:rsid w:val="00F11A8A"/>
    <w:rsid w:val="00F71D64"/>
    <w:rsid w:val="00F73F8D"/>
    <w:rsid w:val="00FA086C"/>
    <w:rsid w:val="00FB4F1D"/>
    <w:rsid w:val="01543C57"/>
    <w:rsid w:val="04340829"/>
    <w:rsid w:val="06D27AF8"/>
    <w:rsid w:val="06F2484F"/>
    <w:rsid w:val="0A210078"/>
    <w:rsid w:val="0BA94C9D"/>
    <w:rsid w:val="0C030754"/>
    <w:rsid w:val="0CA05D46"/>
    <w:rsid w:val="0F966A31"/>
    <w:rsid w:val="10550F6F"/>
    <w:rsid w:val="128F30ED"/>
    <w:rsid w:val="12BD66DE"/>
    <w:rsid w:val="13132954"/>
    <w:rsid w:val="163A1216"/>
    <w:rsid w:val="16432CED"/>
    <w:rsid w:val="166F3EB8"/>
    <w:rsid w:val="191A5617"/>
    <w:rsid w:val="1A0A5C1B"/>
    <w:rsid w:val="1BD511FB"/>
    <w:rsid w:val="1F6703E9"/>
    <w:rsid w:val="1F8A11CF"/>
    <w:rsid w:val="20F20322"/>
    <w:rsid w:val="22001714"/>
    <w:rsid w:val="22431066"/>
    <w:rsid w:val="23D05B4F"/>
    <w:rsid w:val="27FA20BD"/>
    <w:rsid w:val="28677108"/>
    <w:rsid w:val="2AEE2FCE"/>
    <w:rsid w:val="2C0D5456"/>
    <w:rsid w:val="2C4C628B"/>
    <w:rsid w:val="2D630FAE"/>
    <w:rsid w:val="2DB575CA"/>
    <w:rsid w:val="2E9A689E"/>
    <w:rsid w:val="2F036DE8"/>
    <w:rsid w:val="2F8649A3"/>
    <w:rsid w:val="30936BC2"/>
    <w:rsid w:val="319B592F"/>
    <w:rsid w:val="33A11AE7"/>
    <w:rsid w:val="33F27DDD"/>
    <w:rsid w:val="34574C85"/>
    <w:rsid w:val="35577297"/>
    <w:rsid w:val="35F67F15"/>
    <w:rsid w:val="36515C79"/>
    <w:rsid w:val="373C54BB"/>
    <w:rsid w:val="37643739"/>
    <w:rsid w:val="37E33064"/>
    <w:rsid w:val="3B016E25"/>
    <w:rsid w:val="3B4F326E"/>
    <w:rsid w:val="3C0F5DF2"/>
    <w:rsid w:val="3EF75647"/>
    <w:rsid w:val="3FC46A7B"/>
    <w:rsid w:val="403E1100"/>
    <w:rsid w:val="40C512FC"/>
    <w:rsid w:val="428F0505"/>
    <w:rsid w:val="42C6746E"/>
    <w:rsid w:val="42EE5CD4"/>
    <w:rsid w:val="45D97826"/>
    <w:rsid w:val="45F20916"/>
    <w:rsid w:val="46927C50"/>
    <w:rsid w:val="469A2FDC"/>
    <w:rsid w:val="48736764"/>
    <w:rsid w:val="48D82303"/>
    <w:rsid w:val="4D3F13B6"/>
    <w:rsid w:val="4DFF75F2"/>
    <w:rsid w:val="52420D12"/>
    <w:rsid w:val="56061A78"/>
    <w:rsid w:val="5643156F"/>
    <w:rsid w:val="57AF48B9"/>
    <w:rsid w:val="592823C4"/>
    <w:rsid w:val="592C035C"/>
    <w:rsid w:val="5981212C"/>
    <w:rsid w:val="5A691DAF"/>
    <w:rsid w:val="5B187842"/>
    <w:rsid w:val="5D615387"/>
    <w:rsid w:val="61C27952"/>
    <w:rsid w:val="6212562E"/>
    <w:rsid w:val="62DB3950"/>
    <w:rsid w:val="62F53AC8"/>
    <w:rsid w:val="637B25C6"/>
    <w:rsid w:val="63D72C4E"/>
    <w:rsid w:val="661505CC"/>
    <w:rsid w:val="66FE4F15"/>
    <w:rsid w:val="69A41DA4"/>
    <w:rsid w:val="69BA736E"/>
    <w:rsid w:val="6A5A6906"/>
    <w:rsid w:val="6BCF0AA5"/>
    <w:rsid w:val="6BEF5D56"/>
    <w:rsid w:val="6C17004B"/>
    <w:rsid w:val="6E062826"/>
    <w:rsid w:val="6F0B1CE7"/>
    <w:rsid w:val="6F664872"/>
    <w:rsid w:val="6F942155"/>
    <w:rsid w:val="704439AD"/>
    <w:rsid w:val="74366DF1"/>
    <w:rsid w:val="74F35D39"/>
    <w:rsid w:val="75083064"/>
    <w:rsid w:val="75110011"/>
    <w:rsid w:val="76F24593"/>
    <w:rsid w:val="77C54214"/>
    <w:rsid w:val="7CCD3754"/>
    <w:rsid w:val="7D264EC2"/>
    <w:rsid w:val="7D5140B3"/>
    <w:rsid w:val="7ECD2D40"/>
    <w:rsid w:val="7F0236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pPr>
    <w:rPr>
      <w:rFonts w:ascii="Calibri" w:hAnsi="Calibri" w:eastAsia="宋体" w:cs="Times New Roman"/>
      <w:kern w:val="2"/>
      <w:sz w:val="21"/>
      <w:szCs w:val="24"/>
      <w:lang w:val="en-US" w:eastAsia="zh-CN" w:bidi="ar-SA"/>
    </w:rPr>
  </w:style>
  <w:style w:type="paragraph" w:styleId="4">
    <w:name w:val="heading 1"/>
    <w:basedOn w:val="1"/>
    <w:next w:val="1"/>
    <w:qFormat/>
    <w:uiPriority w:val="0"/>
    <w:pPr>
      <w:keepNext/>
      <w:numPr>
        <w:ilvl w:val="0"/>
        <w:numId w:val="1"/>
      </w:numPr>
      <w:spacing w:before="100" w:beforeLines="100" w:after="50" w:afterLines="50"/>
      <w:outlineLvl w:val="0"/>
    </w:pPr>
    <w:rPr>
      <w:rFonts w:ascii="宋体" w:hAnsi="宋体"/>
      <w:b/>
      <w:bCs/>
      <w:kern w:val="24"/>
      <w:sz w:val="30"/>
      <w:u w:color="000000"/>
    </w:rPr>
  </w:style>
  <w:style w:type="paragraph" w:styleId="5">
    <w:name w:val="heading 4"/>
    <w:basedOn w:val="1"/>
    <w:next w:val="1"/>
    <w:semiHidden/>
    <w:unhideWhenUsed/>
    <w:qFormat/>
    <w:uiPriority w:val="0"/>
    <w:pPr>
      <w:spacing w:beforeAutospacing="1" w:afterAutospacing="1"/>
      <w:outlineLvl w:val="3"/>
    </w:pPr>
    <w:rPr>
      <w:rFonts w:hint="eastAsia" w:ascii="宋体" w:hAnsi="宋体"/>
      <w:b/>
      <w:bCs/>
      <w:kern w:val="0"/>
      <w:sz w:val="24"/>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semiHidden/>
    <w:unhideWhenUsed/>
    <w:qFormat/>
    <w:uiPriority w:val="99"/>
    <w:pPr>
      <w:ind w:firstLine="420" w:firstLineChars="100"/>
    </w:pPr>
  </w:style>
  <w:style w:type="paragraph" w:styleId="3">
    <w:name w:val="Body Text"/>
    <w:basedOn w:val="1"/>
    <w:next w:val="1"/>
    <w:qFormat/>
    <w:uiPriority w:val="99"/>
    <w:pPr>
      <w:ind w:firstLine="880" w:firstLineChars="200"/>
    </w:pPr>
    <w:rPr>
      <w:rFonts w:ascii="仿宋_GB2312" w:hAnsi="仿宋_GB2312" w:eastAsia="仿宋_GB2312" w:cs="Arial"/>
      <w:sz w:val="32"/>
      <w:szCs w:val="20"/>
    </w:rPr>
  </w:style>
  <w:style w:type="paragraph" w:styleId="6">
    <w:name w:val="Body Text Indent"/>
    <w:basedOn w:val="1"/>
    <w:unhideWhenUsed/>
    <w:qFormat/>
    <w:uiPriority w:val="99"/>
    <w:pPr>
      <w:spacing w:after="120"/>
      <w:ind w:left="420" w:leftChars="200"/>
    </w:pPr>
  </w:style>
  <w:style w:type="paragraph" w:styleId="7">
    <w:name w:val="Plain Text"/>
    <w:basedOn w:val="1"/>
    <w:qFormat/>
    <w:uiPriority w:val="0"/>
    <w:rPr>
      <w:rFonts w:ascii="宋体" w:hAnsi="Courier New"/>
      <w:szCs w:val="21"/>
    </w:rPr>
  </w:style>
  <w:style w:type="paragraph" w:styleId="8">
    <w:name w:val="footer"/>
    <w:basedOn w:val="1"/>
    <w:qFormat/>
    <w:uiPriority w:val="99"/>
    <w:pPr>
      <w:tabs>
        <w:tab w:val="center" w:pos="4153"/>
        <w:tab w:val="right" w:pos="8306"/>
      </w:tabs>
      <w:snapToGrid w:val="0"/>
    </w:pPr>
    <w:rPr>
      <w:sz w:val="18"/>
      <w:szCs w:val="18"/>
    </w:rPr>
  </w:style>
  <w:style w:type="paragraph" w:styleId="9">
    <w:name w:val="toc 2"/>
    <w:basedOn w:val="1"/>
    <w:next w:val="1"/>
    <w:unhideWhenUsed/>
    <w:qFormat/>
    <w:uiPriority w:val="39"/>
    <w:pPr>
      <w:widowControl/>
      <w:spacing w:after="100" w:line="259" w:lineRule="auto"/>
      <w:ind w:left="220"/>
    </w:pPr>
    <w:rPr>
      <w:kern w:val="0"/>
      <w:sz w:val="22"/>
    </w:rPr>
  </w:style>
  <w:style w:type="paragraph" w:styleId="10">
    <w:name w:val="Normal (Web)"/>
    <w:basedOn w:val="1"/>
    <w:qFormat/>
    <w:uiPriority w:val="0"/>
    <w:pPr>
      <w:spacing w:beforeAutospacing="1" w:afterAutospacing="1"/>
    </w:pPr>
    <w:rPr>
      <w:kern w:val="0"/>
      <w:sz w:val="24"/>
    </w:rPr>
  </w:style>
  <w:style w:type="paragraph" w:styleId="11">
    <w:name w:val="Title"/>
    <w:basedOn w:val="1"/>
    <w:next w:val="1"/>
    <w:qFormat/>
    <w:uiPriority w:val="99"/>
    <w:pPr>
      <w:spacing w:before="240" w:after="60"/>
      <w:jc w:val="center"/>
      <w:outlineLvl w:val="0"/>
    </w:pPr>
    <w:rPr>
      <w:rFonts w:ascii="Arial" w:hAnsi="Arial"/>
      <w:b/>
      <w:bCs/>
      <w:sz w:val="32"/>
      <w:szCs w:val="32"/>
    </w:rPr>
  </w:style>
  <w:style w:type="paragraph" w:styleId="12">
    <w:name w:val="Body Text First Indent 2"/>
    <w:basedOn w:val="6"/>
    <w:unhideWhenUsed/>
    <w:qFormat/>
    <w:uiPriority w:val="99"/>
    <w:pPr>
      <w:ind w:firstLine="420"/>
    </w:p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Strong"/>
    <w:basedOn w:val="15"/>
    <w:qFormat/>
    <w:uiPriority w:val="0"/>
    <w:rPr>
      <w:b/>
      <w:bCs/>
    </w:rPr>
  </w:style>
  <w:style w:type="character" w:styleId="17">
    <w:name w:val="FollowedHyperlink"/>
    <w:basedOn w:val="15"/>
    <w:qFormat/>
    <w:uiPriority w:val="0"/>
    <w:rPr>
      <w:color w:val="696969"/>
      <w:u w:val="none"/>
    </w:rPr>
  </w:style>
  <w:style w:type="character" w:styleId="18">
    <w:name w:val="Emphasis"/>
    <w:basedOn w:val="15"/>
    <w:qFormat/>
    <w:uiPriority w:val="0"/>
    <w:rPr>
      <w:b/>
      <w:bCs/>
    </w:rPr>
  </w:style>
  <w:style w:type="character" w:styleId="19">
    <w:name w:val="HTML Definition"/>
    <w:basedOn w:val="15"/>
    <w:qFormat/>
    <w:uiPriority w:val="0"/>
  </w:style>
  <w:style w:type="character" w:styleId="20">
    <w:name w:val="HTML Variable"/>
    <w:basedOn w:val="15"/>
    <w:qFormat/>
    <w:uiPriority w:val="0"/>
  </w:style>
  <w:style w:type="character" w:styleId="21">
    <w:name w:val="Hyperlink"/>
    <w:basedOn w:val="15"/>
    <w:qFormat/>
    <w:uiPriority w:val="0"/>
    <w:rPr>
      <w:color w:val="696969"/>
      <w:u w:val="none"/>
    </w:rPr>
  </w:style>
  <w:style w:type="character" w:styleId="22">
    <w:name w:val="HTML Code"/>
    <w:basedOn w:val="15"/>
    <w:qFormat/>
    <w:uiPriority w:val="0"/>
    <w:rPr>
      <w:rFonts w:ascii="Courier New" w:hAnsi="Courier New"/>
      <w:sz w:val="20"/>
    </w:rPr>
  </w:style>
  <w:style w:type="character" w:styleId="23">
    <w:name w:val="HTML Cite"/>
    <w:basedOn w:val="15"/>
    <w:qFormat/>
    <w:uiPriority w:val="0"/>
    <w:rPr>
      <w:rFonts w:ascii="Helvetica" w:hAnsi="Helvetica" w:eastAsia="Helvetica" w:cs="Helvetica"/>
      <w:sz w:val="19"/>
      <w:szCs w:val="19"/>
    </w:rPr>
  </w:style>
  <w:style w:type="character" w:styleId="24">
    <w:name w:val="HTML Keyboard"/>
    <w:basedOn w:val="15"/>
    <w:qFormat/>
    <w:uiPriority w:val="0"/>
    <w:rPr>
      <w:rFonts w:ascii="Courier New" w:hAnsi="Courier New"/>
      <w:sz w:val="20"/>
    </w:rPr>
  </w:style>
  <w:style w:type="character" w:styleId="25">
    <w:name w:val="HTML Sample"/>
    <w:basedOn w:val="15"/>
    <w:qFormat/>
    <w:uiPriority w:val="0"/>
    <w:rPr>
      <w:rFonts w:ascii="Courier New" w:hAnsi="Courier New"/>
    </w:rPr>
  </w:style>
  <w:style w:type="character" w:customStyle="1" w:styleId="26">
    <w:name w:val="hover2"/>
    <w:basedOn w:val="15"/>
    <w:qFormat/>
    <w:uiPriority w:val="0"/>
    <w:rPr>
      <w:color w:val="333333"/>
      <w:u w:val="single"/>
    </w:rPr>
  </w:style>
  <w:style w:type="paragraph" w:customStyle="1" w:styleId="27">
    <w:name w:val="ZHR标题2"/>
    <w:qFormat/>
    <w:uiPriority w:val="0"/>
    <w:pPr>
      <w:spacing w:before="50" w:beforeLines="50" w:after="50" w:afterLines="50" w:line="360" w:lineRule="auto"/>
      <w:outlineLvl w:val="1"/>
    </w:pPr>
    <w:rPr>
      <w:rFonts w:ascii="Times New Roman" w:hAnsi="Times New Roman" w:eastAsia="宋体" w:cs="Times New Roman"/>
      <w:b/>
      <w:kern w:val="2"/>
      <w:sz w:val="24"/>
      <w:szCs w:val="24"/>
      <w:lang w:val="en-US" w:eastAsia="zh-CN" w:bidi="ar-SA"/>
    </w:rPr>
  </w:style>
  <w:style w:type="character" w:customStyle="1" w:styleId="28">
    <w:name w:val="after8"/>
    <w:basedOn w:val="15"/>
    <w:qFormat/>
    <w:uiPriority w:val="0"/>
    <w:rPr>
      <w:bdr w:val="dashed" w:color="auto" w:sz="48" w:space="0"/>
    </w:rPr>
  </w:style>
  <w:style w:type="character" w:customStyle="1" w:styleId="29">
    <w:name w:val="after9"/>
    <w:basedOn w:val="15"/>
    <w:qFormat/>
    <w:uiPriority w:val="0"/>
  </w:style>
  <w:style w:type="character" w:customStyle="1" w:styleId="30">
    <w:name w:val="hover52"/>
    <w:basedOn w:val="15"/>
    <w:qFormat/>
    <w:uiPriority w:val="0"/>
  </w:style>
  <w:style w:type="character" w:customStyle="1" w:styleId="31">
    <w:name w:val="hover53"/>
    <w:basedOn w:val="15"/>
    <w:qFormat/>
    <w:uiPriority w:val="0"/>
    <w:rPr>
      <w:shd w:val="clear" w:color="auto" w:fill="2590FF"/>
    </w:rPr>
  </w:style>
  <w:style w:type="character" w:customStyle="1" w:styleId="32">
    <w:name w:val="hover54"/>
    <w:basedOn w:val="15"/>
    <w:qFormat/>
    <w:uiPriority w:val="0"/>
    <w:rPr>
      <w:color w:val="4285F4"/>
    </w:rPr>
  </w:style>
  <w:style w:type="character" w:customStyle="1" w:styleId="33">
    <w:name w:val="hover55"/>
    <w:basedOn w:val="15"/>
    <w:qFormat/>
    <w:uiPriority w:val="0"/>
    <w:rPr>
      <w:color w:val="2590FF"/>
      <w:u w:val="none"/>
    </w:rPr>
  </w:style>
  <w:style w:type="character" w:customStyle="1" w:styleId="34">
    <w:name w:val="hover56"/>
    <w:basedOn w:val="15"/>
    <w:qFormat/>
    <w:uiPriority w:val="0"/>
    <w:rPr>
      <w:color w:val="2590FF"/>
    </w:rPr>
  </w:style>
  <w:style w:type="character" w:customStyle="1" w:styleId="35">
    <w:name w:val="hover57"/>
    <w:basedOn w:val="15"/>
    <w:qFormat/>
    <w:uiPriority w:val="0"/>
    <w:rPr>
      <w:color w:val="1A85D7"/>
    </w:rPr>
  </w:style>
  <w:style w:type="character" w:customStyle="1" w:styleId="36">
    <w:name w:val="empty"/>
    <w:basedOn w:val="15"/>
    <w:qFormat/>
    <w:uiPriority w:val="0"/>
  </w:style>
  <w:style w:type="character" w:customStyle="1" w:styleId="37">
    <w:name w:val="before"/>
    <w:basedOn w:val="15"/>
    <w:qFormat/>
    <w:uiPriority w:val="0"/>
    <w:rPr>
      <w:bdr w:val="single" w:color="auto" w:sz="48" w:space="0"/>
    </w:rPr>
  </w:style>
  <w:style w:type="character" w:customStyle="1" w:styleId="38">
    <w:name w:val="before1"/>
    <w:basedOn w:val="15"/>
    <w:qFormat/>
    <w:uiPriority w:val="0"/>
    <w:rPr>
      <w:shd w:val="clear" w:color="auto" w:fill="D8D8D8"/>
    </w:rPr>
  </w:style>
  <w:style w:type="character" w:customStyle="1" w:styleId="39">
    <w:name w:val="credit"/>
    <w:basedOn w:val="15"/>
    <w:qFormat/>
    <w:uiPriority w:val="0"/>
    <w:rPr>
      <w:sz w:val="18"/>
      <w:szCs w:val="18"/>
    </w:rPr>
  </w:style>
  <w:style w:type="character" w:customStyle="1" w:styleId="40">
    <w:name w:val="last-child1"/>
    <w:basedOn w:val="15"/>
    <w:qFormat/>
    <w:uiPriority w:val="0"/>
  </w:style>
  <w:style w:type="character" w:customStyle="1" w:styleId="41">
    <w:name w:val="active"/>
    <w:basedOn w:val="15"/>
    <w:qFormat/>
    <w:uiPriority w:val="0"/>
    <w:rPr>
      <w:color w:val="4285F4"/>
      <w:bdr w:val="single" w:color="4285F4" w:sz="6" w:space="0"/>
    </w:rPr>
  </w:style>
  <w:style w:type="character" w:customStyle="1" w:styleId="42">
    <w:name w:val="lui-classic-hidden"/>
    <w:basedOn w:val="15"/>
    <w:qFormat/>
    <w:uiPriority w:val="0"/>
    <w:rPr>
      <w:vanish/>
    </w:rPr>
  </w:style>
  <w:style w:type="character" w:customStyle="1" w:styleId="43">
    <w:name w:val="radio-label"/>
    <w:basedOn w:val="15"/>
    <w:qFormat/>
    <w:uiPriority w:val="0"/>
    <w:rPr>
      <w:sz w:val="24"/>
      <w:szCs w:val="24"/>
    </w:rPr>
  </w:style>
  <w:style w:type="character" w:customStyle="1" w:styleId="44">
    <w:name w:val="first-child"/>
    <w:basedOn w:val="15"/>
    <w:qFormat/>
    <w:uiPriority w:val="0"/>
  </w:style>
  <w:style w:type="character" w:customStyle="1" w:styleId="45">
    <w:name w:val="after"/>
    <w:basedOn w:val="15"/>
    <w:qFormat/>
    <w:uiPriority w:val="0"/>
    <w:rPr>
      <w:bdr w:val="dashed" w:color="auto" w:sz="48" w:space="0"/>
    </w:rPr>
  </w:style>
  <w:style w:type="character" w:customStyle="1" w:styleId="46">
    <w:name w:val="after1"/>
    <w:basedOn w:val="15"/>
    <w:qFormat/>
    <w:uiPriority w:val="0"/>
  </w:style>
  <w:style w:type="character" w:customStyle="1" w:styleId="47">
    <w:name w:val="hover"/>
    <w:basedOn w:val="15"/>
    <w:qFormat/>
    <w:uiPriority w:val="0"/>
    <w:rPr>
      <w:shd w:val="clear" w:color="auto" w:fill="2590FF"/>
    </w:rPr>
  </w:style>
  <w:style w:type="character" w:customStyle="1" w:styleId="48">
    <w:name w:val="hover1"/>
    <w:basedOn w:val="15"/>
    <w:qFormat/>
    <w:uiPriority w:val="0"/>
  </w:style>
  <w:style w:type="character" w:customStyle="1" w:styleId="49">
    <w:name w:val="hover3"/>
    <w:basedOn w:val="15"/>
    <w:qFormat/>
    <w:uiPriority w:val="0"/>
    <w:rPr>
      <w:color w:val="2590FF"/>
    </w:rPr>
  </w:style>
  <w:style w:type="character" w:customStyle="1" w:styleId="50">
    <w:name w:val="hover4"/>
    <w:basedOn w:val="15"/>
    <w:qFormat/>
    <w:uiPriority w:val="0"/>
    <w:rPr>
      <w:color w:val="2590FF"/>
      <w:u w:val="none"/>
    </w:rPr>
  </w:style>
  <w:style w:type="character" w:customStyle="1" w:styleId="51">
    <w:name w:val="hover5"/>
    <w:basedOn w:val="15"/>
    <w:qFormat/>
    <w:uiPriority w:val="0"/>
    <w:rPr>
      <w:color w:val="1A85D7"/>
    </w:rPr>
  </w:style>
  <w:style w:type="character" w:customStyle="1" w:styleId="52">
    <w:name w:val="last-child"/>
    <w:basedOn w:val="15"/>
    <w:qFormat/>
    <w:uiPriority w:val="0"/>
  </w:style>
  <w:style w:type="character" w:customStyle="1" w:styleId="53">
    <w:name w:val="active2"/>
    <w:basedOn w:val="15"/>
    <w:qFormat/>
    <w:uiPriority w:val="0"/>
    <w:rPr>
      <w:color w:val="4285F4"/>
      <w:bdr w:val="single" w:color="4285F4" w:sz="6" w:space="0"/>
    </w:rPr>
  </w:style>
  <w:style w:type="character" w:customStyle="1" w:styleId="54">
    <w:name w:val="qwen-markdown-text"/>
    <w:basedOn w:val="15"/>
    <w:qFormat/>
    <w:uiPriority w:val="0"/>
  </w:style>
  <w:style w:type="paragraph" w:customStyle="1" w:styleId="55">
    <w:name w:val="表格仿宋小四靠左"/>
    <w:basedOn w:val="1"/>
    <w:qFormat/>
    <w:uiPriority w:val="99"/>
    <w:rPr>
      <w:rFonts w:ascii="仿宋_GB2312" w:hAnsi="Times New Roman" w:eastAsia="仿宋_GB2312"/>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png"/><Relationship Id="rId7" Type="http://schemas.openxmlformats.org/officeDocument/2006/relationships/oleObject" Target="embeddings/oleObject1.bin"/><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3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2705</Words>
  <Characters>2849</Characters>
  <Lines>122</Lines>
  <Paragraphs>127</Paragraphs>
  <TotalTime>7</TotalTime>
  <ScaleCrop>false</ScaleCrop>
  <LinksUpToDate>false</LinksUpToDate>
  <CharactersWithSpaces>2922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2022-11-15T02:45:00Z</dcterms:created>
  <dc:creator>chenzhuo</dc:creator>
  <cp:lastModifiedBy>烈酒暖书生</cp:lastModifiedBy>
  <dcterms:modified xsi:type="dcterms:W3CDTF">2026-07-21T13:28:37Z</dcterms:modified>
  <cp:revision>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D0A014B4B119410E8CF75F47D46CF0F9_13</vt:lpwstr>
  </property>
  <property fmtid="{D5CDD505-2E9C-101B-9397-08002B2CF9AE}" pid="4" name="KSOTemplateDocerSaveRecord">
    <vt:lpwstr>eyJoZGlkIjoiNzQ0MmZmYmU5NmFhZDE0ODM2N2ZhMTZhMjk4NWRkYzEiLCJ1c2VySWQiOiI3MzIxODQwIn0=</vt:lpwstr>
  </property>
</Properties>
</file>