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EC107B">
      <w:pPr>
        <w:pStyle w:val="8"/>
        <w:jc w:val="center"/>
        <w:rPr>
          <w:rFonts w:ascii="隶书" w:eastAsia="隶书"/>
          <w:sz w:val="56"/>
          <w:szCs w:val="56"/>
        </w:rPr>
      </w:pPr>
    </w:p>
    <w:p w14:paraId="542F9057">
      <w:pPr>
        <w:pStyle w:val="18"/>
        <w:rPr>
          <w:rFonts w:hint="eastAsia" w:ascii="黑体" w:hAnsi="黑体" w:eastAsia="黑体" w:cs="黑体"/>
          <w:sz w:val="48"/>
          <w:szCs w:val="48"/>
          <w:highlight w:val="yellow"/>
          <w:lang w:val="en-US" w:eastAsia="zh-CN"/>
        </w:rPr>
      </w:pPr>
    </w:p>
    <w:p w14:paraId="02D70D29">
      <w:pPr>
        <w:pStyle w:val="18"/>
        <w:rPr>
          <w:rFonts w:hint="eastAsia" w:ascii="黑体" w:hAnsi="黑体" w:eastAsia="黑体" w:cs="黑体"/>
          <w:sz w:val="48"/>
          <w:szCs w:val="48"/>
          <w:highlight w:val="none"/>
        </w:rPr>
      </w:pPr>
      <w:r>
        <w:rPr>
          <w:rFonts w:hint="eastAsia" w:ascii="黑体" w:hAnsi="黑体" w:eastAsia="黑体" w:cs="黑体"/>
          <w:sz w:val="48"/>
          <w:szCs w:val="48"/>
          <w:highlight w:val="none"/>
          <w:lang w:val="en-US" w:eastAsia="zh-CN"/>
        </w:rPr>
        <w:t>测试加工冲击助力式绝缘操作杆辅助操作装置</w:t>
      </w:r>
    </w:p>
    <w:p w14:paraId="63E23671">
      <w:pPr>
        <w:pStyle w:val="8"/>
        <w:jc w:val="center"/>
        <w:rPr>
          <w:rFonts w:ascii="隶书" w:eastAsia="隶书"/>
          <w:sz w:val="48"/>
          <w:szCs w:val="48"/>
        </w:rPr>
      </w:pPr>
    </w:p>
    <w:p w14:paraId="2B1E2A47">
      <w:pPr>
        <w:pStyle w:val="8"/>
        <w:jc w:val="center"/>
        <w:rPr>
          <w:rFonts w:ascii="隶书" w:eastAsia="隶书"/>
          <w:sz w:val="48"/>
          <w:szCs w:val="48"/>
        </w:rPr>
      </w:pPr>
    </w:p>
    <w:p w14:paraId="4CDE226E">
      <w:pPr>
        <w:pStyle w:val="8"/>
        <w:jc w:val="center"/>
        <w:rPr>
          <w:rFonts w:ascii="隶书" w:eastAsia="隶书"/>
          <w:sz w:val="48"/>
          <w:szCs w:val="48"/>
        </w:rPr>
      </w:pPr>
    </w:p>
    <w:p w14:paraId="228E7CCA">
      <w:pPr>
        <w:pStyle w:val="8"/>
        <w:jc w:val="center"/>
        <w:rPr>
          <w:rFonts w:ascii="黑体" w:hAnsi="黑体" w:eastAsia="黑体" w:cs="黑体"/>
          <w:sz w:val="52"/>
          <w:szCs w:val="52"/>
        </w:rPr>
      </w:pPr>
      <w:r>
        <w:rPr>
          <w:rFonts w:hint="eastAsia" w:ascii="黑体" w:hAnsi="黑体" w:eastAsia="黑体" w:cs="黑体"/>
          <w:sz w:val="52"/>
          <w:szCs w:val="52"/>
        </w:rPr>
        <w:t>技术规范书</w:t>
      </w:r>
    </w:p>
    <w:p w14:paraId="1471BC23">
      <w:pPr>
        <w:spacing w:before="156" w:beforeLines="50"/>
        <w:rPr>
          <w:rFonts w:ascii="楷体_GB2312" w:hAnsi="宋体" w:eastAsia="楷体_GB2312"/>
          <w:sz w:val="32"/>
          <w:szCs w:val="32"/>
        </w:rPr>
      </w:pPr>
    </w:p>
    <w:p w14:paraId="43F8E4FF"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 w14:paraId="3C19EB20">
      <w:pPr>
        <w:spacing w:before="156" w:beforeLines="50"/>
        <w:rPr>
          <w:rFonts w:ascii="楷体_GB2312" w:hAnsi="宋体" w:eastAsia="楷体_GB2312"/>
          <w:sz w:val="32"/>
          <w:szCs w:val="32"/>
        </w:rPr>
      </w:pPr>
    </w:p>
    <w:p w14:paraId="22144362">
      <w:pPr>
        <w:pStyle w:val="19"/>
        <w:rPr>
          <w:rStyle w:val="21"/>
          <w:rFonts w:ascii="黑体" w:hAnsi="黑体" w:eastAsia="黑体" w:cs="黑体"/>
          <w:highlight w:val="yellow"/>
        </w:rPr>
      </w:pPr>
    </w:p>
    <w:p w14:paraId="4D5AE482">
      <w:pPr>
        <w:pStyle w:val="19"/>
        <w:rPr>
          <w:rStyle w:val="21"/>
          <w:rFonts w:ascii="黑体" w:hAnsi="黑体" w:eastAsia="黑体" w:cs="黑体"/>
          <w:highlight w:val="yellow"/>
        </w:rPr>
      </w:pPr>
    </w:p>
    <w:p w14:paraId="2B7D66C6">
      <w:pPr>
        <w:pStyle w:val="19"/>
        <w:rPr>
          <w:rFonts w:hint="eastAsia" w:ascii="黑体" w:hAnsi="黑体" w:eastAsia="黑体" w:cs="黑体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Toc26266"/>
      <w:bookmarkStart w:id="1" w:name="_Toc6059"/>
      <w:bookmarkStart w:id="2" w:name="_Toc29868"/>
      <w:r>
        <w:rPr>
          <w:rStyle w:val="21"/>
          <w:rFonts w:hint="eastAsia" w:ascii="黑体" w:hAnsi="黑体" w:eastAsia="黑体" w:cs="黑体"/>
          <w:highlight w:val="none"/>
          <w:lang w:val="en-US" w:eastAsia="zh-CN"/>
        </w:rPr>
        <w:t>2026</w:t>
      </w:r>
      <w:r>
        <w:rPr>
          <w:rStyle w:val="21"/>
          <w:rFonts w:hint="eastAsia" w:ascii="黑体" w:hAnsi="黑体" w:eastAsia="黑体" w:cs="黑体"/>
          <w:highlight w:val="none"/>
        </w:rPr>
        <w:t>年</w:t>
      </w:r>
      <w:r>
        <w:rPr>
          <w:rStyle w:val="21"/>
          <w:rFonts w:hint="eastAsia" w:ascii="黑体" w:hAnsi="黑体" w:eastAsia="黑体" w:cs="黑体"/>
          <w:highlight w:val="none"/>
          <w:lang w:val="en-US" w:eastAsia="zh-CN"/>
        </w:rPr>
        <w:t>7</w:t>
      </w:r>
      <w:r>
        <w:rPr>
          <w:rStyle w:val="21"/>
          <w:rFonts w:hint="eastAsia" w:ascii="黑体" w:hAnsi="黑体" w:eastAsia="黑体" w:cs="黑体"/>
          <w:highlight w:val="none"/>
        </w:rPr>
        <w:t>月</w:t>
      </w:r>
    </w:p>
    <w:p w14:paraId="2CBACF64">
      <w:pPr>
        <w:spacing w:line="480" w:lineRule="auto"/>
        <w:jc w:val="both"/>
        <w:outlineLvl w:val="0"/>
        <w:rPr>
          <w:rFonts w:asciiTheme="minorEastAsia" w:hAnsiTheme="minorEastAsia" w:eastAsiaTheme="minorEastAsia" w:cstheme="minorEastAsia"/>
          <w:bCs/>
          <w:sz w:val="44"/>
          <w:szCs w:val="36"/>
        </w:rPr>
      </w:pPr>
    </w:p>
    <w:p w14:paraId="1D9A1C82"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</w:rPr>
      </w:pPr>
      <w:r>
        <w:rPr>
          <w:rFonts w:hint="eastAsia" w:asciiTheme="minorEastAsia" w:hAnsiTheme="minorEastAsia" w:eastAsiaTheme="minorEastAsia" w:cstheme="minorEastAsia"/>
          <w:bCs/>
          <w:sz w:val="44"/>
          <w:szCs w:val="36"/>
        </w:rPr>
        <w:t>目录</w:t>
      </w:r>
      <w:bookmarkEnd w:id="0"/>
      <w:bookmarkEnd w:id="1"/>
      <w:bookmarkEnd w:id="2"/>
    </w:p>
    <w:p w14:paraId="3DEEF98D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b/>
          <w:sz w:val="24"/>
        </w:rPr>
        <w:fldChar w:fldCharType="begin"/>
      </w:r>
      <w:r>
        <w:rPr>
          <w:rFonts w:hint="eastAsia" w:ascii="黑体" w:hAnsi="黑体" w:eastAsia="黑体" w:cs="黑体"/>
          <w:b/>
          <w:sz w:val="24"/>
        </w:rPr>
        <w:instrText xml:space="preserve">TOC \o "1-2" \h \u </w:instrText>
      </w:r>
      <w:r>
        <w:rPr>
          <w:rFonts w:hint="eastAsia" w:ascii="黑体" w:hAnsi="黑体" w:eastAsia="黑体" w:cs="黑体"/>
          <w:b/>
          <w:sz w:val="24"/>
        </w:rPr>
        <w:fldChar w:fldCharType="separate"/>
      </w:r>
    </w:p>
    <w:p w14:paraId="0D7DF047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fldChar w:fldCharType="begin"/>
      </w:r>
      <w:r>
        <w:instrText xml:space="preserve"> HYPERLINK \l "_Toc16459" </w:instrText>
      </w:r>
      <w:r>
        <w:fldChar w:fldCharType="separate"/>
      </w:r>
      <w:r>
        <w:rPr>
          <w:rFonts w:hint="eastAsia" w:ascii="黑体" w:hAnsi="黑体" w:eastAsia="黑体" w:cs="黑体"/>
          <w:sz w:val="24"/>
        </w:rPr>
        <w:t>1  标的概况</w:t>
      </w:r>
      <w:r>
        <w:rPr>
          <w:rFonts w:hint="eastAsia" w:ascii="黑体" w:hAnsi="黑体" w:eastAsia="黑体" w:cs="黑体"/>
          <w:sz w:val="24"/>
        </w:rPr>
        <w:tab/>
      </w:r>
      <w:r>
        <w:rPr>
          <w:rFonts w:hint="eastAsia" w:ascii="黑体" w:hAnsi="黑体" w:eastAsia="黑体" w:cs="黑体"/>
          <w:sz w:val="24"/>
        </w:rPr>
        <w:fldChar w:fldCharType="begin"/>
      </w:r>
      <w:r>
        <w:rPr>
          <w:rFonts w:hint="eastAsia" w:ascii="黑体" w:hAnsi="黑体" w:eastAsia="黑体" w:cs="黑体"/>
          <w:sz w:val="24"/>
        </w:rPr>
        <w:instrText xml:space="preserve"> PAGEREF _Toc16459 </w:instrText>
      </w:r>
      <w:r>
        <w:rPr>
          <w:rFonts w:hint="eastAsia" w:ascii="黑体" w:hAnsi="黑体" w:eastAsia="黑体" w:cs="黑体"/>
          <w:sz w:val="24"/>
        </w:rPr>
        <w:fldChar w:fldCharType="separate"/>
      </w:r>
      <w:r>
        <w:rPr>
          <w:rFonts w:hint="eastAsia" w:ascii="黑体" w:hAnsi="黑体" w:eastAsia="黑体" w:cs="黑体"/>
          <w:sz w:val="24"/>
        </w:rPr>
        <w:t>3</w:t>
      </w:r>
      <w:r>
        <w:rPr>
          <w:rFonts w:hint="eastAsia" w:ascii="黑体" w:hAnsi="黑体" w:eastAsia="黑体" w:cs="黑体"/>
          <w:sz w:val="24"/>
        </w:rPr>
        <w:fldChar w:fldCharType="end"/>
      </w:r>
      <w:r>
        <w:rPr>
          <w:rFonts w:hint="eastAsia" w:ascii="黑体" w:hAnsi="黑体" w:eastAsia="黑体" w:cs="黑体"/>
          <w:sz w:val="24"/>
        </w:rPr>
        <w:fldChar w:fldCharType="end"/>
      </w:r>
    </w:p>
    <w:p w14:paraId="189D8DF9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fldChar w:fldCharType="begin"/>
      </w:r>
      <w:r>
        <w:instrText xml:space="preserve"> HYPERLINK \l "_Toc7671" </w:instrText>
      </w:r>
      <w:r>
        <w:fldChar w:fldCharType="separate"/>
      </w:r>
      <w:r>
        <w:rPr>
          <w:rFonts w:hint="eastAsia" w:ascii="黑体" w:hAnsi="黑体" w:eastAsia="黑体" w:cs="黑体"/>
          <w:kern w:val="0"/>
          <w:sz w:val="24"/>
        </w:rPr>
        <w:t xml:space="preserve">2  </w:t>
      </w:r>
      <w:r>
        <w:rPr>
          <w:rFonts w:hint="eastAsia" w:ascii="黑体" w:hAnsi="黑体" w:eastAsia="黑体" w:cs="黑体"/>
          <w:sz w:val="24"/>
        </w:rPr>
        <w:t>测试/化验项目要求</w:t>
      </w:r>
      <w:r>
        <w:rPr>
          <w:rFonts w:hint="eastAsia" w:ascii="黑体" w:hAnsi="黑体" w:eastAsia="黑体" w:cs="黑体"/>
          <w:sz w:val="24"/>
        </w:rPr>
        <w:tab/>
      </w:r>
      <w:r>
        <w:rPr>
          <w:rFonts w:hint="eastAsia" w:ascii="黑体" w:hAnsi="黑体" w:eastAsia="黑体" w:cs="黑体"/>
          <w:sz w:val="24"/>
        </w:rPr>
        <w:fldChar w:fldCharType="begin"/>
      </w:r>
      <w:r>
        <w:rPr>
          <w:rFonts w:hint="eastAsia" w:ascii="黑体" w:hAnsi="黑体" w:eastAsia="黑体" w:cs="黑体"/>
          <w:sz w:val="24"/>
        </w:rPr>
        <w:instrText xml:space="preserve"> PAGEREF _Toc7671 </w:instrText>
      </w:r>
      <w:r>
        <w:rPr>
          <w:rFonts w:hint="eastAsia" w:ascii="黑体" w:hAnsi="黑体" w:eastAsia="黑体" w:cs="黑体"/>
          <w:sz w:val="24"/>
        </w:rPr>
        <w:fldChar w:fldCharType="separate"/>
      </w:r>
      <w:r>
        <w:rPr>
          <w:rFonts w:hint="eastAsia" w:ascii="黑体" w:hAnsi="黑体" w:eastAsia="黑体" w:cs="黑体"/>
          <w:sz w:val="24"/>
        </w:rPr>
        <w:t>3</w:t>
      </w:r>
      <w:r>
        <w:rPr>
          <w:rFonts w:hint="eastAsia" w:ascii="黑体" w:hAnsi="黑体" w:eastAsia="黑体" w:cs="黑体"/>
          <w:sz w:val="24"/>
        </w:rPr>
        <w:fldChar w:fldCharType="end"/>
      </w:r>
      <w:r>
        <w:rPr>
          <w:rFonts w:hint="eastAsia" w:ascii="黑体" w:hAnsi="黑体" w:eastAsia="黑体" w:cs="黑体"/>
          <w:sz w:val="24"/>
        </w:rPr>
        <w:fldChar w:fldCharType="end"/>
      </w:r>
    </w:p>
    <w:p w14:paraId="779B845D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"_Toc9074"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2.1 项目及标准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_Toc9074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3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4B1AAB93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"_Toc30644"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2.2 运输方式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_Toc30644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3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150D20F7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fldChar w:fldCharType="begin"/>
      </w:r>
      <w:r>
        <w:instrText xml:space="preserve"> HYPERLINK \l "_Toc16082" </w:instrText>
      </w:r>
      <w:r>
        <w:fldChar w:fldCharType="separate"/>
      </w:r>
      <w:r>
        <w:rPr>
          <w:rFonts w:hint="eastAsia" w:ascii="黑体" w:hAnsi="黑体" w:eastAsia="黑体" w:cs="黑体"/>
          <w:sz w:val="24"/>
        </w:rPr>
        <w:t>3  技术服务的要求</w:t>
      </w:r>
      <w:r>
        <w:rPr>
          <w:rFonts w:hint="eastAsia" w:ascii="黑体" w:hAnsi="黑体" w:eastAsia="黑体" w:cs="黑体"/>
          <w:sz w:val="24"/>
        </w:rPr>
        <w:tab/>
      </w:r>
      <w:r>
        <w:rPr>
          <w:rFonts w:hint="eastAsia" w:ascii="黑体" w:hAnsi="黑体" w:eastAsia="黑体" w:cs="黑体"/>
          <w:sz w:val="24"/>
        </w:rPr>
        <w:fldChar w:fldCharType="begin"/>
      </w:r>
      <w:r>
        <w:rPr>
          <w:rFonts w:hint="eastAsia" w:ascii="黑体" w:hAnsi="黑体" w:eastAsia="黑体" w:cs="黑体"/>
          <w:sz w:val="24"/>
        </w:rPr>
        <w:instrText xml:space="preserve"> PAGEREF _Toc16082 </w:instrText>
      </w:r>
      <w:r>
        <w:rPr>
          <w:rFonts w:hint="eastAsia" w:ascii="黑体" w:hAnsi="黑体" w:eastAsia="黑体" w:cs="黑体"/>
          <w:sz w:val="24"/>
        </w:rPr>
        <w:fldChar w:fldCharType="separate"/>
      </w:r>
      <w:r>
        <w:rPr>
          <w:rFonts w:hint="eastAsia" w:ascii="黑体" w:hAnsi="黑体" w:eastAsia="黑体" w:cs="黑体"/>
          <w:sz w:val="24"/>
        </w:rPr>
        <w:t>4</w:t>
      </w:r>
      <w:r>
        <w:rPr>
          <w:rFonts w:hint="eastAsia" w:ascii="黑体" w:hAnsi="黑体" w:eastAsia="黑体" w:cs="黑体"/>
          <w:sz w:val="24"/>
        </w:rPr>
        <w:fldChar w:fldCharType="end"/>
      </w:r>
      <w:r>
        <w:rPr>
          <w:rFonts w:hint="eastAsia" w:ascii="黑体" w:hAnsi="黑体" w:eastAsia="黑体" w:cs="黑体"/>
          <w:sz w:val="24"/>
        </w:rPr>
        <w:fldChar w:fldCharType="end"/>
      </w:r>
    </w:p>
    <w:p w14:paraId="2B92C9F3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"_Toc1749"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3.1 资质要求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_Toc1749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4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5EA78701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"_Toc16023"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3.2 人员、设备及场地要求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_Toc16023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4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472A2610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"_Toc9853"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3.3 转包及分包要求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_Toc9853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4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069F712D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"_Toc22454"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3.4 信息保密要求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_Toc22454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4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78DC01CF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"_Toc23607" </w:instrText>
      </w:r>
      <w:r>
        <w:fldChar w:fldCharType="separate"/>
      </w:r>
      <w:r>
        <w:rPr>
          <w:rFonts w:hint="eastAsia" w:ascii="黑体" w:hAnsi="黑体" w:eastAsia="黑体" w:cs="黑体"/>
          <w:bCs/>
          <w:szCs w:val="24"/>
        </w:rPr>
        <w:t>3.5 其他要求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_Toc23607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4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0BBD2A52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fldChar w:fldCharType="begin"/>
      </w:r>
      <w:r>
        <w:instrText xml:space="preserve"> HYPERLINK \l "_Toc21612" </w:instrText>
      </w:r>
      <w:r>
        <w:fldChar w:fldCharType="separate"/>
      </w:r>
      <w:r>
        <w:rPr>
          <w:rFonts w:hint="eastAsia" w:ascii="黑体" w:hAnsi="黑体" w:eastAsia="黑体" w:cs="黑体"/>
          <w:sz w:val="24"/>
        </w:rPr>
        <w:t>4  时间进度要求</w:t>
      </w:r>
      <w:r>
        <w:rPr>
          <w:rFonts w:hint="eastAsia" w:ascii="黑体" w:hAnsi="黑体" w:eastAsia="黑体" w:cs="黑体"/>
          <w:sz w:val="24"/>
        </w:rPr>
        <w:tab/>
      </w:r>
      <w:r>
        <w:rPr>
          <w:rFonts w:hint="eastAsia" w:ascii="黑体" w:hAnsi="黑体" w:eastAsia="黑体" w:cs="黑体"/>
          <w:sz w:val="24"/>
        </w:rPr>
        <w:fldChar w:fldCharType="begin"/>
      </w:r>
      <w:r>
        <w:rPr>
          <w:rFonts w:hint="eastAsia" w:ascii="黑体" w:hAnsi="黑体" w:eastAsia="黑体" w:cs="黑体"/>
          <w:sz w:val="24"/>
        </w:rPr>
        <w:instrText xml:space="preserve"> PAGEREF _Toc21612 </w:instrText>
      </w:r>
      <w:r>
        <w:rPr>
          <w:rFonts w:hint="eastAsia" w:ascii="黑体" w:hAnsi="黑体" w:eastAsia="黑体" w:cs="黑体"/>
          <w:sz w:val="24"/>
        </w:rPr>
        <w:fldChar w:fldCharType="separate"/>
      </w:r>
      <w:r>
        <w:rPr>
          <w:rFonts w:hint="eastAsia" w:ascii="黑体" w:hAnsi="黑体" w:eastAsia="黑体" w:cs="黑体"/>
          <w:sz w:val="24"/>
        </w:rPr>
        <w:t>4</w:t>
      </w:r>
      <w:r>
        <w:rPr>
          <w:rFonts w:hint="eastAsia" w:ascii="黑体" w:hAnsi="黑体" w:eastAsia="黑体" w:cs="黑体"/>
          <w:sz w:val="24"/>
        </w:rPr>
        <w:fldChar w:fldCharType="end"/>
      </w:r>
      <w:r>
        <w:rPr>
          <w:rFonts w:hint="eastAsia" w:ascii="黑体" w:hAnsi="黑体" w:eastAsia="黑体" w:cs="黑体"/>
          <w:sz w:val="24"/>
        </w:rPr>
        <w:fldChar w:fldCharType="end"/>
      </w:r>
    </w:p>
    <w:p w14:paraId="26BCA7CA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fldChar w:fldCharType="begin"/>
      </w:r>
      <w:r>
        <w:instrText xml:space="preserve"> HYPERLINK \l "_Toc8651" </w:instrText>
      </w:r>
      <w:r>
        <w:fldChar w:fldCharType="separate"/>
      </w:r>
      <w:r>
        <w:rPr>
          <w:rFonts w:hint="eastAsia" w:ascii="黑体" w:hAnsi="黑体" w:eastAsia="黑体" w:cs="黑体"/>
          <w:sz w:val="24"/>
        </w:rPr>
        <w:t>5  交付与验收</w:t>
      </w:r>
      <w:r>
        <w:rPr>
          <w:rFonts w:hint="eastAsia" w:ascii="黑体" w:hAnsi="黑体" w:eastAsia="黑体" w:cs="黑体"/>
          <w:sz w:val="24"/>
        </w:rPr>
        <w:tab/>
      </w:r>
      <w:r>
        <w:rPr>
          <w:rFonts w:hint="eastAsia" w:ascii="黑体" w:hAnsi="黑体" w:eastAsia="黑体" w:cs="黑体"/>
          <w:sz w:val="24"/>
        </w:rPr>
        <w:fldChar w:fldCharType="begin"/>
      </w:r>
      <w:r>
        <w:rPr>
          <w:rFonts w:hint="eastAsia" w:ascii="黑体" w:hAnsi="黑体" w:eastAsia="黑体" w:cs="黑体"/>
          <w:sz w:val="24"/>
        </w:rPr>
        <w:instrText xml:space="preserve"> PAGEREF _Toc8651 </w:instrText>
      </w:r>
      <w:r>
        <w:rPr>
          <w:rFonts w:hint="eastAsia" w:ascii="黑体" w:hAnsi="黑体" w:eastAsia="黑体" w:cs="黑体"/>
          <w:sz w:val="24"/>
        </w:rPr>
        <w:fldChar w:fldCharType="separate"/>
      </w:r>
      <w:r>
        <w:rPr>
          <w:rFonts w:hint="eastAsia" w:ascii="黑体" w:hAnsi="黑体" w:eastAsia="黑体" w:cs="黑体"/>
          <w:sz w:val="24"/>
        </w:rPr>
        <w:t>5</w:t>
      </w:r>
      <w:r>
        <w:rPr>
          <w:rFonts w:hint="eastAsia" w:ascii="黑体" w:hAnsi="黑体" w:eastAsia="黑体" w:cs="黑体"/>
          <w:sz w:val="24"/>
        </w:rPr>
        <w:fldChar w:fldCharType="end"/>
      </w:r>
      <w:r>
        <w:rPr>
          <w:rFonts w:hint="eastAsia" w:ascii="黑体" w:hAnsi="黑体" w:eastAsia="黑体" w:cs="黑体"/>
          <w:sz w:val="24"/>
        </w:rPr>
        <w:fldChar w:fldCharType="end"/>
      </w:r>
    </w:p>
    <w:p w14:paraId="1A86AE5D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"_Toc3677"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5.1 交付形式及数量要求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_Toc3677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5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37AC58B3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"_Toc21560"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5.2 验收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_Toc21560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5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353B7FEF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</w:rPr>
      </w:pPr>
      <w:r>
        <w:fldChar w:fldCharType="begin"/>
      </w:r>
      <w:r>
        <w:instrText xml:space="preserve"> HYPERLINK \l "_Toc859" </w:instrText>
      </w:r>
      <w:r>
        <w:fldChar w:fldCharType="separate"/>
      </w:r>
      <w:r>
        <w:rPr>
          <w:rFonts w:hint="eastAsia" w:ascii="黑体" w:hAnsi="黑体" w:eastAsia="黑体" w:cs="黑体"/>
          <w:sz w:val="24"/>
        </w:rPr>
        <w:t>6  投标技术文件要求</w:t>
      </w:r>
      <w:r>
        <w:rPr>
          <w:rFonts w:hint="eastAsia" w:ascii="黑体" w:hAnsi="黑体" w:eastAsia="黑体" w:cs="黑体"/>
          <w:sz w:val="24"/>
        </w:rPr>
        <w:tab/>
      </w:r>
      <w:r>
        <w:rPr>
          <w:rFonts w:hint="eastAsia" w:ascii="黑体" w:hAnsi="黑体" w:eastAsia="黑体" w:cs="黑体"/>
          <w:sz w:val="24"/>
        </w:rPr>
        <w:fldChar w:fldCharType="begin"/>
      </w:r>
      <w:r>
        <w:rPr>
          <w:rFonts w:hint="eastAsia" w:ascii="黑体" w:hAnsi="黑体" w:eastAsia="黑体" w:cs="黑体"/>
          <w:sz w:val="24"/>
        </w:rPr>
        <w:instrText xml:space="preserve"> PAGEREF _Toc859 </w:instrText>
      </w:r>
      <w:r>
        <w:rPr>
          <w:rFonts w:hint="eastAsia" w:ascii="黑体" w:hAnsi="黑体" w:eastAsia="黑体" w:cs="黑体"/>
          <w:sz w:val="24"/>
        </w:rPr>
        <w:fldChar w:fldCharType="separate"/>
      </w:r>
      <w:r>
        <w:rPr>
          <w:rFonts w:hint="eastAsia" w:ascii="黑体" w:hAnsi="黑体" w:eastAsia="黑体" w:cs="黑体"/>
          <w:sz w:val="24"/>
        </w:rPr>
        <w:t>5</w:t>
      </w:r>
      <w:r>
        <w:rPr>
          <w:rFonts w:hint="eastAsia" w:ascii="黑体" w:hAnsi="黑体" w:eastAsia="黑体" w:cs="黑体"/>
          <w:sz w:val="24"/>
        </w:rPr>
        <w:fldChar w:fldCharType="end"/>
      </w:r>
      <w:r>
        <w:rPr>
          <w:rFonts w:hint="eastAsia" w:ascii="黑体" w:hAnsi="黑体" w:eastAsia="黑体" w:cs="黑体"/>
          <w:sz w:val="24"/>
        </w:rPr>
        <w:fldChar w:fldCharType="end"/>
      </w:r>
    </w:p>
    <w:p w14:paraId="420B3A4D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"_Toc29154"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6.1 技术方案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_Toc29154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5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09F384A3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"_Toc9372"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6.2 项目管理实施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_Toc9372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5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74BFFC0A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"_Toc29648"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6.3 项目技术支撑能力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_Toc29648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6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1F013EBA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"_Toc30783"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6.4 技术支持与售后服务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_Toc30783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6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078C48A8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"_Toc9479"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6.5 技术差异表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_Toc9479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6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5AB35EA9">
      <w:pPr>
        <w:pStyle w:val="12"/>
        <w:tabs>
          <w:tab w:val="right" w:leader="dot" w:pos="8306"/>
          <w:tab w:val="clear" w:pos="8302"/>
        </w:tabs>
        <w:spacing w:line="560" w:lineRule="exact"/>
        <w:rPr>
          <w:rFonts w:ascii="黑体" w:hAnsi="黑体" w:eastAsia="黑体" w:cs="黑体"/>
          <w:szCs w:val="24"/>
        </w:rPr>
      </w:pPr>
      <w:r>
        <w:fldChar w:fldCharType="begin"/>
      </w:r>
      <w:r>
        <w:instrText xml:space="preserve"> HYPERLINK \l "_Toc23107" </w:instrText>
      </w:r>
      <w:r>
        <w:fldChar w:fldCharType="separate"/>
      </w:r>
      <w:r>
        <w:rPr>
          <w:rFonts w:hint="eastAsia" w:ascii="黑体" w:hAnsi="黑体" w:eastAsia="黑体" w:cs="黑体"/>
          <w:szCs w:val="24"/>
        </w:rPr>
        <w:t>6.6 其它补充说明</w:t>
      </w:r>
      <w:r>
        <w:rPr>
          <w:rFonts w:hint="eastAsia" w:ascii="黑体" w:hAnsi="黑体" w:eastAsia="黑体" w:cs="黑体"/>
          <w:szCs w:val="24"/>
        </w:rPr>
        <w:tab/>
      </w:r>
      <w:r>
        <w:rPr>
          <w:rFonts w:hint="eastAsia" w:ascii="黑体" w:hAnsi="黑体" w:eastAsia="黑体" w:cs="黑体"/>
          <w:szCs w:val="24"/>
        </w:rPr>
        <w:fldChar w:fldCharType="begin"/>
      </w:r>
      <w:r>
        <w:rPr>
          <w:rFonts w:hint="eastAsia" w:ascii="黑体" w:hAnsi="黑体" w:eastAsia="黑体" w:cs="黑体"/>
          <w:szCs w:val="24"/>
        </w:rPr>
        <w:instrText xml:space="preserve"> PAGEREF _Toc23107 </w:instrText>
      </w:r>
      <w:r>
        <w:rPr>
          <w:rFonts w:hint="eastAsia" w:ascii="黑体" w:hAnsi="黑体" w:eastAsia="黑体" w:cs="黑体"/>
          <w:szCs w:val="24"/>
        </w:rPr>
        <w:fldChar w:fldCharType="separate"/>
      </w:r>
      <w:r>
        <w:rPr>
          <w:rFonts w:hint="eastAsia" w:ascii="黑体" w:hAnsi="黑体" w:eastAsia="黑体" w:cs="黑体"/>
          <w:szCs w:val="24"/>
        </w:rPr>
        <w:t>6</w:t>
      </w:r>
      <w:r>
        <w:rPr>
          <w:rFonts w:hint="eastAsia" w:ascii="黑体" w:hAnsi="黑体" w:eastAsia="黑体" w:cs="黑体"/>
          <w:szCs w:val="24"/>
        </w:rPr>
        <w:fldChar w:fldCharType="end"/>
      </w:r>
      <w:r>
        <w:rPr>
          <w:rFonts w:hint="eastAsia" w:ascii="黑体" w:hAnsi="黑体" w:eastAsia="黑体" w:cs="黑体"/>
          <w:szCs w:val="24"/>
        </w:rPr>
        <w:fldChar w:fldCharType="end"/>
      </w:r>
    </w:p>
    <w:p w14:paraId="4756DE2E">
      <w:pPr>
        <w:spacing w:line="560" w:lineRule="exact"/>
        <w:rPr>
          <w:rFonts w:ascii="宋体" w:hAnsi="宋体"/>
          <w:b/>
          <w:sz w:val="30"/>
        </w:rPr>
      </w:pPr>
      <w:r>
        <w:rPr>
          <w:rFonts w:hint="eastAsia" w:ascii="黑体" w:hAnsi="黑体" w:eastAsia="黑体" w:cs="黑体"/>
          <w:sz w:val="24"/>
        </w:rPr>
        <w:fldChar w:fldCharType="end"/>
      </w:r>
    </w:p>
    <w:p w14:paraId="01FCD7CA">
      <w:pPr>
        <w:spacing w:line="480" w:lineRule="auto"/>
        <w:jc w:val="center"/>
        <w:outlineLvl w:val="0"/>
        <w:rPr>
          <w:rFonts w:ascii="宋体" w:hAnsi="宋体"/>
          <w:b/>
          <w:sz w:val="32"/>
        </w:rPr>
      </w:pPr>
      <w:bookmarkStart w:id="3" w:name="_Toc9243"/>
      <w:bookmarkStart w:id="4" w:name="_Toc19589"/>
      <w:bookmarkStart w:id="5" w:name="_Toc266713645"/>
      <w:bookmarkStart w:id="6" w:name="_Toc32342"/>
      <w:r>
        <w:rPr>
          <w:rFonts w:hint="eastAsia" w:ascii="宋体" w:hAnsi="宋体"/>
          <w:b/>
          <w:sz w:val="32"/>
        </w:rPr>
        <w:t>总 则</w:t>
      </w:r>
      <w:bookmarkEnd w:id="3"/>
      <w:bookmarkEnd w:id="4"/>
      <w:bookmarkEnd w:id="5"/>
      <w:bookmarkEnd w:id="6"/>
    </w:p>
    <w:p w14:paraId="5D885B4D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本文件</w:t>
      </w:r>
      <w:r>
        <w:rPr>
          <w:rFonts w:hint="eastAsia" w:ascii="宋体" w:hAnsi="宋体"/>
          <w:bCs/>
          <w:sz w:val="24"/>
          <w:highlight w:val="none"/>
        </w:rPr>
        <w:t>为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该采购项目的</w:t>
      </w:r>
      <w:r>
        <w:rPr>
          <w:rFonts w:hint="eastAsia" w:ascii="宋体" w:hAnsi="宋体"/>
          <w:bCs/>
          <w:sz w:val="24"/>
          <w:highlight w:val="none"/>
        </w:rPr>
        <w:t>技</w:t>
      </w:r>
      <w:r>
        <w:rPr>
          <w:rFonts w:hint="eastAsia" w:ascii="宋体" w:hAnsi="宋体"/>
          <w:bCs/>
          <w:sz w:val="24"/>
        </w:rPr>
        <w:t>术招标文件。</w:t>
      </w:r>
    </w:p>
    <w:p w14:paraId="792781AC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本文件所描述的各</w:t>
      </w:r>
      <w:r>
        <w:rPr>
          <w:rFonts w:hint="eastAsia" w:hAnsi="宋体"/>
          <w:bCs/>
          <w:sz w:val="24"/>
        </w:rPr>
        <w:t>项技术要求</w:t>
      </w:r>
      <w:r>
        <w:rPr>
          <w:rFonts w:hint="eastAsia" w:ascii="宋体" w:hAnsi="宋体"/>
          <w:bCs/>
          <w:sz w:val="24"/>
        </w:rPr>
        <w:t>仅供投标方编制投标文件之用。</w:t>
      </w:r>
    </w:p>
    <w:p w14:paraId="1A5DDEB1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本标书仅描述基本的技术需求，并未对一切技术细节做出规定，也未充分引述有关标准和技术条文，投标方应根据需求目标提供进一步具体的可满足要求的</w:t>
      </w:r>
      <w:r>
        <w:rPr>
          <w:rFonts w:hint="eastAsia" w:hAnsi="宋体"/>
          <w:bCs/>
          <w:sz w:val="24"/>
        </w:rPr>
        <w:t>技术</w:t>
      </w:r>
      <w:r>
        <w:rPr>
          <w:rFonts w:hint="eastAsia" w:ascii="宋体" w:hAnsi="宋体"/>
          <w:bCs/>
          <w:sz w:val="24"/>
        </w:rPr>
        <w:t>指标。</w:t>
      </w:r>
    </w:p>
    <w:p w14:paraId="278883AB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投标技术文件要求文字精练、数据准确、表述及图示清晰明确，具有针对性。</w:t>
      </w:r>
    </w:p>
    <w:p w14:paraId="4B85B915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  <w:szCs w:val="22"/>
        </w:rPr>
        <w:t>投标方在投标技术文件中应对本标书逐项予以说明和答复,应如实反映投标</w:t>
      </w:r>
      <w:r>
        <w:rPr>
          <w:rFonts w:hint="eastAsia" w:hAnsi="宋体"/>
          <w:bCs/>
          <w:sz w:val="24"/>
          <w:szCs w:val="22"/>
        </w:rPr>
        <w:t>服务</w:t>
      </w:r>
      <w:r>
        <w:rPr>
          <w:rFonts w:hint="eastAsia" w:ascii="宋体" w:hAnsi="宋体"/>
          <w:bCs/>
          <w:sz w:val="24"/>
          <w:szCs w:val="22"/>
        </w:rPr>
        <w:t>与本技术规范书的技术差异。如果投标方没有提出技术差异，而在执行合同的过程中，招标方发现投标方提供的</w:t>
      </w:r>
      <w:r>
        <w:rPr>
          <w:rFonts w:hint="eastAsia" w:hAnsi="宋体"/>
          <w:bCs/>
          <w:sz w:val="24"/>
          <w:szCs w:val="22"/>
        </w:rPr>
        <w:t>服务</w:t>
      </w:r>
      <w:r>
        <w:rPr>
          <w:rFonts w:hint="eastAsia" w:ascii="宋体" w:hAnsi="宋体"/>
          <w:bCs/>
          <w:sz w:val="24"/>
          <w:szCs w:val="22"/>
        </w:rPr>
        <w:t>与其投标技术文件的条文存在差异，招标方</w:t>
      </w:r>
      <w:r>
        <w:rPr>
          <w:rFonts w:hint="eastAsia" w:hAnsi="宋体"/>
          <w:bCs/>
          <w:sz w:val="24"/>
          <w:szCs w:val="22"/>
        </w:rPr>
        <w:t>将</w:t>
      </w:r>
      <w:r>
        <w:rPr>
          <w:rFonts w:hint="eastAsia" w:ascii="宋体" w:hAnsi="宋体"/>
          <w:bCs/>
          <w:sz w:val="24"/>
          <w:szCs w:val="22"/>
        </w:rPr>
        <w:t>追究投标方违约责任</w:t>
      </w:r>
      <w:r>
        <w:rPr>
          <w:rFonts w:hint="eastAsia" w:ascii="宋体" w:hAnsi="宋体"/>
          <w:bCs/>
          <w:sz w:val="24"/>
        </w:rPr>
        <w:t>。</w:t>
      </w:r>
    </w:p>
    <w:p w14:paraId="1A8BEA00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  <w:szCs w:val="22"/>
        </w:rPr>
        <w:t>投标方应在投标技术部分按本技术规范书的要求</w:t>
      </w:r>
      <w:r>
        <w:rPr>
          <w:rFonts w:hint="eastAsia" w:hAnsi="宋体"/>
          <w:bCs/>
          <w:sz w:val="24"/>
          <w:szCs w:val="22"/>
        </w:rPr>
        <w:t>内容</w:t>
      </w:r>
      <w:r>
        <w:rPr>
          <w:rFonts w:hint="eastAsia" w:ascii="宋体" w:hAnsi="宋体"/>
          <w:bCs/>
          <w:sz w:val="24"/>
          <w:szCs w:val="22"/>
        </w:rPr>
        <w:t>如实详细填写投标</w:t>
      </w:r>
      <w:r>
        <w:rPr>
          <w:rFonts w:hint="eastAsia" w:hAnsi="宋体"/>
          <w:bCs/>
          <w:sz w:val="24"/>
          <w:szCs w:val="22"/>
        </w:rPr>
        <w:t>服务</w:t>
      </w:r>
      <w:r>
        <w:rPr>
          <w:rFonts w:hint="eastAsia" w:ascii="宋体" w:hAnsi="宋体"/>
          <w:bCs/>
          <w:sz w:val="24"/>
          <w:szCs w:val="22"/>
        </w:rPr>
        <w:t>的</w:t>
      </w:r>
      <w:r>
        <w:rPr>
          <w:rFonts w:hint="eastAsia" w:hAnsi="宋体"/>
          <w:bCs/>
          <w:sz w:val="24"/>
          <w:szCs w:val="22"/>
        </w:rPr>
        <w:t>范围及明细</w:t>
      </w:r>
      <w:r>
        <w:rPr>
          <w:rFonts w:hint="eastAsia" w:ascii="宋体" w:hAnsi="宋体"/>
          <w:bCs/>
          <w:sz w:val="24"/>
          <w:szCs w:val="22"/>
        </w:rPr>
        <w:t>，并在投标商务部分</w:t>
      </w:r>
      <w:r>
        <w:rPr>
          <w:rFonts w:hint="eastAsia" w:hAnsi="宋体"/>
          <w:bCs/>
          <w:sz w:val="24"/>
          <w:szCs w:val="22"/>
        </w:rPr>
        <w:t>（或报价部分）</w:t>
      </w:r>
      <w:r>
        <w:rPr>
          <w:rFonts w:hint="eastAsia" w:ascii="宋体" w:hAnsi="宋体"/>
          <w:bCs/>
          <w:sz w:val="24"/>
          <w:szCs w:val="22"/>
        </w:rPr>
        <w:t>按</w:t>
      </w:r>
      <w:r>
        <w:rPr>
          <w:rFonts w:hint="eastAsia" w:hAnsi="宋体"/>
          <w:bCs/>
          <w:sz w:val="24"/>
          <w:szCs w:val="22"/>
        </w:rPr>
        <w:t>此范围及明细</w:t>
      </w:r>
      <w:r>
        <w:rPr>
          <w:rFonts w:hint="eastAsia" w:ascii="宋体" w:hAnsi="宋体"/>
          <w:bCs/>
          <w:sz w:val="24"/>
          <w:szCs w:val="22"/>
        </w:rPr>
        <w:t>进行</w:t>
      </w:r>
      <w:r>
        <w:rPr>
          <w:rFonts w:hint="eastAsia" w:hAnsi="宋体"/>
          <w:bCs/>
          <w:sz w:val="24"/>
          <w:szCs w:val="22"/>
        </w:rPr>
        <w:t>分项</w:t>
      </w:r>
      <w:r>
        <w:rPr>
          <w:rFonts w:hint="eastAsia" w:ascii="宋体" w:hAnsi="宋体"/>
          <w:bCs/>
          <w:sz w:val="24"/>
          <w:szCs w:val="22"/>
        </w:rPr>
        <w:t>报价，如发现</w:t>
      </w:r>
      <w:r>
        <w:rPr>
          <w:rFonts w:hint="eastAsia" w:hAnsi="宋体"/>
          <w:bCs/>
          <w:sz w:val="24"/>
          <w:szCs w:val="22"/>
        </w:rPr>
        <w:t>总报价与分项报价</w:t>
      </w:r>
      <w:r>
        <w:rPr>
          <w:rFonts w:hint="eastAsia" w:ascii="宋体" w:hAnsi="宋体"/>
          <w:bCs/>
          <w:sz w:val="24"/>
          <w:szCs w:val="22"/>
        </w:rPr>
        <w:t>有矛盾之处，将按有利于招标方的条款执行</w:t>
      </w:r>
      <w:r>
        <w:rPr>
          <w:rFonts w:hint="eastAsia" w:hAnsi="宋体"/>
          <w:bCs/>
          <w:sz w:val="24"/>
          <w:szCs w:val="22"/>
        </w:rPr>
        <w:t>。</w:t>
      </w:r>
      <w:r>
        <w:rPr>
          <w:rFonts w:hint="eastAsia" w:ascii="宋体" w:hAnsi="宋体"/>
          <w:bCs/>
          <w:sz w:val="24"/>
          <w:szCs w:val="22"/>
        </w:rPr>
        <w:t xml:space="preserve"> </w:t>
      </w:r>
    </w:p>
    <w:p w14:paraId="20E640CC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投标方必须仔细阅读采购文件的全部条款，并作出明确响应。采购文件带“★”号的条款及要求，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投标</w:t>
      </w:r>
      <w:r>
        <w:rPr>
          <w:rFonts w:hint="eastAsia" w:ascii="宋体" w:hAnsi="宋体"/>
          <w:bCs/>
          <w:sz w:val="24"/>
          <w:highlight w:val="none"/>
        </w:rPr>
        <w:t>方必须满足，若有一项不满足将否决投标。</w:t>
      </w:r>
    </w:p>
    <w:p w14:paraId="5CDE8443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szCs w:val="22"/>
        </w:rPr>
      </w:pPr>
      <w:r>
        <w:rPr>
          <w:rFonts w:hint="eastAsia" w:ascii="宋体" w:hAnsi="宋体"/>
          <w:bCs/>
          <w:sz w:val="24"/>
          <w:szCs w:val="22"/>
        </w:rPr>
        <w:t>本技术规范书未尽事宜，由双方协商确定。</w:t>
      </w:r>
    </w:p>
    <w:p w14:paraId="1EDF4C2C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本标书的最终解释权归招标方。</w:t>
      </w:r>
    </w:p>
    <w:p w14:paraId="45083444">
      <w:pPr>
        <w:numPr>
          <w:ilvl w:val="0"/>
          <w:numId w:val="0"/>
        </w:numPr>
        <w:spacing w:line="360" w:lineRule="auto"/>
        <w:ind w:left="425" w:leftChars="0" w:hanging="425" w:firstLineChars="0"/>
        <w:rPr>
          <w:rFonts w:ascii="宋体" w:hAnsi="宋体"/>
          <w:bCs/>
          <w:sz w:val="24"/>
        </w:rPr>
      </w:pPr>
    </w:p>
    <w:p w14:paraId="6C2D9423">
      <w:pPr>
        <w:pStyle w:val="22"/>
        <w:spacing w:before="312"/>
        <w:rPr>
          <w:szCs w:val="22"/>
        </w:rPr>
      </w:pPr>
      <w:r>
        <w:rPr>
          <w:rFonts w:hint="eastAsia"/>
          <w:szCs w:val="22"/>
        </w:rPr>
        <w:br w:type="page"/>
      </w:r>
    </w:p>
    <w:p w14:paraId="37E0BB9C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7" w:name="_Toc16459"/>
      <w:r>
        <w:rPr>
          <w:rFonts w:hint="eastAsia" w:ascii="黑体" w:hAnsi="黑体" w:eastAsia="黑体" w:cs="黑体"/>
          <w:sz w:val="28"/>
          <w:szCs w:val="28"/>
        </w:rPr>
        <w:t>1  标的概况</w:t>
      </w:r>
      <w:bookmarkEnd w:id="7"/>
      <w:bookmarkStart w:id="8" w:name="_Toc7301"/>
      <w:bookmarkStart w:id="9" w:name="_Toc17049"/>
    </w:p>
    <w:bookmarkEnd w:id="8"/>
    <w:bookmarkEnd w:id="9"/>
    <w:p w14:paraId="6D980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0"/>
        <w:rPr>
          <w:rFonts w:hint="default" w:asciiTheme="minorEastAsia" w:hAnsiTheme="minorEastAsia" w:eastAsiaTheme="minorEastAsia" w:cs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标的名称：测试加工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冲击助力式绝缘操作杆辅助操作装置</w:t>
      </w:r>
    </w:p>
    <w:p w14:paraId="38AF0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0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bookmarkStart w:id="10" w:name="_Toc30787"/>
      <w:bookmarkStart w:id="11" w:name="_Toc22746"/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标包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名称：</w:t>
      </w:r>
      <w:bookmarkEnd w:id="10"/>
      <w:bookmarkEnd w:id="11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测试加工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冲击助力式绝缘操作杆辅助操作装置</w:t>
      </w:r>
    </w:p>
    <w:p w14:paraId="08BD6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概况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测试加工1套冲击助力式绝缘操作杆辅助操作装置。该装置采用模块化、可拆卸设计，可与现有绝缘操作杆配套使用，在不改变原有绝缘性能、连接方式及作业流程的前提下，通过冲击助力机构将操作者的小幅驱动力转化为瞬时辅助冲击力，用于克服刀闸、隔离开关等设备在操作初始阶段的卡滞阻力，提高操作效率，降低作业人员劳动强度，提升操作安全性及一次操作成功率。装置采用全绝缘封闭式结构设计，具备冲击助力、缓冲限位、快速安装拆卸、冲击能量调节等功能，可根据不同作业工况调整冲击助力参数，满足不同类型刀闸及隔离开关辅助操作需求。装置整体兼容现有绝缘操作杆，不影响原有工器具正常使用，并满足电力安全工器具绝缘性能及机械强度要求。</w:t>
      </w:r>
    </w:p>
    <w:p w14:paraId="7925004F">
      <w:pPr>
        <w:spacing w:line="360" w:lineRule="auto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数量：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3578"/>
        <w:gridCol w:w="930"/>
        <w:gridCol w:w="1210"/>
      </w:tblGrid>
      <w:tr w14:paraId="0EF0C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1099" w:type="dxa"/>
            <w:vAlign w:val="center"/>
          </w:tcPr>
          <w:p w14:paraId="1B37130F">
            <w:pPr>
              <w:pStyle w:val="6"/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bookmarkStart w:id="12" w:name="_Toc4454"/>
            <w:bookmarkStart w:id="13" w:name="_Toc8164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序号</w:t>
            </w:r>
            <w:bookmarkEnd w:id="12"/>
            <w:bookmarkEnd w:id="13"/>
          </w:p>
        </w:tc>
        <w:tc>
          <w:tcPr>
            <w:tcW w:w="3578" w:type="dxa"/>
            <w:vAlign w:val="center"/>
          </w:tcPr>
          <w:p w14:paraId="41F7A476">
            <w:pPr>
              <w:pStyle w:val="6"/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bookmarkStart w:id="14" w:name="_Toc11112"/>
            <w:bookmarkStart w:id="15" w:name="_Toc20435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类别</w:t>
            </w:r>
            <w:bookmarkEnd w:id="14"/>
            <w:bookmarkEnd w:id="15"/>
          </w:p>
        </w:tc>
        <w:tc>
          <w:tcPr>
            <w:tcW w:w="930" w:type="dxa"/>
            <w:vAlign w:val="center"/>
          </w:tcPr>
          <w:p w14:paraId="0CAA3A2A">
            <w:pPr>
              <w:pStyle w:val="6"/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bookmarkStart w:id="16" w:name="_Toc19701"/>
            <w:bookmarkStart w:id="17" w:name="_Toc15973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数量</w:t>
            </w:r>
            <w:bookmarkEnd w:id="16"/>
            <w:bookmarkEnd w:id="17"/>
          </w:p>
        </w:tc>
        <w:tc>
          <w:tcPr>
            <w:tcW w:w="1210" w:type="dxa"/>
            <w:vAlign w:val="center"/>
          </w:tcPr>
          <w:p w14:paraId="50107EEE">
            <w:pPr>
              <w:pStyle w:val="6"/>
              <w:jc w:val="center"/>
              <w:rPr>
                <w:b w:val="0"/>
                <w:bCs w:val="0"/>
                <w:sz w:val="24"/>
                <w:szCs w:val="24"/>
                <w:highlight w:val="none"/>
              </w:rPr>
            </w:pPr>
            <w:bookmarkStart w:id="18" w:name="_Toc19221"/>
            <w:bookmarkStart w:id="19" w:name="_Toc26992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单位</w:t>
            </w:r>
            <w:bookmarkEnd w:id="18"/>
            <w:bookmarkEnd w:id="19"/>
          </w:p>
        </w:tc>
      </w:tr>
      <w:tr w14:paraId="64F6E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1099" w:type="dxa"/>
            <w:vAlign w:val="center"/>
          </w:tcPr>
          <w:p w14:paraId="7025929F">
            <w:pPr>
              <w:pStyle w:val="6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pPr>
            <w:bookmarkStart w:id="20" w:name="_Toc23034"/>
            <w:bookmarkStart w:id="21" w:name="_Toc26694"/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  <w:t>1</w:t>
            </w:r>
            <w:bookmarkEnd w:id="20"/>
            <w:bookmarkEnd w:id="21"/>
          </w:p>
        </w:tc>
        <w:tc>
          <w:tcPr>
            <w:tcW w:w="3578" w:type="dxa"/>
            <w:vAlign w:val="center"/>
          </w:tcPr>
          <w:p w14:paraId="3D928386">
            <w:pPr>
              <w:pStyle w:val="6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  <w:t>冲击助力式绝缘操作杆辅助操作装置</w:t>
            </w:r>
          </w:p>
        </w:tc>
        <w:tc>
          <w:tcPr>
            <w:tcW w:w="930" w:type="dxa"/>
            <w:vAlign w:val="center"/>
          </w:tcPr>
          <w:p w14:paraId="25F30617">
            <w:pPr>
              <w:pStyle w:val="6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210" w:type="dxa"/>
            <w:vAlign w:val="center"/>
          </w:tcPr>
          <w:p w14:paraId="5D0266DA">
            <w:pPr>
              <w:pStyle w:val="6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pPr>
            <w:bookmarkStart w:id="22" w:name="_Toc28480"/>
            <w:bookmarkStart w:id="23" w:name="_Toc1652"/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  <w:t>套</w:t>
            </w:r>
            <w:bookmarkEnd w:id="22"/>
            <w:bookmarkEnd w:id="23"/>
          </w:p>
        </w:tc>
      </w:tr>
    </w:tbl>
    <w:p w14:paraId="1DD418C6">
      <w:pPr>
        <w:spacing w:line="360" w:lineRule="auto"/>
        <w:rPr>
          <w:rFonts w:asciiTheme="minorEastAsia" w:hAnsiTheme="minorEastAsia" w:eastAsiaTheme="minorEastAsia" w:cstheme="minorEastAsia"/>
          <w:color w:val="000000"/>
          <w:sz w:val="24"/>
        </w:rPr>
      </w:pPr>
    </w:p>
    <w:p w14:paraId="0D3DE284">
      <w:pPr>
        <w:spacing w:line="360" w:lineRule="auto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测试化验地点：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广东省广州市</w:t>
      </w:r>
    </w:p>
    <w:p w14:paraId="5E34F013"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工期：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自合同签订之日起至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2027年5月3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日</w:t>
      </w:r>
    </w:p>
    <w:p w14:paraId="3BBE9518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24" w:name="_Toc7671"/>
      <w:r>
        <w:rPr>
          <w:rFonts w:hint="eastAsia" w:ascii="黑体" w:hAnsi="黑体" w:eastAsia="黑体" w:cs="黑体"/>
          <w:sz w:val="28"/>
          <w:szCs w:val="28"/>
        </w:rPr>
        <w:t>2  测试/化验项目要求</w:t>
      </w:r>
      <w:bookmarkEnd w:id="24"/>
    </w:p>
    <w:p w14:paraId="5467B49A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25" w:name="_Toc9074"/>
      <w:r>
        <w:rPr>
          <w:rFonts w:hint="eastAsia" w:ascii="黑体" w:hAnsi="黑体" w:eastAsia="黑体" w:cs="黑体"/>
          <w:bCs/>
          <w:sz w:val="24"/>
        </w:rPr>
        <w:t>2.1 项目及标准</w:t>
      </w:r>
      <w:bookmarkEnd w:id="25"/>
    </w:p>
    <w:p w14:paraId="7F854D50">
      <w:pPr>
        <w:spacing w:line="360" w:lineRule="auto"/>
        <w:jc w:val="center"/>
        <w:rPr>
          <w:rFonts w:ascii="黑体" w:hAnsi="黑体" w:eastAsia="黑体" w:cs="黑体"/>
          <w:bCs/>
          <w:color w:val="000000"/>
          <w:szCs w:val="21"/>
        </w:rPr>
      </w:pPr>
      <w:r>
        <w:rPr>
          <w:rFonts w:hint="eastAsia" w:ascii="黑体" w:hAnsi="黑体" w:eastAsia="黑体" w:cs="黑体"/>
          <w:bCs/>
          <w:color w:val="000000"/>
          <w:szCs w:val="21"/>
        </w:rPr>
        <w:t xml:space="preserve">表1.1 </w:t>
      </w:r>
      <w:r>
        <w:rPr>
          <w:rFonts w:hint="eastAsia" w:ascii="黑体" w:hAnsi="黑体" w:eastAsia="黑体" w:cs="黑体"/>
          <w:bCs/>
          <w:color w:val="000000"/>
          <w:szCs w:val="21"/>
          <w:lang w:val="en-US" w:eastAsia="zh-CN"/>
        </w:rPr>
        <w:t>测试加工</w:t>
      </w:r>
      <w:r>
        <w:rPr>
          <w:rFonts w:hint="eastAsia" w:ascii="黑体" w:hAnsi="黑体" w:eastAsia="黑体" w:cs="黑体"/>
          <w:bCs/>
          <w:color w:val="000000"/>
          <w:szCs w:val="21"/>
          <w:lang w:eastAsia="zh-CN"/>
        </w:rPr>
        <w:t>冲击助力式绝缘操作杆辅助操作装置</w:t>
      </w:r>
      <w:r>
        <w:rPr>
          <w:rFonts w:hint="eastAsia" w:ascii="黑体" w:hAnsi="黑体" w:eastAsia="黑体" w:cs="黑体"/>
          <w:bCs/>
          <w:color w:val="000000"/>
          <w:szCs w:val="21"/>
        </w:rPr>
        <w:t>项目</w:t>
      </w:r>
    </w:p>
    <w:tbl>
      <w:tblPr>
        <w:tblStyle w:val="13"/>
        <w:tblW w:w="839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3799"/>
        <w:gridCol w:w="3798"/>
      </w:tblGrid>
      <w:tr w14:paraId="5396F9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14:paraId="71A38B33">
            <w:pPr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</w:rPr>
              <w:t>序号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 w14:paraId="657030A7">
            <w:pPr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</w:rPr>
              <w:t>项目名称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 w14:paraId="6C073C90">
            <w:pPr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</w:rPr>
              <w:t>试验标准</w:t>
            </w:r>
          </w:p>
        </w:tc>
      </w:tr>
      <w:tr w14:paraId="6C490E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14:paraId="446EC625">
            <w:pPr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 w14:paraId="061ACCFE">
            <w:pPr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</w:rPr>
              <w:t>冲击助力功能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 w14:paraId="5E23664A">
            <w:pPr>
              <w:jc w:val="left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装置具备冲击助力功能，在典型刀闸卡滞工况下，操作者所需操作力降低30%以上，持续操作时间缩短30%以上。</w:t>
            </w:r>
          </w:p>
        </w:tc>
      </w:tr>
      <w:tr w14:paraId="524F7C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14:paraId="0A6EE27E">
            <w:pPr>
              <w:jc w:val="center"/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</w:pPr>
            <w:bookmarkStart w:id="26" w:name="_Toc30644"/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 w14:paraId="108ED7CE">
            <w:pPr>
              <w:jc w:val="center"/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  <w:t>绝缘安全性能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 w14:paraId="4CD5BC10">
            <w:pPr>
              <w:jc w:val="left"/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装置满足GB/T18037-2008、DL/T1476-2023、DL/T976-2017</w:t>
            </w: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>、《中国南方电网有限责任公司电力安全工作规程第3部分：配电部分》</w:t>
            </w: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等相关标准要求，并通过绝缘性能检测。</w:t>
            </w:r>
          </w:p>
        </w:tc>
      </w:tr>
      <w:tr w14:paraId="773581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14:paraId="435F85D8">
            <w:pPr>
              <w:jc w:val="center"/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3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 w14:paraId="645AD14A">
            <w:pPr>
              <w:jc w:val="center"/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  <w:t>模块安装性能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 w14:paraId="3A3AAB61">
            <w:pPr>
              <w:jc w:val="left"/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装置采用可拆卸模块化设计，可与现有绝缘操作杆快速安装及拆卸，单人完成安装或拆卸时间</w:t>
            </w: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≤</w:t>
            </w: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2 min，不影响原有操作杆正常使用。</w:t>
            </w:r>
          </w:p>
        </w:tc>
      </w:tr>
      <w:tr w14:paraId="7D1E15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14:paraId="7F1FEAAF">
            <w:pPr>
              <w:jc w:val="center"/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 w14:paraId="5D249330">
            <w:pPr>
              <w:jc w:val="center"/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  <w:t>结构可靠性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 w14:paraId="14657637">
            <w:pPr>
              <w:jc w:val="left"/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装置冲击寿命</w:t>
            </w: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≥</w:t>
            </w: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500次，结构无明显损坏，冲击助力功能正常，缓冲组件可更换，长期使用维护方便。</w:t>
            </w:r>
          </w:p>
        </w:tc>
      </w:tr>
      <w:tr w14:paraId="37DFD0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14:paraId="3E1D19DA">
            <w:pPr>
              <w:jc w:val="center"/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 w14:paraId="1005334B">
            <w:pPr>
              <w:jc w:val="center"/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eastAsia="zh-CN"/>
              </w:rPr>
              <w:t>助力参数调节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 w14:paraId="34EE84A2">
            <w:pPr>
              <w:jc w:val="left"/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Cs/>
                <w:szCs w:val="21"/>
                <w:lang w:val="en-US" w:eastAsia="zh-CN"/>
              </w:rPr>
              <w:t>装置支持不同配重及滑程参数调整，可根据不同刀闸或隔离开关操作阻力进行助力参数配置。</w:t>
            </w:r>
          </w:p>
        </w:tc>
      </w:tr>
    </w:tbl>
    <w:p w14:paraId="392860DB">
      <w:pPr>
        <w:pStyle w:val="6"/>
        <w:jc w:val="both"/>
      </w:pPr>
    </w:p>
    <w:p w14:paraId="30FEF3CB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="黑体" w:hAnsi="黑体" w:eastAsia="黑体" w:cs="黑体"/>
          <w:bCs/>
          <w:sz w:val="24"/>
        </w:rPr>
        <w:t>2.2 运输方式</w:t>
      </w:r>
      <w:bookmarkEnd w:id="26"/>
      <w:bookmarkStart w:id="27" w:name="_Toc9636"/>
      <w:bookmarkStart w:id="28" w:name="_Toc6770"/>
    </w:p>
    <w:bookmarkEnd w:id="27"/>
    <w:bookmarkEnd w:id="28"/>
    <w:p w14:paraId="55DA547D">
      <w:pPr>
        <w:rPr>
          <w:rFonts w:asciiTheme="minorEastAsia" w:hAnsiTheme="minorEastAsia" w:eastAsiaTheme="minorEastAsia" w:cstheme="minorEastAsia"/>
          <w:bCs/>
          <w:color w:val="auto"/>
          <w:sz w:val="24"/>
        </w:rPr>
      </w:pPr>
      <w:bookmarkStart w:id="29" w:name="_Toc16082"/>
      <w:r>
        <w:rPr>
          <w:rFonts w:hint="eastAsia" w:asciiTheme="minorEastAsia" w:hAnsiTheme="minorEastAsia" w:eastAsiaTheme="minorEastAsia" w:cstheme="minorEastAsia"/>
          <w:bCs/>
          <w:color w:val="auto"/>
          <w:sz w:val="24"/>
        </w:rPr>
        <w:t>现场交付。</w:t>
      </w:r>
    </w:p>
    <w:p w14:paraId="118A3639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3  技术服务的要求</w:t>
      </w:r>
      <w:bookmarkEnd w:id="29"/>
    </w:p>
    <w:p w14:paraId="02568DC7"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</w:rPr>
      </w:pPr>
      <w:bookmarkStart w:id="30" w:name="_Toc1749"/>
      <w:r>
        <w:rPr>
          <w:rFonts w:hint="eastAsia" w:ascii="黑体" w:hAnsi="黑体" w:eastAsia="黑体" w:cs="黑体"/>
          <w:bCs/>
          <w:sz w:val="24"/>
        </w:rPr>
        <w:t>3.1 资质要求</w:t>
      </w:r>
      <w:bookmarkEnd w:id="30"/>
    </w:p>
    <w:p w14:paraId="35F38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投标方应具备规定的营业执照、银行资信证明等资质文件齐全。</w:t>
      </w:r>
    </w:p>
    <w:p w14:paraId="77BD6141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31" w:name="_Toc16023"/>
      <w:r>
        <w:rPr>
          <w:rFonts w:hint="eastAsia" w:ascii="黑体" w:hAnsi="黑体" w:eastAsia="黑体" w:cs="黑体"/>
          <w:bCs/>
          <w:sz w:val="24"/>
        </w:rPr>
        <w:t>3.2 人员、设备及场地要求</w:t>
      </w:r>
      <w:bookmarkEnd w:id="31"/>
    </w:p>
    <w:p w14:paraId="750B5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投标方应有用于装置试制的试验场地，并配备相应的试验设备。</w:t>
      </w:r>
    </w:p>
    <w:p w14:paraId="605DBBCC">
      <w:pPr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32" w:name="_Toc9853"/>
      <w:r>
        <w:rPr>
          <w:rFonts w:hint="eastAsia" w:ascii="黑体" w:hAnsi="黑体" w:eastAsia="黑体" w:cs="黑体"/>
          <w:bCs/>
          <w:sz w:val="24"/>
        </w:rPr>
        <w:t xml:space="preserve">3.3 </w:t>
      </w:r>
      <w:bookmarkEnd w:id="32"/>
      <w:bookmarkStart w:id="33" w:name="_Toc22454"/>
      <w:r>
        <w:rPr>
          <w:rFonts w:hint="eastAsia" w:ascii="黑体" w:hAnsi="黑体" w:eastAsia="黑体" w:cs="黑体"/>
          <w:bCs/>
          <w:sz w:val="24"/>
        </w:rPr>
        <w:t xml:space="preserve"> 信息保密要求</w:t>
      </w:r>
      <w:bookmarkEnd w:id="33"/>
    </w:p>
    <w:p w14:paraId="1B52DD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bookmarkStart w:id="34" w:name="_Toc6985"/>
      <w:bookmarkStart w:id="35" w:name="_Toc21030"/>
      <w:bookmarkStart w:id="36" w:name="_Toc23607"/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本项目团队成员获得接触和知悉与本项工作相关的国家秘密、商业秘密或敏感信息和数据的资格，为此，项目组成员应当承担维护信息安全及保密义务和法律责任，一旦因违反信息安全及保密相关的行为规范，将被南网列入“黑名单”，不被允许参与招标方的任何业务。</w:t>
      </w:r>
      <w:bookmarkEnd w:id="34"/>
      <w:bookmarkEnd w:id="35"/>
    </w:p>
    <w:p w14:paraId="099C23D4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="黑体" w:hAnsi="黑体" w:eastAsia="黑体" w:cs="黑体"/>
          <w:bCs/>
          <w:sz w:val="24"/>
        </w:rPr>
        <w:t>3.</w:t>
      </w:r>
      <w:r>
        <w:rPr>
          <w:rFonts w:hint="eastAsia" w:ascii="黑体" w:hAnsi="黑体" w:eastAsia="黑体" w:cs="黑体"/>
          <w:bCs/>
          <w:sz w:val="24"/>
          <w:lang w:val="en-US" w:eastAsia="zh-CN"/>
        </w:rPr>
        <w:t>4</w:t>
      </w:r>
      <w:r>
        <w:rPr>
          <w:rFonts w:hint="eastAsia" w:ascii="黑体" w:hAnsi="黑体" w:eastAsia="黑体" w:cs="黑体"/>
          <w:bCs/>
          <w:sz w:val="24"/>
        </w:rPr>
        <w:t xml:space="preserve"> 其他要求</w:t>
      </w:r>
      <w:bookmarkEnd w:id="36"/>
      <w:bookmarkStart w:id="37" w:name="_Toc30921"/>
      <w:bookmarkStart w:id="38" w:name="_Toc17063"/>
    </w:p>
    <w:bookmarkEnd w:id="37"/>
    <w:bookmarkEnd w:id="38"/>
    <w:p w14:paraId="630CB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bookmarkStart w:id="39" w:name="_Toc21612"/>
      <w:bookmarkStart w:id="40" w:name="_Toc266713650"/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（1）按照招标方要求，完成其他现场技术支持相关工作。</w:t>
      </w:r>
    </w:p>
    <w:p w14:paraId="2FCC32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（2）中标方提供的技术服务，不得侵犯任何第三方的合法权益，由此引起的纠纷或者第三方以及招标方造成的损失，应由中标方承担全部责任。</w:t>
      </w:r>
    </w:p>
    <w:p w14:paraId="77AE93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（3）研究成果知识产权归广州供电局所有，投标人应协助招标方完成发明专利的撰写并获得受理通知书。</w:t>
      </w:r>
    </w:p>
    <w:p w14:paraId="2B3CF4C0">
      <w:pPr>
        <w:pStyle w:val="22"/>
        <w:spacing w:before="312"/>
        <w:outlineLvl w:val="0"/>
        <w:rPr>
          <w:rFonts w:asciiTheme="minorEastAsia" w:hAnsiTheme="minorEastAsia" w:eastAsiaTheme="minorEastAsia" w:cstheme="minorEastAsia"/>
          <w:color w:val="000000"/>
        </w:rPr>
      </w:pPr>
      <w:r>
        <w:rPr>
          <w:rFonts w:hint="eastAsia" w:ascii="黑体" w:hAnsi="黑体" w:eastAsia="黑体" w:cs="黑体"/>
          <w:sz w:val="28"/>
          <w:szCs w:val="28"/>
        </w:rPr>
        <w:t>4  时间进度要求</w:t>
      </w:r>
      <w:bookmarkEnd w:id="39"/>
      <w:bookmarkEnd w:id="40"/>
      <w:bookmarkStart w:id="41" w:name="_Toc11533"/>
      <w:bookmarkStart w:id="42" w:name="_Toc27224"/>
    </w:p>
    <w:bookmarkEnd w:id="41"/>
    <w:bookmarkEnd w:id="42"/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965"/>
        <w:gridCol w:w="5610"/>
      </w:tblGrid>
      <w:tr w14:paraId="79DD1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</w:tcPr>
          <w:p w14:paraId="6F06200F">
            <w:pPr>
              <w:pStyle w:val="6"/>
              <w:jc w:val="center"/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</w:pPr>
            <w:bookmarkStart w:id="43" w:name="_Toc21389"/>
            <w:bookmarkStart w:id="44" w:name="_Toc8651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序号</w:t>
            </w:r>
            <w:bookmarkEnd w:id="43"/>
          </w:p>
        </w:tc>
        <w:tc>
          <w:tcPr>
            <w:tcW w:w="1965" w:type="dxa"/>
          </w:tcPr>
          <w:p w14:paraId="54A031EB">
            <w:pPr>
              <w:pStyle w:val="6"/>
              <w:jc w:val="center"/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</w:pPr>
            <w:bookmarkStart w:id="45" w:name="_Toc5732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时间段</w:t>
            </w:r>
            <w:bookmarkEnd w:id="45"/>
          </w:p>
        </w:tc>
        <w:tc>
          <w:tcPr>
            <w:tcW w:w="5610" w:type="dxa"/>
          </w:tcPr>
          <w:p w14:paraId="12113022">
            <w:pPr>
              <w:pStyle w:val="6"/>
              <w:jc w:val="center"/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</w:pPr>
            <w:bookmarkStart w:id="46" w:name="_Toc26630"/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主要工作内容</w:t>
            </w:r>
            <w:bookmarkEnd w:id="46"/>
          </w:p>
        </w:tc>
      </w:tr>
      <w:tr w14:paraId="30DF3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E9176A4"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259D457B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合同签订日-202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月</w:t>
            </w:r>
          </w:p>
        </w:tc>
        <w:tc>
          <w:tcPr>
            <w:tcW w:w="5610" w:type="dxa"/>
            <w:shd w:val="clear" w:color="auto" w:fill="auto"/>
            <w:vAlign w:val="center"/>
          </w:tcPr>
          <w:p w14:paraId="3A20772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协助甲方完善冲击助力式绝缘操作杆辅助操作装置设计方案，完成结构设计优化及加工图纸确认。</w:t>
            </w:r>
          </w:p>
        </w:tc>
      </w:tr>
      <w:tr w14:paraId="65F20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0B409C4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2EC6D6AD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2026年12月-2027年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月</w:t>
            </w:r>
          </w:p>
        </w:tc>
        <w:tc>
          <w:tcPr>
            <w:tcW w:w="5610" w:type="dxa"/>
            <w:shd w:val="clear" w:color="auto" w:fill="auto"/>
            <w:vAlign w:val="center"/>
          </w:tcPr>
          <w:p w14:paraId="57E247C8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加工试制冲击助力式绝缘操作杆辅助操作装置，完成样机组装。</w:t>
            </w:r>
          </w:p>
        </w:tc>
      </w:tr>
      <w:tr w14:paraId="21B63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5AC0D8E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04D987F7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2027年2月-2027年3月</w:t>
            </w:r>
          </w:p>
        </w:tc>
        <w:tc>
          <w:tcPr>
            <w:tcW w:w="5610" w:type="dxa"/>
            <w:shd w:val="clear" w:color="auto" w:fill="auto"/>
            <w:vAlign w:val="center"/>
          </w:tcPr>
          <w:p w14:paraId="31F80747">
            <w:pPr>
              <w:jc w:val="center"/>
              <w:rPr>
                <w:rFonts w:hint="default" w:ascii="Cambria" w:hAnsi="Cambria" w:eastAsia="宋体" w:cs="Times New Roman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完成整机调试及第三方检测，配合甲方开展现场试点应用。</w:t>
            </w:r>
          </w:p>
        </w:tc>
      </w:tr>
      <w:tr w14:paraId="522F6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vAlign w:val="center"/>
          </w:tcPr>
          <w:p w14:paraId="0553F8ED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3685EFB6">
            <w:pPr>
              <w:jc w:val="center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2027年4月-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月</w:t>
            </w:r>
          </w:p>
        </w:tc>
        <w:tc>
          <w:tcPr>
            <w:tcW w:w="5610" w:type="dxa"/>
            <w:shd w:val="clear" w:color="auto" w:fill="auto"/>
            <w:vAlign w:val="center"/>
          </w:tcPr>
          <w:p w14:paraId="68E3A458"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协助甲方编制项目总结报告、装置说明书，完成项目验收。</w:t>
            </w:r>
          </w:p>
        </w:tc>
      </w:tr>
    </w:tbl>
    <w:p w14:paraId="6E15DF07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5  交付与验收</w:t>
      </w:r>
      <w:bookmarkEnd w:id="44"/>
    </w:p>
    <w:p w14:paraId="7D88F34F"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</w:rPr>
      </w:pPr>
      <w:bookmarkStart w:id="47" w:name="_Toc3677"/>
      <w:r>
        <w:rPr>
          <w:rFonts w:hint="eastAsia" w:ascii="黑体" w:hAnsi="黑体" w:eastAsia="黑体" w:cs="黑体"/>
          <w:bCs/>
          <w:sz w:val="24"/>
        </w:rPr>
        <w:t>5.1 交付形式及数量要求</w:t>
      </w:r>
      <w:bookmarkEnd w:id="47"/>
    </w:p>
    <w:p w14:paraId="18D73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bookmarkStart w:id="48" w:name="_Toc21560"/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1）冲击助力式绝缘操作杆辅助操作装置1套，满足功能要求并通过测试，提交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具备CMA、CNAS等资质的检测机构出具的</w:t>
      </w:r>
      <w:bookmarkStart w:id="62" w:name="_GoBack"/>
      <w:bookmarkEnd w:id="62"/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第三方测试报告1份、装置使用说明书1份；</w:t>
      </w:r>
    </w:p>
    <w:p w14:paraId="12D1E0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2）协助完成不少于1处现场试点应用，并提交总结报告1份。</w:t>
      </w:r>
    </w:p>
    <w:p w14:paraId="6CE5735F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="黑体" w:hAnsi="黑体" w:eastAsia="黑体" w:cs="黑体"/>
          <w:bCs/>
          <w:sz w:val="24"/>
        </w:rPr>
        <w:t>5.2 验收</w:t>
      </w:r>
      <w:bookmarkEnd w:id="48"/>
      <w:bookmarkStart w:id="49" w:name="_Toc23588"/>
      <w:bookmarkStart w:id="50" w:name="_Toc536"/>
    </w:p>
    <w:bookmarkEnd w:id="49"/>
    <w:bookmarkEnd w:id="50"/>
    <w:p w14:paraId="1035CB1E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51" w:name="_Toc859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（1）项目完成后，由甲方组织专家组对项目的主要技术指标、成果等进行验收。</w:t>
      </w:r>
    </w:p>
    <w:p w14:paraId="0AF01831"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（2）乙方未按期完成技术服务工作的，每逾期1天，应向甲方支付相当于技术服务报酬0.5%的违约金，逾期超过30日的，甲方有权单方解除合同。</w:t>
      </w:r>
    </w:p>
    <w:p w14:paraId="1CE19C31">
      <w:pPr>
        <w:pStyle w:val="22"/>
        <w:spacing w:before="312"/>
        <w:outlineLvl w:val="0"/>
        <w:rPr>
          <w:rFonts w:asciiTheme="minorEastAsia" w:hAnsiTheme="minorEastAsia" w:eastAsiaTheme="minorEastAsia" w:cstheme="minorEastAsia"/>
          <w:color w:val="000000"/>
        </w:rPr>
      </w:pPr>
      <w:r>
        <w:rPr>
          <w:rFonts w:hint="eastAsia" w:ascii="黑体" w:hAnsi="黑体" w:eastAsia="黑体" w:cs="黑体"/>
          <w:sz w:val="28"/>
          <w:szCs w:val="28"/>
        </w:rPr>
        <w:t>6  投标技术文件要求</w:t>
      </w:r>
      <w:bookmarkEnd w:id="51"/>
      <w:bookmarkStart w:id="52" w:name="_Toc8189"/>
      <w:bookmarkStart w:id="53" w:name="_Toc11892"/>
    </w:p>
    <w:bookmarkEnd w:id="52"/>
    <w:bookmarkEnd w:id="53"/>
    <w:p w14:paraId="3F4D040E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54" w:name="_Toc29154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投标方应针对测试/化验对象提供详尽的技术/试验方案，应包含安健环、质量保障措施、试验作业流程等。</w:t>
      </w:r>
    </w:p>
    <w:bookmarkEnd w:id="54"/>
    <w:p w14:paraId="0EEE46F6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r>
        <w:rPr>
          <w:rFonts w:hint="eastAsia" w:ascii="黑体" w:hAnsi="黑体" w:eastAsia="黑体" w:cs="黑体"/>
          <w:bCs/>
          <w:sz w:val="24"/>
        </w:rPr>
        <w:t>6.1 技术方案</w:t>
      </w:r>
    </w:p>
    <w:p w14:paraId="3FF2A78F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投标方应针对测试/化验对象提供详尽的技术/试验方案，应包含安健环、质量保障措施、试验作业流程等。</w:t>
      </w:r>
    </w:p>
    <w:p w14:paraId="18531F06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55" w:name="_Toc12714"/>
      <w:bookmarkStart w:id="56" w:name="_Toc9372"/>
      <w:r>
        <w:rPr>
          <w:rFonts w:hint="eastAsia" w:ascii="黑体" w:hAnsi="黑体" w:eastAsia="黑体" w:cs="黑体"/>
          <w:bCs/>
          <w:sz w:val="24"/>
        </w:rPr>
        <w:t>6.2 项目管理实施</w:t>
      </w:r>
      <w:bookmarkEnd w:id="55"/>
      <w:bookmarkEnd w:id="56"/>
    </w:p>
    <w:p w14:paraId="6D07FC72">
      <w:pPr>
        <w:spacing w:line="360" w:lineRule="auto"/>
        <w:rPr>
          <w:sz w:val="24"/>
        </w:rPr>
      </w:pPr>
      <w:r>
        <w:rPr>
          <w:rFonts w:hint="eastAsia"/>
          <w:sz w:val="24"/>
        </w:rPr>
        <w:t>（1）项目人员组织</w:t>
      </w:r>
    </w:p>
    <w:p w14:paraId="64EC9C67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介绍项目人员组织情况、职责分工，运行机制。</w:t>
      </w:r>
    </w:p>
    <w:p w14:paraId="528C27BB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项目进度及保障措施</w:t>
      </w:r>
    </w:p>
    <w:p w14:paraId="48B19F90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项目交付项</w:t>
      </w:r>
    </w:p>
    <w:p w14:paraId="7C3C40F7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投标方根据成果交付与验收要求应提交给招标方的交付文件等，并附上相应的交付时间计划表。</w:t>
      </w:r>
    </w:p>
    <w:p w14:paraId="39689973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57" w:name="_Toc29648"/>
      <w:r>
        <w:rPr>
          <w:rFonts w:hint="eastAsia" w:ascii="黑体" w:hAnsi="黑体" w:eastAsia="黑体" w:cs="黑体"/>
          <w:bCs/>
          <w:sz w:val="24"/>
        </w:rPr>
        <w:t>6.3 项目技术支撑能力</w:t>
      </w:r>
      <w:bookmarkEnd w:id="57"/>
    </w:p>
    <w:p w14:paraId="16C57923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项目经验</w:t>
      </w:r>
    </w:p>
    <w:p w14:paraId="13713E5D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该部分填写与标的物相关的测试/化验项目经验、合同情况。</w:t>
      </w:r>
    </w:p>
    <w:p w14:paraId="512294F2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人员支撑能力</w:t>
      </w:r>
    </w:p>
    <w:p w14:paraId="6FC006BE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该部分填写与标的物相关的试验人员详细资料（包括学历、资质、工作经验等），提供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相关支撑材料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。</w:t>
      </w:r>
    </w:p>
    <w:p w14:paraId="60EB4218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设备支撑能力</w:t>
      </w:r>
    </w:p>
    <w:p w14:paraId="39EBBF9E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该部分填写与标的物相关的、支撑试验开展的设备、平台、实验室等。</w:t>
      </w:r>
    </w:p>
    <w:p w14:paraId="6CFE0E1F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运输保障</w:t>
      </w:r>
    </w:p>
    <w:p w14:paraId="2F3B51D5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58" w:name="_Toc30783"/>
      <w:bookmarkStart w:id="59" w:name="_Toc25058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 = 1 \* GB3 </w:instrTex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①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投标方应负责将产品运到合同指定的目的地。</w:t>
      </w:r>
    </w:p>
    <w:p w14:paraId="453E6326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fldChar w:fldCharType="begin"/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 </w:instrTex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= 2 \* GB3</w:instrText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 </w:instrText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②</w:t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产品在运输中均应该注意防潮，暴晒。运输过程中应避免野蛮装卸，并保证产品在运输过程中不受损坏。</w:t>
      </w:r>
    </w:p>
    <w:p w14:paraId="444B8CBD"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fldChar w:fldCharType="begin"/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 </w:instrTex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= 3 \* GB3</w:instrText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instrText xml:space="preserve"> </w:instrText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③</w:t>
      </w:r>
      <w:r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除合同条款的规定外，货物在装运后48H内，将装运通知单一式五份邮寄给招标方。</w:t>
      </w:r>
    </w:p>
    <w:bookmarkEnd w:id="58"/>
    <w:bookmarkEnd w:id="59"/>
    <w:p w14:paraId="6877C78A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r>
        <w:rPr>
          <w:rFonts w:hint="eastAsia" w:ascii="黑体" w:hAnsi="黑体" w:eastAsia="黑体" w:cs="黑体"/>
          <w:bCs/>
          <w:sz w:val="24"/>
        </w:rPr>
        <w:t>6.4 技术支持与售后服务</w:t>
      </w:r>
    </w:p>
    <w:p w14:paraId="55AE57A8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投标方要明确所能提供的服务内容，服务方式，服务承诺和售后服务等情况。</w:t>
      </w:r>
    </w:p>
    <w:p w14:paraId="044FC177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60" w:name="_Toc9479"/>
      <w:r>
        <w:rPr>
          <w:rFonts w:hint="eastAsia" w:ascii="黑体" w:hAnsi="黑体" w:eastAsia="黑体" w:cs="黑体"/>
          <w:bCs/>
          <w:sz w:val="24"/>
        </w:rPr>
        <w:t>6.5 技术差异表</w:t>
      </w:r>
      <w:bookmarkEnd w:id="60"/>
    </w:p>
    <w:p w14:paraId="65D82034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投标方应将所提供服务差异如实填写在下面空栏里，包括所有试验项目的试验能力差异。</w:t>
      </w:r>
    </w:p>
    <w:p w14:paraId="104160AF">
      <w:pPr>
        <w:spacing w:line="360" w:lineRule="auto"/>
        <w:jc w:val="center"/>
        <w:rPr>
          <w:rFonts w:asciiTheme="minorEastAsia" w:hAnsiTheme="minorEastAsia" w:eastAsiaTheme="minorEastAsia" w:cstheme="minorEastAsia"/>
          <w:color w:val="000000"/>
          <w:szCs w:val="21"/>
        </w:rPr>
      </w:pPr>
      <w:r>
        <w:rPr>
          <w:rFonts w:hint="eastAsia" w:ascii="黑体" w:hAnsi="黑体" w:eastAsia="黑体" w:cs="黑体"/>
          <w:bCs/>
          <w:color w:val="000000"/>
          <w:szCs w:val="21"/>
        </w:rPr>
        <w:t>表6.1 技术差异表</w:t>
      </w:r>
    </w:p>
    <w:tbl>
      <w:tblPr>
        <w:tblStyle w:val="13"/>
        <w:tblW w:w="839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2"/>
        <w:gridCol w:w="1783"/>
        <w:gridCol w:w="2639"/>
        <w:gridCol w:w="2819"/>
        <w:gridCol w:w="598"/>
      </w:tblGrid>
      <w:tr w14:paraId="1BC7F1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552" w:type="dxa"/>
            <w:tcBorders>
              <w:tl2br w:val="nil"/>
              <w:tr2bl w:val="nil"/>
            </w:tcBorders>
            <w:vAlign w:val="center"/>
          </w:tcPr>
          <w:p w14:paraId="7FC197C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783" w:type="dxa"/>
            <w:tcBorders>
              <w:tl2br w:val="nil"/>
              <w:tr2bl w:val="nil"/>
            </w:tcBorders>
            <w:vAlign w:val="center"/>
          </w:tcPr>
          <w:p w14:paraId="0ADC49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条目</w:t>
            </w:r>
          </w:p>
        </w:tc>
        <w:tc>
          <w:tcPr>
            <w:tcW w:w="2639" w:type="dxa"/>
            <w:tcBorders>
              <w:tl2br w:val="nil"/>
              <w:tr2bl w:val="nil"/>
            </w:tcBorders>
            <w:vAlign w:val="center"/>
          </w:tcPr>
          <w:p w14:paraId="65935D4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标书所要求的技术服务能力</w:t>
            </w:r>
          </w:p>
        </w:tc>
        <w:tc>
          <w:tcPr>
            <w:tcW w:w="2819" w:type="dxa"/>
            <w:tcBorders>
              <w:tl2br w:val="nil"/>
              <w:tr2bl w:val="nil"/>
            </w:tcBorders>
            <w:vAlign w:val="center"/>
          </w:tcPr>
          <w:p w14:paraId="771D7C6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投标者所提供的技术服务能力</w:t>
            </w:r>
          </w:p>
        </w:tc>
        <w:tc>
          <w:tcPr>
            <w:tcW w:w="598" w:type="dxa"/>
            <w:tcBorders>
              <w:tl2br w:val="nil"/>
              <w:tr2bl w:val="nil"/>
            </w:tcBorders>
            <w:vAlign w:val="center"/>
          </w:tcPr>
          <w:p w14:paraId="19EFDBE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59AC03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552" w:type="dxa"/>
            <w:tcBorders>
              <w:tl2br w:val="nil"/>
              <w:tr2bl w:val="nil"/>
            </w:tcBorders>
          </w:tcPr>
          <w:p w14:paraId="1C224E45"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 w14:paraId="108CC5A0"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 w14:paraId="2C1E0D91"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 w14:paraId="53EB899C"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 w14:paraId="51F9D348">
            <w:pPr>
              <w:rPr>
                <w:szCs w:val="21"/>
              </w:rPr>
            </w:pPr>
          </w:p>
        </w:tc>
      </w:tr>
      <w:tr w14:paraId="0E9934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0" w:hRule="atLeast"/>
        </w:trPr>
        <w:tc>
          <w:tcPr>
            <w:tcW w:w="552" w:type="dxa"/>
            <w:tcBorders>
              <w:tl2br w:val="nil"/>
              <w:tr2bl w:val="nil"/>
            </w:tcBorders>
          </w:tcPr>
          <w:p w14:paraId="1680A024"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 w14:paraId="7BB23381"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 w14:paraId="6D886DEC"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 w14:paraId="0533072E"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 w14:paraId="44ED3DA8">
            <w:pPr>
              <w:rPr>
                <w:szCs w:val="21"/>
              </w:rPr>
            </w:pPr>
          </w:p>
        </w:tc>
      </w:tr>
      <w:tr w14:paraId="0A4FE3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</w:trPr>
        <w:tc>
          <w:tcPr>
            <w:tcW w:w="552" w:type="dxa"/>
            <w:tcBorders>
              <w:tl2br w:val="nil"/>
              <w:tr2bl w:val="nil"/>
            </w:tcBorders>
          </w:tcPr>
          <w:p w14:paraId="48C9DF52"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 w14:paraId="6E30AE82"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 w14:paraId="7E58ED67"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 w14:paraId="4812920C"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 w14:paraId="5AC086CB">
            <w:pPr>
              <w:rPr>
                <w:szCs w:val="21"/>
              </w:rPr>
            </w:pPr>
          </w:p>
        </w:tc>
      </w:tr>
      <w:tr w14:paraId="0499BF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5" w:hRule="atLeast"/>
        </w:trPr>
        <w:tc>
          <w:tcPr>
            <w:tcW w:w="552" w:type="dxa"/>
            <w:tcBorders>
              <w:tl2br w:val="nil"/>
              <w:tr2bl w:val="nil"/>
            </w:tcBorders>
          </w:tcPr>
          <w:p w14:paraId="0513EA8F">
            <w:pPr>
              <w:rPr>
                <w:szCs w:val="21"/>
              </w:rPr>
            </w:pPr>
          </w:p>
        </w:tc>
        <w:tc>
          <w:tcPr>
            <w:tcW w:w="1783" w:type="dxa"/>
            <w:tcBorders>
              <w:tl2br w:val="nil"/>
              <w:tr2bl w:val="nil"/>
            </w:tcBorders>
          </w:tcPr>
          <w:p w14:paraId="3ECC13F2"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l2br w:val="nil"/>
              <w:tr2bl w:val="nil"/>
            </w:tcBorders>
          </w:tcPr>
          <w:p w14:paraId="588448BB">
            <w:pPr>
              <w:rPr>
                <w:szCs w:val="21"/>
              </w:rPr>
            </w:pPr>
          </w:p>
        </w:tc>
        <w:tc>
          <w:tcPr>
            <w:tcW w:w="2819" w:type="dxa"/>
            <w:tcBorders>
              <w:tl2br w:val="nil"/>
              <w:tr2bl w:val="nil"/>
            </w:tcBorders>
          </w:tcPr>
          <w:p w14:paraId="11F99C87">
            <w:pPr>
              <w:rPr>
                <w:szCs w:val="21"/>
              </w:rPr>
            </w:pPr>
          </w:p>
        </w:tc>
        <w:tc>
          <w:tcPr>
            <w:tcW w:w="598" w:type="dxa"/>
            <w:tcBorders>
              <w:tl2br w:val="nil"/>
              <w:tr2bl w:val="nil"/>
            </w:tcBorders>
          </w:tcPr>
          <w:p w14:paraId="72E25216">
            <w:pPr>
              <w:rPr>
                <w:szCs w:val="21"/>
              </w:rPr>
            </w:pPr>
          </w:p>
        </w:tc>
      </w:tr>
    </w:tbl>
    <w:p w14:paraId="3713B35F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61" w:name="_Toc23107"/>
      <w:r>
        <w:rPr>
          <w:rFonts w:hint="eastAsia" w:ascii="黑体" w:hAnsi="黑体" w:eastAsia="黑体" w:cs="黑体"/>
          <w:bCs/>
          <w:sz w:val="24"/>
        </w:rPr>
        <w:t>6.6 其它补充说明</w:t>
      </w:r>
      <w:bookmarkEnd w:id="61"/>
    </w:p>
    <w:p w14:paraId="26C83534">
      <w:pPr>
        <w:spacing w:line="360" w:lineRule="auto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 xml:space="preserve">   </w:t>
      </w:r>
      <w:r>
        <w:rPr>
          <w:rFonts w:hint="eastAsia"/>
          <w:color w:val="000000"/>
          <w:sz w:val="24"/>
        </w:rPr>
        <w:t>投标方认为实现本文件的相关内容存在技术类或其它类风险，请详细说明，并提供相应的对策。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C6A7A"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FAEDBB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FAEDBB"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7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ZmNDZlMzdjZGFhN2QyZTY2ZWEyMGM3MjI0YWQ1NWUifQ=="/>
    <w:docVar w:name="KSO_WPS_MARK_KEY" w:val="f00806b1-1208-467d-93c9-024b224004c1"/>
  </w:docVars>
  <w:rsids>
    <w:rsidRoot w:val="56112EA9"/>
    <w:rsid w:val="000C764F"/>
    <w:rsid w:val="00DE6232"/>
    <w:rsid w:val="00F629DE"/>
    <w:rsid w:val="01D35542"/>
    <w:rsid w:val="027C11FC"/>
    <w:rsid w:val="0295401A"/>
    <w:rsid w:val="0303051E"/>
    <w:rsid w:val="030E0E13"/>
    <w:rsid w:val="036208AE"/>
    <w:rsid w:val="041814E6"/>
    <w:rsid w:val="04763EE5"/>
    <w:rsid w:val="047B7BC4"/>
    <w:rsid w:val="04BF0B83"/>
    <w:rsid w:val="04FE4EAD"/>
    <w:rsid w:val="05312146"/>
    <w:rsid w:val="056D4E14"/>
    <w:rsid w:val="06F52B3B"/>
    <w:rsid w:val="08FA1784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F29227F"/>
    <w:rsid w:val="0FBF064C"/>
    <w:rsid w:val="10011F66"/>
    <w:rsid w:val="106B4D76"/>
    <w:rsid w:val="10972384"/>
    <w:rsid w:val="109868FF"/>
    <w:rsid w:val="11262595"/>
    <w:rsid w:val="11402C86"/>
    <w:rsid w:val="11F61BFA"/>
    <w:rsid w:val="13566E57"/>
    <w:rsid w:val="13A42991"/>
    <w:rsid w:val="14421D4B"/>
    <w:rsid w:val="147F0C66"/>
    <w:rsid w:val="14D37A1A"/>
    <w:rsid w:val="14F711F2"/>
    <w:rsid w:val="1558413F"/>
    <w:rsid w:val="155E4129"/>
    <w:rsid w:val="16CE51A3"/>
    <w:rsid w:val="16F77748"/>
    <w:rsid w:val="175C5ADE"/>
    <w:rsid w:val="19D121FE"/>
    <w:rsid w:val="1A316175"/>
    <w:rsid w:val="1A830B36"/>
    <w:rsid w:val="1ADD4B0E"/>
    <w:rsid w:val="1AFA5380"/>
    <w:rsid w:val="1B1C576F"/>
    <w:rsid w:val="1B684130"/>
    <w:rsid w:val="1B843116"/>
    <w:rsid w:val="1BF021DF"/>
    <w:rsid w:val="1BFA3C82"/>
    <w:rsid w:val="1C672B50"/>
    <w:rsid w:val="1D8D437A"/>
    <w:rsid w:val="1DA01B05"/>
    <w:rsid w:val="1F613473"/>
    <w:rsid w:val="1FBD1E67"/>
    <w:rsid w:val="1FD9003C"/>
    <w:rsid w:val="209E4C27"/>
    <w:rsid w:val="21CA3C88"/>
    <w:rsid w:val="234277A0"/>
    <w:rsid w:val="234B187D"/>
    <w:rsid w:val="23A116F1"/>
    <w:rsid w:val="24363D62"/>
    <w:rsid w:val="24C9435F"/>
    <w:rsid w:val="24EA7C79"/>
    <w:rsid w:val="250F564D"/>
    <w:rsid w:val="252B1EB7"/>
    <w:rsid w:val="256870E0"/>
    <w:rsid w:val="25BF3725"/>
    <w:rsid w:val="25E42BF8"/>
    <w:rsid w:val="265249D6"/>
    <w:rsid w:val="275D5D26"/>
    <w:rsid w:val="275F7D29"/>
    <w:rsid w:val="27EC6992"/>
    <w:rsid w:val="27F81146"/>
    <w:rsid w:val="287064F9"/>
    <w:rsid w:val="28BE48E2"/>
    <w:rsid w:val="29F81415"/>
    <w:rsid w:val="2A441357"/>
    <w:rsid w:val="2B6721B0"/>
    <w:rsid w:val="2C191EA0"/>
    <w:rsid w:val="2CA3124A"/>
    <w:rsid w:val="2D8F39A1"/>
    <w:rsid w:val="2DAC4578"/>
    <w:rsid w:val="2DB36870"/>
    <w:rsid w:val="2DEA6350"/>
    <w:rsid w:val="2E260032"/>
    <w:rsid w:val="2E2E5B4F"/>
    <w:rsid w:val="2E380045"/>
    <w:rsid w:val="2EFA1D2E"/>
    <w:rsid w:val="2F2E6BFF"/>
    <w:rsid w:val="2FC241F2"/>
    <w:rsid w:val="30045C2F"/>
    <w:rsid w:val="304C5B59"/>
    <w:rsid w:val="30DF2B6C"/>
    <w:rsid w:val="313E1E7A"/>
    <w:rsid w:val="321A3E22"/>
    <w:rsid w:val="32653DEB"/>
    <w:rsid w:val="32887BF4"/>
    <w:rsid w:val="330E4E8B"/>
    <w:rsid w:val="33161353"/>
    <w:rsid w:val="334E3954"/>
    <w:rsid w:val="34255CC8"/>
    <w:rsid w:val="346D6896"/>
    <w:rsid w:val="347E10AE"/>
    <w:rsid w:val="358A1AD4"/>
    <w:rsid w:val="358B06A1"/>
    <w:rsid w:val="35DF4389"/>
    <w:rsid w:val="35E41FA9"/>
    <w:rsid w:val="360B40D3"/>
    <w:rsid w:val="3661221B"/>
    <w:rsid w:val="37A433E0"/>
    <w:rsid w:val="37AE0477"/>
    <w:rsid w:val="38004B22"/>
    <w:rsid w:val="38D05FCB"/>
    <w:rsid w:val="390A3500"/>
    <w:rsid w:val="39140E3A"/>
    <w:rsid w:val="39855B4F"/>
    <w:rsid w:val="398C2739"/>
    <w:rsid w:val="39E974DB"/>
    <w:rsid w:val="3C4C5078"/>
    <w:rsid w:val="3C7D340E"/>
    <w:rsid w:val="3DDE3626"/>
    <w:rsid w:val="401C5798"/>
    <w:rsid w:val="40794199"/>
    <w:rsid w:val="408A19B3"/>
    <w:rsid w:val="40F0643B"/>
    <w:rsid w:val="410217F6"/>
    <w:rsid w:val="419C13AE"/>
    <w:rsid w:val="41A73FEA"/>
    <w:rsid w:val="41B40E40"/>
    <w:rsid w:val="41E17DD8"/>
    <w:rsid w:val="42A30678"/>
    <w:rsid w:val="42A37264"/>
    <w:rsid w:val="42DF02D2"/>
    <w:rsid w:val="42F8694F"/>
    <w:rsid w:val="44C917FC"/>
    <w:rsid w:val="45AD67D6"/>
    <w:rsid w:val="45CF1EF0"/>
    <w:rsid w:val="47097B32"/>
    <w:rsid w:val="47194E6E"/>
    <w:rsid w:val="47382C50"/>
    <w:rsid w:val="48205CF0"/>
    <w:rsid w:val="48AE5D4E"/>
    <w:rsid w:val="49244D8F"/>
    <w:rsid w:val="49F22A9F"/>
    <w:rsid w:val="49FE2F4B"/>
    <w:rsid w:val="4A1E78F1"/>
    <w:rsid w:val="4A4B4604"/>
    <w:rsid w:val="4A566A25"/>
    <w:rsid w:val="4A7A1254"/>
    <w:rsid w:val="4A9A3B4D"/>
    <w:rsid w:val="4B18258B"/>
    <w:rsid w:val="4C3F54C3"/>
    <w:rsid w:val="4CE147A6"/>
    <w:rsid w:val="4CF766DE"/>
    <w:rsid w:val="4DBF3FC8"/>
    <w:rsid w:val="4DDB7BC5"/>
    <w:rsid w:val="4E287A4C"/>
    <w:rsid w:val="4EDE6AF3"/>
    <w:rsid w:val="50692104"/>
    <w:rsid w:val="50C4507C"/>
    <w:rsid w:val="50E83C80"/>
    <w:rsid w:val="50E84976"/>
    <w:rsid w:val="520369B2"/>
    <w:rsid w:val="52D27864"/>
    <w:rsid w:val="53CD308F"/>
    <w:rsid w:val="54C17E31"/>
    <w:rsid w:val="54E75E4E"/>
    <w:rsid w:val="54EC5F00"/>
    <w:rsid w:val="55BB08CE"/>
    <w:rsid w:val="55F5265A"/>
    <w:rsid w:val="56112EA9"/>
    <w:rsid w:val="56634F6B"/>
    <w:rsid w:val="56FE5647"/>
    <w:rsid w:val="572004CE"/>
    <w:rsid w:val="576E3E36"/>
    <w:rsid w:val="57D62605"/>
    <w:rsid w:val="59BD7DED"/>
    <w:rsid w:val="59E4535B"/>
    <w:rsid w:val="5AE252E1"/>
    <w:rsid w:val="5B1060B8"/>
    <w:rsid w:val="5BAC42C7"/>
    <w:rsid w:val="5CBC1717"/>
    <w:rsid w:val="5E0B23A4"/>
    <w:rsid w:val="5E7F2B1D"/>
    <w:rsid w:val="5E9479C8"/>
    <w:rsid w:val="5EFF55AD"/>
    <w:rsid w:val="5F0E2267"/>
    <w:rsid w:val="5F8C575F"/>
    <w:rsid w:val="5FB9396C"/>
    <w:rsid w:val="60446F8A"/>
    <w:rsid w:val="60A8111F"/>
    <w:rsid w:val="60B802FB"/>
    <w:rsid w:val="612236EC"/>
    <w:rsid w:val="61633BDA"/>
    <w:rsid w:val="61B23647"/>
    <w:rsid w:val="61B718F7"/>
    <w:rsid w:val="61E33B45"/>
    <w:rsid w:val="62542CC4"/>
    <w:rsid w:val="630015B9"/>
    <w:rsid w:val="63FE5340"/>
    <w:rsid w:val="640B1F26"/>
    <w:rsid w:val="64132F2C"/>
    <w:rsid w:val="650664D0"/>
    <w:rsid w:val="65355760"/>
    <w:rsid w:val="666908C2"/>
    <w:rsid w:val="673006E1"/>
    <w:rsid w:val="673113AB"/>
    <w:rsid w:val="67337420"/>
    <w:rsid w:val="67593ED7"/>
    <w:rsid w:val="68840EFA"/>
    <w:rsid w:val="68AC152E"/>
    <w:rsid w:val="695323C7"/>
    <w:rsid w:val="69EA7D86"/>
    <w:rsid w:val="6A2D0FBD"/>
    <w:rsid w:val="6B023115"/>
    <w:rsid w:val="6D2B4CBE"/>
    <w:rsid w:val="6D401C96"/>
    <w:rsid w:val="6D4A0BE9"/>
    <w:rsid w:val="6E06100F"/>
    <w:rsid w:val="6E5B1FD7"/>
    <w:rsid w:val="708F1B04"/>
    <w:rsid w:val="70E237AF"/>
    <w:rsid w:val="710C1A65"/>
    <w:rsid w:val="71497715"/>
    <w:rsid w:val="71C94BB9"/>
    <w:rsid w:val="7377313A"/>
    <w:rsid w:val="73FA6E86"/>
    <w:rsid w:val="744F7DDF"/>
    <w:rsid w:val="74572EAA"/>
    <w:rsid w:val="74E106B7"/>
    <w:rsid w:val="75700D85"/>
    <w:rsid w:val="75715F41"/>
    <w:rsid w:val="76497732"/>
    <w:rsid w:val="76890F73"/>
    <w:rsid w:val="769A2AE8"/>
    <w:rsid w:val="76CD0FD0"/>
    <w:rsid w:val="770F4753"/>
    <w:rsid w:val="77975EF1"/>
    <w:rsid w:val="78376D79"/>
    <w:rsid w:val="790428F9"/>
    <w:rsid w:val="7A126AE1"/>
    <w:rsid w:val="7ABE2378"/>
    <w:rsid w:val="7AFB3926"/>
    <w:rsid w:val="7BFC3589"/>
    <w:rsid w:val="7C185614"/>
    <w:rsid w:val="7C257594"/>
    <w:rsid w:val="7CD02D3B"/>
    <w:rsid w:val="7E352FE9"/>
    <w:rsid w:val="7E6214B0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7"/>
    <w:next w:val="7"/>
    <w:qFormat/>
    <w:uiPriority w:val="0"/>
    <w:pPr>
      <w:spacing w:after="120" w:afterLines="0" w:afterAutospacing="0"/>
    </w:p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qFormat/>
    <w:uiPriority w:val="0"/>
  </w:style>
  <w:style w:type="paragraph" w:customStyle="1" w:styleId="17">
    <w:name w:val="标题1"/>
    <w:basedOn w:val="3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8">
    <w:name w:val="首页项目名称"/>
    <w:link w:val="20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9">
    <w:name w:val="首页日期"/>
    <w:basedOn w:val="1"/>
    <w:link w:val="21"/>
    <w:qFormat/>
    <w:uiPriority w:val="0"/>
    <w:pPr>
      <w:jc w:val="center"/>
    </w:pPr>
    <w:rPr>
      <w:rFonts w:eastAsia="楷体"/>
      <w:sz w:val="32"/>
    </w:rPr>
  </w:style>
  <w:style w:type="character" w:customStyle="1" w:styleId="20">
    <w:name w:val="首页项目名称 Char"/>
    <w:link w:val="18"/>
    <w:qFormat/>
    <w:uiPriority w:val="0"/>
    <w:rPr>
      <w:rFonts w:ascii="Times New Roman" w:hAnsi="Times New Roman" w:eastAsia="隶书"/>
      <w:sz w:val="52"/>
    </w:rPr>
  </w:style>
  <w:style w:type="character" w:customStyle="1" w:styleId="21">
    <w:name w:val="首页日期 Char"/>
    <w:link w:val="19"/>
    <w:qFormat/>
    <w:uiPriority w:val="0"/>
    <w:rPr>
      <w:rFonts w:ascii="Times New Roman" w:hAnsi="Times New Roman" w:eastAsia="楷体"/>
      <w:sz w:val="32"/>
    </w:rPr>
  </w:style>
  <w:style w:type="paragraph" w:customStyle="1" w:styleId="22">
    <w:name w:val="一标题"/>
    <w:link w:val="23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3">
    <w:name w:val="一标题 Char"/>
    <w:link w:val="22"/>
    <w:qFormat/>
    <w:uiPriority w:val="0"/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1023</Words>
  <Characters>1056</Characters>
  <Lines>12</Lines>
  <Paragraphs>7</Paragraphs>
  <TotalTime>0</TotalTime>
  <ScaleCrop>false</ScaleCrop>
  <LinksUpToDate>false</LinksUpToDate>
  <CharactersWithSpaces>1108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梁倩仪</cp:lastModifiedBy>
  <cp:lastPrinted>2025-07-04T10:41:00Z</cp:lastPrinted>
  <dcterms:modified xsi:type="dcterms:W3CDTF">2026-07-20T03:38:16Z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71F3964202264E89A1D82D9D654C9172</vt:lpwstr>
  </property>
  <property fmtid="{D5CDD505-2E9C-101B-9397-08002B2CF9AE}" pid="4" name="KSOTemplateDocerSaveRecord">
    <vt:lpwstr>eyJoZGlkIjoiMjA0NWNhYTMwZjJmODE2NTdmMTgwN2VjMzcwNzdjNjkiLCJ1c2VySWQiOiIzNTAzMDY3ODUifQ==</vt:lpwstr>
  </property>
</Properties>
</file>