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auto"/>
          <w:highlight w:val="none"/>
        </w:rPr>
      </w:pPr>
      <w:r>
        <w:rPr>
          <w:color w:val="auto"/>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color w:val="auto"/>
          <w:highlight w:val="none"/>
        </w:rPr>
      </w:pPr>
    </w:p>
    <w:p>
      <w:pPr>
        <w:keepLines w:val="0"/>
        <w:pageBreakBefore w:val="0"/>
        <w:kinsoku/>
        <w:wordWrap/>
        <w:bidi w:val="0"/>
        <w:spacing w:line="500" w:lineRule="exact"/>
        <w:ind w:left="410"/>
        <w:rPr>
          <w:color w:val="auto"/>
          <w:highlight w:val="none"/>
        </w:rPr>
      </w:pPr>
    </w:p>
    <w:p>
      <w:pPr>
        <w:keepLines w:val="0"/>
        <w:pageBreakBefore w:val="0"/>
        <w:kinsoku/>
        <w:wordWrap/>
        <w:bidi w:val="0"/>
        <w:spacing w:line="500" w:lineRule="exact"/>
        <w:ind w:left="410"/>
        <w:rPr>
          <w:color w:val="auto"/>
          <w:highlight w:val="none"/>
        </w:rPr>
      </w:pPr>
    </w:p>
    <w:p>
      <w:pPr>
        <w:keepLines w:val="0"/>
        <w:pageBreakBefore w:val="0"/>
        <w:kinsoku/>
        <w:wordWrap/>
        <w:bidi w:val="0"/>
        <w:spacing w:line="500" w:lineRule="exact"/>
        <w:ind w:left="410"/>
        <w:rPr>
          <w:color w:val="auto"/>
          <w:highlight w:val="none"/>
        </w:rPr>
      </w:pPr>
    </w:p>
    <w:p>
      <w:pPr>
        <w:keepLines w:val="0"/>
        <w:pageBreakBefore w:val="0"/>
        <w:kinsoku/>
        <w:wordWrap/>
        <w:bidi w:val="0"/>
        <w:spacing w:line="500" w:lineRule="exact"/>
        <w:ind w:left="410"/>
        <w:rPr>
          <w:color w:val="auto"/>
          <w:highlight w:val="none"/>
        </w:rPr>
      </w:pPr>
    </w:p>
    <w:p>
      <w:pPr>
        <w:keepLines w:val="0"/>
        <w:pageBreakBefore w:val="0"/>
        <w:kinsoku/>
        <w:wordWrap/>
        <w:bidi w:val="0"/>
        <w:spacing w:line="500" w:lineRule="exact"/>
        <w:ind w:left="410"/>
        <w:rPr>
          <w:color w:val="auto"/>
          <w:highlight w:val="none"/>
        </w:rPr>
      </w:pPr>
    </w:p>
    <w:p>
      <w:pPr>
        <w:keepLines w:val="0"/>
        <w:pageBreakBefore w:val="0"/>
        <w:kinsoku/>
        <w:wordWrap/>
        <w:bidi w:val="0"/>
        <w:spacing w:line="500" w:lineRule="exact"/>
        <w:ind w:left="410"/>
        <w:rPr>
          <w:color w:val="auto"/>
          <w:highlight w:val="none"/>
        </w:rPr>
      </w:pPr>
    </w:p>
    <w:p>
      <w:pPr>
        <w:keepLines w:val="0"/>
        <w:pageBreakBefore w:val="0"/>
        <w:kinsoku/>
        <w:wordWrap/>
        <w:bidi w:val="0"/>
        <w:spacing w:line="500" w:lineRule="exact"/>
        <w:ind w:left="410"/>
        <w:rPr>
          <w:color w:val="auto"/>
          <w:highlight w:val="none"/>
        </w:rPr>
      </w:pP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rFonts w:hint="eastAsia" w:eastAsia="宋体"/>
          <w:b/>
          <w:color w:val="auto"/>
          <w:sz w:val="36"/>
          <w:szCs w:val="36"/>
          <w:highlight w:val="none"/>
          <w:lang w:eastAsia="zh-CN"/>
        </w:rPr>
      </w:pPr>
      <w:bookmarkStart w:id="0" w:name="_Hlk54622811"/>
      <w:r>
        <w:rPr>
          <w:rFonts w:hint="eastAsia"/>
          <w:b/>
          <w:color w:val="auto"/>
          <w:sz w:val="36"/>
          <w:szCs w:val="36"/>
          <w:highlight w:val="none"/>
          <w:lang w:eastAsia="zh-CN"/>
        </w:rPr>
        <w:t>SF6气体回收装置</w:t>
      </w:r>
    </w:p>
    <w:bookmarkEnd w:id="0"/>
    <w:p>
      <w:pPr>
        <w:keepLines w:val="0"/>
        <w:pageBreakBefore w:val="0"/>
        <w:kinsoku/>
        <w:wordWrap/>
        <w:bidi w:val="0"/>
        <w:spacing w:line="500" w:lineRule="exact"/>
        <w:ind w:left="0" w:leftChars="0"/>
        <w:jc w:val="center"/>
        <w:rPr>
          <w:b/>
          <w:color w:val="auto"/>
          <w:sz w:val="36"/>
          <w:szCs w:val="36"/>
          <w:highlight w:val="none"/>
        </w:rPr>
      </w:pPr>
      <w:r>
        <w:rPr>
          <w:rFonts w:hint="eastAsia"/>
          <w:b/>
          <w:color w:val="auto"/>
          <w:sz w:val="36"/>
          <w:szCs w:val="36"/>
          <w:highlight w:val="none"/>
        </w:rPr>
        <w:t>技术规范书</w:t>
      </w: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b/>
          <w:color w:val="auto"/>
          <w:sz w:val="36"/>
          <w:szCs w:val="36"/>
          <w:highlight w:val="none"/>
        </w:rPr>
      </w:pPr>
    </w:p>
    <w:p>
      <w:pPr>
        <w:keepLines w:val="0"/>
        <w:pageBreakBefore w:val="0"/>
        <w:kinsoku/>
        <w:wordWrap/>
        <w:bidi w:val="0"/>
        <w:spacing w:line="500" w:lineRule="exact"/>
        <w:ind w:left="0" w:leftChars="0"/>
        <w:jc w:val="center"/>
        <w:rPr>
          <w:b/>
          <w:color w:val="auto"/>
          <w:sz w:val="36"/>
          <w:szCs w:val="36"/>
          <w:highlight w:val="none"/>
        </w:rPr>
      </w:pPr>
      <w:r>
        <w:rPr>
          <w:rFonts w:hint="eastAsia"/>
          <w:b/>
          <w:color w:val="auto"/>
          <w:sz w:val="36"/>
          <w:szCs w:val="36"/>
          <w:highlight w:val="none"/>
          <w:lang w:eastAsia="zh-CN"/>
        </w:rPr>
        <w:t>海南电网</w:t>
      </w:r>
      <w:r>
        <w:rPr>
          <w:rFonts w:hint="eastAsia"/>
          <w:b/>
          <w:color w:val="auto"/>
          <w:sz w:val="36"/>
          <w:szCs w:val="36"/>
          <w:highlight w:val="none"/>
        </w:rPr>
        <w:t>能源发展有限公司</w:t>
      </w:r>
    </w:p>
    <w:p>
      <w:pPr>
        <w:keepLines w:val="0"/>
        <w:pageBreakBefore w:val="0"/>
        <w:kinsoku/>
        <w:wordWrap/>
        <w:bidi w:val="0"/>
        <w:spacing w:line="500" w:lineRule="exact"/>
        <w:ind w:left="0" w:leftChars="0"/>
        <w:jc w:val="center"/>
        <w:rPr>
          <w:b/>
          <w:color w:val="auto"/>
          <w:sz w:val="36"/>
          <w:szCs w:val="36"/>
          <w:highlight w:val="none"/>
        </w:rPr>
      </w:pPr>
      <w:r>
        <w:rPr>
          <w:rFonts w:hint="eastAsia"/>
          <w:b/>
          <w:color w:val="auto"/>
          <w:sz w:val="36"/>
          <w:szCs w:val="36"/>
          <w:highlight w:val="none"/>
        </w:rPr>
        <w:t>202</w:t>
      </w:r>
      <w:r>
        <w:rPr>
          <w:rFonts w:hint="eastAsia"/>
          <w:b/>
          <w:color w:val="auto"/>
          <w:sz w:val="36"/>
          <w:szCs w:val="36"/>
          <w:highlight w:val="none"/>
          <w:lang w:val="en-US" w:eastAsia="zh-CN"/>
        </w:rPr>
        <w:t>6</w:t>
      </w:r>
      <w:r>
        <w:rPr>
          <w:rFonts w:hint="eastAsia"/>
          <w:b/>
          <w:color w:val="auto"/>
          <w:sz w:val="36"/>
          <w:szCs w:val="36"/>
          <w:highlight w:val="none"/>
        </w:rPr>
        <w:t>年</w:t>
      </w:r>
      <w:r>
        <w:rPr>
          <w:rFonts w:hint="eastAsia"/>
          <w:b/>
          <w:color w:val="auto"/>
          <w:sz w:val="36"/>
          <w:szCs w:val="36"/>
          <w:highlight w:val="none"/>
          <w:lang w:val="en-US" w:eastAsia="zh-CN"/>
        </w:rPr>
        <w:t>7</w:t>
      </w:r>
      <w:r>
        <w:rPr>
          <w:rFonts w:hint="eastAsia"/>
          <w:b/>
          <w:color w:val="auto"/>
          <w:sz w:val="36"/>
          <w:szCs w:val="36"/>
          <w:highlight w:val="none"/>
        </w:rPr>
        <w:t>月</w:t>
      </w:r>
    </w:p>
    <w:p>
      <w:pPr>
        <w:keepLines w:val="0"/>
        <w:pageBreakBefore w:val="0"/>
        <w:kinsoku/>
        <w:wordWrap/>
        <w:bidi w:val="0"/>
        <w:spacing w:line="500" w:lineRule="exact"/>
        <w:ind w:left="410"/>
        <w:rPr>
          <w:color w:val="auto"/>
          <w:highlight w:val="none"/>
        </w:rPr>
      </w:pPr>
    </w:p>
    <w:p>
      <w:pPr>
        <w:pStyle w:val="4"/>
        <w:keepLines w:val="0"/>
        <w:pageBreakBefore w:val="0"/>
        <w:kinsoku/>
        <w:wordWrap/>
        <w:bidi w:val="0"/>
        <w:spacing w:line="500" w:lineRule="exact"/>
        <w:ind w:left="410"/>
        <w:rPr>
          <w:b/>
          <w:color w:val="auto"/>
          <w:sz w:val="44"/>
          <w:szCs w:val="44"/>
          <w:highlight w:val="none"/>
        </w:rPr>
      </w:pPr>
      <w:r>
        <w:rPr>
          <w:rFonts w:hint="eastAsia"/>
          <w:b/>
          <w:color w:val="auto"/>
          <w:sz w:val="44"/>
          <w:szCs w:val="44"/>
          <w:highlight w:val="none"/>
        </w:rPr>
        <w:t xml:space="preserve">    </w:t>
      </w:r>
    </w:p>
    <w:p>
      <w:pPr>
        <w:pStyle w:val="4"/>
        <w:keepLines w:val="0"/>
        <w:pageBreakBefore w:val="0"/>
        <w:kinsoku/>
        <w:wordWrap/>
        <w:bidi w:val="0"/>
        <w:spacing w:line="500" w:lineRule="exact"/>
        <w:ind w:left="410"/>
        <w:rPr>
          <w:rFonts w:hint="eastAsia"/>
          <w:b/>
          <w:color w:val="auto"/>
          <w:sz w:val="44"/>
          <w:szCs w:val="44"/>
          <w:highlight w:val="none"/>
        </w:rPr>
      </w:pPr>
      <w:r>
        <w:rPr>
          <w:rFonts w:hint="eastAsia"/>
          <w:b/>
          <w:color w:val="auto"/>
          <w:sz w:val="44"/>
          <w:szCs w:val="44"/>
          <w:highlight w:val="none"/>
        </w:rPr>
        <w:t xml:space="preserve">    </w:t>
      </w:r>
    </w:p>
    <w:p>
      <w:pPr>
        <w:rPr>
          <w:rFonts w:hint="eastAsia"/>
          <w:b/>
          <w:color w:val="auto"/>
          <w:sz w:val="44"/>
          <w:szCs w:val="44"/>
          <w:highlight w:val="none"/>
        </w:rPr>
      </w:pPr>
      <w:r>
        <w:rPr>
          <w:rFonts w:hint="eastAsia"/>
          <w:b/>
          <w:color w:val="auto"/>
          <w:sz w:val="44"/>
          <w:szCs w:val="44"/>
          <w:highlight w:val="none"/>
        </w:rPr>
        <w:br w:type="page"/>
      </w:r>
    </w:p>
    <w:sdt>
      <w:sdtPr>
        <w:rPr>
          <w:rFonts w:ascii="宋体" w:hAnsi="宋体" w:eastAsia="宋体" w:cs="Times New Roman"/>
          <w:color w:val="auto"/>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auto"/>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目录</w:t>
          </w:r>
        </w:p>
        <w:p>
          <w:pPr>
            <w:pStyle w:val="11"/>
            <w:tabs>
              <w:tab w:val="right" w:leader="dot" w:pos="9746"/>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"1-1"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_Toc25697 </w:instrText>
          </w:r>
          <w:r>
            <w:rPr>
              <w:rFonts w:hint="eastAsia" w:ascii="宋体" w:hAnsi="宋体" w:eastAsia="宋体" w:cs="宋体"/>
              <w:color w:val="auto"/>
              <w:szCs w:val="28"/>
              <w:highlight w:val="none"/>
            </w:rPr>
            <w:fldChar w:fldCharType="separate"/>
          </w:r>
          <w:r>
            <w:rPr>
              <w:rFonts w:hint="eastAsia"/>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_Toc25697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_Toc3763 </w:instrText>
          </w:r>
          <w:r>
            <w:rPr>
              <w:rFonts w:hint="eastAsia" w:ascii="宋体" w:hAnsi="宋体" w:eastAsia="宋体" w:cs="宋体"/>
              <w:color w:val="auto"/>
              <w:szCs w:val="28"/>
              <w:highlight w:val="none"/>
            </w:rPr>
            <w:fldChar w:fldCharType="separate"/>
          </w:r>
          <w:r>
            <w:rPr>
              <w:rFonts w:hint="eastAsia"/>
              <w:color w:val="auto"/>
              <w:highlight w:val="none"/>
              <w:lang w:val="en-US" w:eastAsia="zh-CN"/>
            </w:rPr>
            <w:t>2</w:t>
          </w:r>
          <w:r>
            <w:rPr>
              <w:rFonts w:hint="eastAsia"/>
              <w:color w:val="auto"/>
              <w:highlight w:val="none"/>
            </w:rPr>
            <w:t>.应遵循的主要标准</w:t>
          </w:r>
          <w:r>
            <w:rPr>
              <w:color w:val="auto"/>
              <w:highlight w:val="none"/>
            </w:rPr>
            <w:tab/>
          </w:r>
          <w:r>
            <w:rPr>
              <w:color w:val="auto"/>
              <w:highlight w:val="none"/>
            </w:rPr>
            <w:fldChar w:fldCharType="begin"/>
          </w:r>
          <w:r>
            <w:rPr>
              <w:color w:val="auto"/>
              <w:highlight w:val="none"/>
            </w:rPr>
            <w:instrText xml:space="preserve"> PAGEREF _Toc3763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_Toc13932 </w:instrText>
          </w:r>
          <w:r>
            <w:rPr>
              <w:rFonts w:hint="eastAsia" w:ascii="宋体" w:hAnsi="宋体" w:eastAsia="宋体" w:cs="宋体"/>
              <w:color w:val="auto"/>
              <w:szCs w:val="28"/>
              <w:highlight w:val="none"/>
            </w:rPr>
            <w:fldChar w:fldCharType="separate"/>
          </w:r>
          <w:r>
            <w:rPr>
              <w:rFonts w:hint="eastAsia"/>
              <w:color w:val="auto"/>
              <w:highlight w:val="none"/>
              <w:lang w:val="en-US" w:eastAsia="zh-CN"/>
            </w:rPr>
            <w:t>3</w:t>
          </w:r>
          <w:r>
            <w:rPr>
              <w:rFonts w:hint="eastAsia"/>
              <w:color w:val="auto"/>
              <w:highlight w:val="none"/>
            </w:rPr>
            <w:t>.使用条件</w:t>
          </w:r>
          <w:r>
            <w:rPr>
              <w:color w:val="auto"/>
              <w:highlight w:val="none"/>
            </w:rPr>
            <w:tab/>
          </w:r>
          <w:r>
            <w:rPr>
              <w:color w:val="auto"/>
              <w:highlight w:val="none"/>
            </w:rPr>
            <w:fldChar w:fldCharType="begin"/>
          </w:r>
          <w:r>
            <w:rPr>
              <w:color w:val="auto"/>
              <w:highlight w:val="none"/>
            </w:rPr>
            <w:instrText xml:space="preserve"> PAGEREF _Toc13932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_Toc22886 </w:instrText>
          </w:r>
          <w:r>
            <w:rPr>
              <w:rFonts w:hint="eastAsia" w:ascii="宋体" w:hAnsi="宋体" w:eastAsia="宋体" w:cs="宋体"/>
              <w:color w:val="auto"/>
              <w:szCs w:val="28"/>
              <w:highlight w:val="none"/>
            </w:rPr>
            <w:fldChar w:fldCharType="separate"/>
          </w:r>
          <w:r>
            <w:rPr>
              <w:rFonts w:hint="eastAsia"/>
              <w:color w:val="auto"/>
              <w:highlight w:val="none"/>
              <w:lang w:val="en-US" w:eastAsia="zh-CN"/>
            </w:rPr>
            <w:t>4</w:t>
          </w:r>
          <w:r>
            <w:rPr>
              <w:rFonts w:hint="eastAsia"/>
              <w:color w:val="auto"/>
              <w:highlight w:val="none"/>
            </w:rPr>
            <w:t>.技术要求</w:t>
          </w:r>
          <w:r>
            <w:rPr>
              <w:color w:val="auto"/>
              <w:highlight w:val="none"/>
            </w:rPr>
            <w:tab/>
          </w:r>
          <w:r>
            <w:rPr>
              <w:color w:val="auto"/>
              <w:highlight w:val="none"/>
            </w:rPr>
            <w:fldChar w:fldCharType="begin"/>
          </w:r>
          <w:r>
            <w:rPr>
              <w:color w:val="auto"/>
              <w:highlight w:val="none"/>
            </w:rPr>
            <w:instrText xml:space="preserve"> PAGEREF _Toc22886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_Toc14198 </w:instrText>
          </w:r>
          <w:r>
            <w:rPr>
              <w:rFonts w:hint="eastAsia" w:ascii="宋体" w:hAnsi="宋体" w:eastAsia="宋体" w:cs="宋体"/>
              <w:color w:val="auto"/>
              <w:szCs w:val="28"/>
              <w:highlight w:val="none"/>
            </w:rPr>
            <w:fldChar w:fldCharType="separate"/>
          </w:r>
          <w:r>
            <w:rPr>
              <w:rFonts w:hint="eastAsia"/>
              <w:color w:val="auto"/>
              <w:highlight w:val="none"/>
              <w:lang w:val="en-US" w:eastAsia="zh-CN"/>
            </w:rPr>
            <w:t>5</w:t>
          </w:r>
          <w:r>
            <w:rPr>
              <w:color w:val="auto"/>
              <w:highlight w:val="none"/>
            </w:rPr>
            <w:t>.</w:t>
          </w:r>
          <w:r>
            <w:rPr>
              <w:rFonts w:cs="宋体"/>
              <w:color w:val="auto"/>
              <w:spacing w:val="1"/>
              <w:highlight w:val="none"/>
            </w:rPr>
            <w:t>质量保证和试验</w:t>
          </w:r>
          <w:r>
            <w:rPr>
              <w:color w:val="auto"/>
              <w:highlight w:val="none"/>
            </w:rPr>
            <w:tab/>
          </w:r>
          <w:r>
            <w:rPr>
              <w:color w:val="auto"/>
              <w:highlight w:val="none"/>
            </w:rPr>
            <w:fldChar w:fldCharType="begin"/>
          </w:r>
          <w:r>
            <w:rPr>
              <w:color w:val="auto"/>
              <w:highlight w:val="none"/>
            </w:rPr>
            <w:instrText xml:space="preserve"> PAGEREF _Toc14198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_Toc18433 </w:instrText>
          </w:r>
          <w:r>
            <w:rPr>
              <w:rFonts w:hint="eastAsia" w:ascii="宋体" w:hAnsi="宋体" w:eastAsia="宋体" w:cs="宋体"/>
              <w:color w:val="auto"/>
              <w:szCs w:val="28"/>
              <w:highlight w:val="none"/>
            </w:rPr>
            <w:fldChar w:fldCharType="separate"/>
          </w:r>
          <w:r>
            <w:rPr>
              <w:rFonts w:hint="eastAsia"/>
              <w:color w:val="auto"/>
              <w:highlight w:val="none"/>
              <w:lang w:eastAsia="zh-CN"/>
            </w:rPr>
            <w:t>6.</w:t>
          </w:r>
          <w:r>
            <w:rPr>
              <w:rFonts w:cs="宋体"/>
              <w:color w:val="auto"/>
              <w:spacing w:val="1"/>
              <w:highlight w:val="none"/>
            </w:rPr>
            <w:t>包装、运输和储存</w:t>
          </w:r>
          <w:r>
            <w:rPr>
              <w:color w:val="auto"/>
              <w:highlight w:val="none"/>
            </w:rPr>
            <w:tab/>
          </w:r>
          <w:r>
            <w:rPr>
              <w:color w:val="auto"/>
              <w:highlight w:val="none"/>
            </w:rPr>
            <w:fldChar w:fldCharType="begin"/>
          </w:r>
          <w:r>
            <w:rPr>
              <w:color w:val="auto"/>
              <w:highlight w:val="none"/>
            </w:rPr>
            <w:instrText xml:space="preserve"> PAGEREF _Toc18433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_Toc22301 </w:instrText>
          </w:r>
          <w:r>
            <w:rPr>
              <w:rFonts w:hint="eastAsia" w:ascii="宋体" w:hAnsi="宋体" w:eastAsia="宋体" w:cs="宋体"/>
              <w:color w:val="auto"/>
              <w:szCs w:val="28"/>
              <w:highlight w:val="none"/>
            </w:rPr>
            <w:fldChar w:fldCharType="separate"/>
          </w:r>
          <w:r>
            <w:rPr>
              <w:rFonts w:hint="eastAsia"/>
              <w:color w:val="auto"/>
              <w:highlight w:val="none"/>
              <w:lang w:eastAsia="zh-CN"/>
            </w:rPr>
            <w:t>7.</w:t>
          </w:r>
          <w:r>
            <w:rPr>
              <w:rFonts w:hint="eastAsia"/>
              <w:color w:val="auto"/>
              <w:highlight w:val="none"/>
            </w:rPr>
            <w:t>交货时间</w:t>
          </w:r>
          <w:r>
            <w:rPr>
              <w:rFonts w:hint="eastAsia"/>
              <w:color w:val="auto"/>
              <w:highlight w:val="none"/>
              <w:lang w:eastAsia="zh-CN"/>
            </w:rPr>
            <w:t>、</w:t>
          </w:r>
          <w:r>
            <w:rPr>
              <w:rFonts w:hint="eastAsia"/>
              <w:color w:val="auto"/>
              <w:highlight w:val="none"/>
              <w:lang w:val="en-US" w:eastAsia="zh-CN"/>
            </w:rPr>
            <w:t>内容及功能验收</w:t>
          </w:r>
          <w:r>
            <w:rPr>
              <w:color w:val="auto"/>
              <w:highlight w:val="none"/>
            </w:rPr>
            <w:tab/>
          </w:r>
          <w:r>
            <w:rPr>
              <w:color w:val="auto"/>
              <w:highlight w:val="none"/>
            </w:rPr>
            <w:fldChar w:fldCharType="begin"/>
          </w:r>
          <w:r>
            <w:rPr>
              <w:color w:val="auto"/>
              <w:highlight w:val="none"/>
            </w:rPr>
            <w:instrText xml:space="preserve"> PAGEREF _Toc22301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_Toc25792 </w:instrText>
          </w:r>
          <w:r>
            <w:rPr>
              <w:rFonts w:hint="eastAsia" w:ascii="宋体" w:hAnsi="宋体" w:eastAsia="宋体" w:cs="宋体"/>
              <w:color w:val="auto"/>
              <w:szCs w:val="28"/>
              <w:highlight w:val="none"/>
            </w:rPr>
            <w:fldChar w:fldCharType="separate"/>
          </w:r>
          <w:r>
            <w:rPr>
              <w:rFonts w:hint="eastAsia"/>
              <w:color w:val="auto"/>
              <w:highlight w:val="none"/>
              <w:lang w:val="en-US" w:eastAsia="zh-CN"/>
            </w:rPr>
            <w:t>8</w:t>
          </w:r>
          <w:r>
            <w:rPr>
              <w:rFonts w:hint="eastAsia"/>
              <w:color w:val="auto"/>
              <w:highlight w:val="none"/>
            </w:rPr>
            <w:t>.供货范围清单</w:t>
          </w:r>
          <w:r>
            <w:rPr>
              <w:color w:val="auto"/>
              <w:highlight w:val="none"/>
            </w:rPr>
            <w:tab/>
          </w:r>
          <w:r>
            <w:rPr>
              <w:color w:val="auto"/>
              <w:highlight w:val="none"/>
            </w:rPr>
            <w:fldChar w:fldCharType="begin"/>
          </w:r>
          <w:r>
            <w:rPr>
              <w:color w:val="auto"/>
              <w:highlight w:val="none"/>
            </w:rPr>
            <w:instrText xml:space="preserve"> PAGEREF _Toc25792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_Toc21346 </w:instrText>
          </w:r>
          <w:r>
            <w:rPr>
              <w:rFonts w:hint="eastAsia" w:ascii="宋体" w:hAnsi="宋体" w:eastAsia="宋体" w:cs="宋体"/>
              <w:color w:val="auto"/>
              <w:szCs w:val="28"/>
              <w:highlight w:val="none"/>
            </w:rPr>
            <w:fldChar w:fldCharType="separate"/>
          </w:r>
          <w:r>
            <w:rPr>
              <w:rFonts w:hint="eastAsia"/>
              <w:color w:val="auto"/>
              <w:highlight w:val="none"/>
              <w:lang w:eastAsia="zh-CN"/>
            </w:rPr>
            <w:t>9.</w:t>
          </w:r>
          <w:r>
            <w:rPr>
              <w:rFonts w:cs="宋体"/>
              <w:color w:val="auto"/>
              <w:spacing w:val="1"/>
              <w:highlight w:val="none"/>
            </w:rPr>
            <w:t>设备的售后服务要求</w:t>
          </w:r>
          <w:r>
            <w:rPr>
              <w:color w:val="auto"/>
              <w:highlight w:val="none"/>
            </w:rPr>
            <w:tab/>
          </w:r>
          <w:r>
            <w:rPr>
              <w:color w:val="auto"/>
              <w:highlight w:val="none"/>
            </w:rPr>
            <w:fldChar w:fldCharType="begin"/>
          </w:r>
          <w:r>
            <w:rPr>
              <w:color w:val="auto"/>
              <w:highlight w:val="none"/>
            </w:rPr>
            <w:instrText xml:space="preserve"> PAGEREF _Toc21346 \h </w:instrText>
          </w:r>
          <w:r>
            <w:rPr>
              <w:color w:val="auto"/>
              <w:highlight w:val="none"/>
            </w:rPr>
            <w:fldChar w:fldCharType="separate"/>
          </w:r>
          <w:r>
            <w:rPr>
              <w:color w:val="auto"/>
              <w:highlight w:val="none"/>
            </w:rPr>
            <w:t>7</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_Toc10126 </w:instrText>
          </w:r>
          <w:r>
            <w:rPr>
              <w:rFonts w:hint="eastAsia" w:ascii="宋体" w:hAnsi="宋体" w:eastAsia="宋体" w:cs="宋体"/>
              <w:color w:val="auto"/>
              <w:szCs w:val="28"/>
              <w:highlight w:val="none"/>
            </w:rPr>
            <w:fldChar w:fldCharType="separate"/>
          </w:r>
          <w:r>
            <w:rPr>
              <w:rFonts w:hint="eastAsia"/>
              <w:color w:val="auto"/>
              <w:spacing w:val="-6"/>
              <w:highlight w:val="none"/>
              <w:lang w:eastAsia="zh-CN"/>
            </w:rPr>
            <w:t>10.</w:t>
          </w:r>
          <w:r>
            <w:rPr>
              <w:rFonts w:cs="宋体"/>
              <w:color w:val="auto"/>
              <w:highlight w:val="none"/>
            </w:rPr>
            <w:t>验收</w:t>
          </w:r>
          <w:r>
            <w:rPr>
              <w:color w:val="auto"/>
              <w:highlight w:val="none"/>
            </w:rPr>
            <w:tab/>
          </w:r>
          <w:r>
            <w:rPr>
              <w:color w:val="auto"/>
              <w:highlight w:val="none"/>
            </w:rPr>
            <w:fldChar w:fldCharType="begin"/>
          </w:r>
          <w:r>
            <w:rPr>
              <w:color w:val="auto"/>
              <w:highlight w:val="none"/>
            </w:rPr>
            <w:instrText xml:space="preserve"> PAGEREF _Toc10126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eastAsia="宋体" w:cs="宋体"/>
              <w:color w:val="auto"/>
              <w:szCs w:val="28"/>
              <w:highlight w:val="none"/>
            </w:rPr>
            <w:fldChar w:fldCharType="end"/>
          </w:r>
        </w:p>
        <w:p>
          <w:pPr>
            <w:pStyle w:val="11"/>
            <w:tabs>
              <w:tab w:val="right" w:leader="dot" w:pos="9746"/>
            </w:tabs>
            <w:rPr>
              <w:color w:val="auto"/>
              <w:highlight w:val="none"/>
            </w:rPr>
          </w:pPr>
          <w:r>
            <w:rPr>
              <w:rFonts w:hint="eastAsia" w:ascii="宋体" w:hAnsi="宋体" w:eastAsia="宋体" w:cs="宋体"/>
              <w:color w:val="auto"/>
              <w:szCs w:val="28"/>
              <w:highlight w:val="none"/>
            </w:rPr>
            <w:fldChar w:fldCharType="begin"/>
          </w:r>
          <w:r>
            <w:rPr>
              <w:rFonts w:hint="eastAsia" w:ascii="宋体" w:hAnsi="宋体" w:eastAsia="宋体" w:cs="宋体"/>
              <w:color w:val="auto"/>
              <w:szCs w:val="28"/>
              <w:highlight w:val="none"/>
            </w:rPr>
            <w:instrText xml:space="preserve"> HYPERLINK \l _Toc22211 </w:instrText>
          </w:r>
          <w:r>
            <w:rPr>
              <w:rFonts w:hint="eastAsia" w:ascii="宋体" w:hAnsi="宋体" w:eastAsia="宋体" w:cs="宋体"/>
              <w:color w:val="auto"/>
              <w:szCs w:val="28"/>
              <w:highlight w:val="none"/>
            </w:rPr>
            <w:fldChar w:fldCharType="separate"/>
          </w:r>
          <w:r>
            <w:rPr>
              <w:color w:val="auto"/>
              <w:highlight w:val="none"/>
            </w:rPr>
            <w:t>1</w:t>
          </w:r>
          <w:r>
            <w:rPr>
              <w:rFonts w:hint="eastAsia"/>
              <w:color w:val="auto"/>
              <w:highlight w:val="none"/>
              <w:lang w:val="en-US" w:eastAsia="zh-CN"/>
            </w:rPr>
            <w:t>1</w:t>
          </w:r>
          <w:r>
            <w:rPr>
              <w:color w:val="auto"/>
              <w:highlight w:val="none"/>
            </w:rPr>
            <w:t>.</w:t>
          </w:r>
          <w:r>
            <w:rPr>
              <w:rFonts w:cs="宋体"/>
              <w:color w:val="auto"/>
              <w:spacing w:val="1"/>
              <w:highlight w:val="none"/>
            </w:rPr>
            <w:t>技术差异表</w:t>
          </w:r>
          <w:r>
            <w:rPr>
              <w:color w:val="auto"/>
              <w:highlight w:val="none"/>
            </w:rPr>
            <w:tab/>
          </w:r>
          <w:r>
            <w:rPr>
              <w:color w:val="auto"/>
              <w:highlight w:val="none"/>
            </w:rPr>
            <w:fldChar w:fldCharType="begin"/>
          </w:r>
          <w:r>
            <w:rPr>
              <w:color w:val="auto"/>
              <w:highlight w:val="none"/>
            </w:rPr>
            <w:instrText xml:space="preserve"> PAGEREF _Toc22211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eastAsia="宋体" w:cs="宋体"/>
              <w:color w:val="auto"/>
              <w:szCs w:val="28"/>
              <w:highlight w:val="none"/>
            </w:rPr>
            <w:fldChar w:fldCharType="end"/>
          </w:r>
        </w:p>
        <w:p>
          <w:pPr>
            <w:keepLines w:val="0"/>
            <w:pageBreakBefore w:val="0"/>
            <w:kinsoku/>
            <w:wordWrap/>
            <w:bidi w:val="0"/>
            <w:spacing w:line="500" w:lineRule="exact"/>
            <w:rPr>
              <w:color w:val="auto"/>
              <w:highlight w:val="none"/>
            </w:rPr>
          </w:pPr>
          <w:r>
            <w:rPr>
              <w:rFonts w:hint="eastAsia" w:ascii="宋体" w:hAnsi="宋体" w:eastAsia="宋体" w:cs="宋体"/>
              <w:color w:val="auto"/>
              <w:szCs w:val="28"/>
              <w:highlight w:val="none"/>
            </w:rPr>
            <w:fldChar w:fldCharType="end"/>
          </w:r>
        </w:p>
      </w:sdtContent>
    </w:sdt>
    <w:p>
      <w:pPr>
        <w:keepLines w:val="0"/>
        <w:pageBreakBefore w:val="0"/>
        <w:kinsoku/>
        <w:wordWrap/>
        <w:bidi w:val="0"/>
        <w:spacing w:line="500" w:lineRule="exact"/>
        <w:rPr>
          <w:rFonts w:hint="eastAsia"/>
          <w:color w:val="auto"/>
          <w:highlight w:val="none"/>
        </w:rPr>
      </w:pPr>
      <w:r>
        <w:rPr>
          <w:rFonts w:hint="eastAsia"/>
          <w:color w:val="auto"/>
          <w:highlight w:val="none"/>
        </w:rPr>
        <w:br w:type="page"/>
      </w:r>
    </w:p>
    <w:p>
      <w:pPr>
        <w:pStyle w:val="2"/>
        <w:bidi w:val="0"/>
        <w:rPr>
          <w:rFonts w:hint="eastAsia"/>
          <w:color w:val="auto"/>
          <w:highlight w:val="none"/>
        </w:rPr>
      </w:pPr>
      <w:bookmarkStart w:id="1" w:name="_Toc25697"/>
      <w:r>
        <w:rPr>
          <w:rFonts w:hint="eastAsia"/>
          <w:color w:val="auto"/>
          <w:highlight w:val="none"/>
        </w:rPr>
        <w:t xml:space="preserve">1 </w:t>
      </w:r>
      <w:bookmarkStart w:id="2" w:name="_Toc397006837"/>
      <w:bookmarkStart w:id="3" w:name="_Toc305941518"/>
      <w:bookmarkStart w:id="4" w:name="_Toc305941223"/>
      <w:r>
        <w:rPr>
          <w:rFonts w:hint="eastAsia"/>
          <w:color w:val="auto"/>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color w:val="auto"/>
          <w:sz w:val="44"/>
          <w:szCs w:val="44"/>
          <w:highlight w:val="none"/>
          <w:lang w:eastAsia="zh-CN"/>
        </w:rPr>
      </w:pPr>
      <w:r>
        <w:rPr>
          <w:rFonts w:hint="eastAsia"/>
          <w:color w:val="auto"/>
          <w:highlight w:val="none"/>
        </w:rPr>
        <w:t>1.</w:t>
      </w:r>
      <w:r>
        <w:rPr>
          <w:rFonts w:hint="eastAsia"/>
          <w:color w:val="auto"/>
          <w:highlight w:val="none"/>
          <w:lang w:eastAsia="zh-CN"/>
        </w:rPr>
        <w:t>1</w:t>
      </w:r>
      <w:r>
        <w:rPr>
          <w:rFonts w:hint="eastAsia"/>
          <w:color w:val="auto"/>
          <w:highlight w:val="none"/>
        </w:rPr>
        <w:t xml:space="preserve">  本技术文件适用于</w:t>
      </w:r>
      <w:r>
        <w:rPr>
          <w:rFonts w:hint="eastAsia"/>
          <w:color w:val="auto"/>
          <w:highlight w:val="none"/>
          <w:lang w:eastAsia="zh-CN"/>
        </w:rPr>
        <w:t>海南电网</w:t>
      </w:r>
      <w:r>
        <w:rPr>
          <w:rFonts w:hint="eastAsia"/>
          <w:color w:val="auto"/>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SF6气体回收装置</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color w:val="auto"/>
          <w:highlight w:val="none"/>
        </w:rPr>
      </w:pPr>
      <w:r>
        <w:rPr>
          <w:rFonts w:hint="eastAsia"/>
          <w:color w:val="auto"/>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highlight w:val="none"/>
        </w:rPr>
      </w:pPr>
      <w:r>
        <w:rPr>
          <w:rFonts w:hint="eastAsia"/>
          <w:color w:val="auto"/>
          <w:highlight w:val="none"/>
        </w:rPr>
        <w:t>1.2  凡本技术文件中未规定，但在相关仪器的行业标准、国家标准或IEC标准中有规定的规范条文，</w:t>
      </w:r>
      <w:r>
        <w:rPr>
          <w:rFonts w:hint="eastAsia"/>
          <w:color w:val="auto"/>
          <w:highlight w:val="none"/>
          <w:lang w:eastAsia="zh-CN"/>
        </w:rPr>
        <w:t>投标人</w:t>
      </w:r>
      <w:r>
        <w:rPr>
          <w:rFonts w:hint="eastAsia"/>
          <w:color w:val="auto"/>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color w:val="auto"/>
          <w:highlight w:val="none"/>
        </w:rPr>
      </w:pPr>
      <w:r>
        <w:rPr>
          <w:rFonts w:hint="eastAsia"/>
          <w:color w:val="auto"/>
          <w:highlight w:val="none"/>
        </w:rPr>
        <w:t>1.3  如果</w:t>
      </w:r>
      <w:r>
        <w:rPr>
          <w:rFonts w:hint="eastAsia"/>
          <w:color w:val="auto"/>
          <w:highlight w:val="none"/>
          <w:lang w:eastAsia="zh-CN"/>
        </w:rPr>
        <w:t>投标人</w:t>
      </w:r>
      <w:r>
        <w:rPr>
          <w:rFonts w:hint="eastAsia"/>
          <w:color w:val="auto"/>
          <w:highlight w:val="none"/>
        </w:rPr>
        <w:t>没有以书面形式对本技术文件的条文提出异议，则意味着</w:t>
      </w:r>
      <w:r>
        <w:rPr>
          <w:rFonts w:hint="eastAsia"/>
          <w:color w:val="auto"/>
          <w:highlight w:val="none"/>
          <w:lang w:eastAsia="zh-CN"/>
        </w:rPr>
        <w:t>投标人</w:t>
      </w:r>
      <w:r>
        <w:rPr>
          <w:rFonts w:hint="eastAsia"/>
          <w:color w:val="auto"/>
          <w:highlight w:val="none"/>
        </w:rPr>
        <w:t>提供的物资完全符合本技术文件的要求。如有任何异议，</w:t>
      </w:r>
      <w:r>
        <w:rPr>
          <w:rFonts w:cs="宋体"/>
          <w:color w:val="auto"/>
          <w:spacing w:val="3"/>
          <w:highlight w:val="none"/>
        </w:rPr>
        <w:t>都应在报价文件差异表中加以</w:t>
      </w:r>
      <w:r>
        <w:rPr>
          <w:rFonts w:cs="宋体"/>
          <w:color w:val="auto"/>
          <w:highlight w:val="none"/>
        </w:rPr>
        <w:t>详细描述</w:t>
      </w:r>
      <w:r>
        <w:rPr>
          <w:rFonts w:hint="eastAsia" w:cs="宋体"/>
          <w:color w:val="auto"/>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highlight w:val="none"/>
        </w:rPr>
      </w:pPr>
      <w:r>
        <w:rPr>
          <w:color w:val="auto"/>
          <w:highlight w:val="none"/>
        </w:rPr>
        <w:t>1.4</w:t>
      </w:r>
      <w:r>
        <w:rPr>
          <w:color w:val="auto"/>
          <w:spacing w:val="60"/>
          <w:highlight w:val="none"/>
        </w:rPr>
        <w:t xml:space="preserve"> </w:t>
      </w:r>
      <w:r>
        <w:rPr>
          <w:rFonts w:cs="宋体"/>
          <w:color w:val="auto"/>
          <w:spacing w:val="-2"/>
          <w:highlight w:val="none"/>
        </w:rPr>
        <w:t>本规范所使用的标准如与</w:t>
      </w:r>
      <w:r>
        <w:rPr>
          <w:rFonts w:hint="eastAsia" w:cs="宋体"/>
          <w:color w:val="auto"/>
          <w:spacing w:val="-2"/>
          <w:highlight w:val="none"/>
          <w:lang w:eastAsia="zh-CN"/>
        </w:rPr>
        <w:t>投标人</w:t>
      </w:r>
      <w:r>
        <w:rPr>
          <w:rFonts w:cs="宋体"/>
          <w:color w:val="auto"/>
          <w:spacing w:val="-2"/>
          <w:highlight w:val="none"/>
        </w:rPr>
        <w:t>所执行的标准</w:t>
      </w:r>
      <w:r>
        <w:rPr>
          <w:rFonts w:hint="eastAsia" w:cs="宋体"/>
          <w:color w:val="auto"/>
          <w:spacing w:val="-2"/>
          <w:highlight w:val="none"/>
        </w:rPr>
        <w:t>不一致</w:t>
      </w:r>
      <w:r>
        <w:rPr>
          <w:rFonts w:cs="宋体"/>
          <w:color w:val="auto"/>
          <w:spacing w:val="-2"/>
          <w:highlight w:val="none"/>
        </w:rPr>
        <w:t>时，按较高标准执</w:t>
      </w:r>
      <w:r>
        <w:rPr>
          <w:rFonts w:cs="宋体"/>
          <w:color w:val="auto"/>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highlight w:val="none"/>
        </w:rPr>
      </w:pPr>
      <w:r>
        <w:rPr>
          <w:rFonts w:hint="eastAsia"/>
          <w:color w:val="auto"/>
          <w:highlight w:val="none"/>
        </w:rPr>
        <w:t>1.5  本技术文件经</w:t>
      </w:r>
      <w:r>
        <w:rPr>
          <w:rFonts w:hint="eastAsia"/>
          <w:color w:val="auto"/>
          <w:highlight w:val="none"/>
          <w:lang w:eastAsia="zh-CN"/>
        </w:rPr>
        <w:t>招标人、投标人</w:t>
      </w:r>
      <w:r>
        <w:rPr>
          <w:rFonts w:hint="eastAsia"/>
          <w:color w:val="auto"/>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color w:val="auto"/>
          <w:highlight w:val="none"/>
        </w:rPr>
      </w:pPr>
      <w:r>
        <w:rPr>
          <w:rFonts w:hint="eastAsia"/>
          <w:color w:val="auto"/>
          <w:highlight w:val="none"/>
        </w:rPr>
        <w:t>1.6  本技术文件未尽事宜，由</w:t>
      </w:r>
      <w:r>
        <w:rPr>
          <w:rFonts w:hint="eastAsia"/>
          <w:color w:val="auto"/>
          <w:highlight w:val="none"/>
          <w:lang w:eastAsia="zh-CN"/>
        </w:rPr>
        <w:t>招标人、投标人</w:t>
      </w:r>
      <w:r>
        <w:rPr>
          <w:rFonts w:hint="eastAsia"/>
          <w:color w:val="auto"/>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highlight w:val="none"/>
        </w:rPr>
      </w:pPr>
      <w:r>
        <w:rPr>
          <w:rFonts w:hint="eastAsia"/>
          <w:color w:val="auto"/>
          <w:highlight w:val="none"/>
        </w:rPr>
        <w:t>1.</w:t>
      </w:r>
      <w:r>
        <w:rPr>
          <w:rFonts w:hint="eastAsia"/>
          <w:color w:val="auto"/>
          <w:highlight w:val="none"/>
          <w:lang w:eastAsia="zh-CN"/>
        </w:rPr>
        <w:t>7</w:t>
      </w:r>
      <w:r>
        <w:rPr>
          <w:rFonts w:hint="eastAsia"/>
          <w:color w:val="auto"/>
          <w:highlight w:val="none"/>
        </w:rPr>
        <w:t xml:space="preserve">  </w:t>
      </w:r>
      <w:r>
        <w:rPr>
          <w:rFonts w:hint="eastAsia"/>
          <w:color w:val="auto"/>
          <w:highlight w:val="none"/>
          <w:lang w:eastAsia="zh-CN"/>
        </w:rPr>
        <w:t>投标人</w:t>
      </w:r>
      <w:r>
        <w:rPr>
          <w:rFonts w:hint="eastAsia"/>
          <w:color w:val="auto"/>
          <w:highlight w:val="none"/>
        </w:rPr>
        <w:t>在报价技术文件中应如实反映报价产品与本技术文件的技术差异。如果</w:t>
      </w:r>
      <w:r>
        <w:rPr>
          <w:rFonts w:hint="eastAsia"/>
          <w:color w:val="auto"/>
          <w:highlight w:val="none"/>
          <w:lang w:eastAsia="zh-CN"/>
        </w:rPr>
        <w:t>投标人</w:t>
      </w:r>
      <w:r>
        <w:rPr>
          <w:rFonts w:hint="eastAsia"/>
          <w:color w:val="auto"/>
          <w:highlight w:val="none"/>
        </w:rPr>
        <w:t>没有提出技术差异，而在执行合同的过程中，采购方发现</w:t>
      </w:r>
      <w:r>
        <w:rPr>
          <w:rFonts w:hint="eastAsia"/>
          <w:color w:val="auto"/>
          <w:highlight w:val="none"/>
          <w:lang w:eastAsia="zh-CN"/>
        </w:rPr>
        <w:t>投标人</w:t>
      </w:r>
      <w:r>
        <w:rPr>
          <w:rFonts w:hint="eastAsia"/>
          <w:color w:val="auto"/>
          <w:highlight w:val="none"/>
        </w:rPr>
        <w:t>提供的产品与其报价技术文件的条文存在差异</w:t>
      </w:r>
      <w:r>
        <w:rPr>
          <w:rFonts w:hint="eastAsia"/>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highlight w:val="none"/>
        </w:rPr>
      </w:pPr>
      <w:r>
        <w:rPr>
          <w:rFonts w:hint="eastAsia"/>
          <w:color w:val="auto"/>
          <w:highlight w:val="none"/>
        </w:rPr>
        <w:t xml:space="preserve">1.8  </w:t>
      </w:r>
      <w:r>
        <w:rPr>
          <w:rFonts w:hint="eastAsia"/>
          <w:color w:val="auto"/>
          <w:highlight w:val="none"/>
          <w:lang w:eastAsia="zh-CN"/>
        </w:rPr>
        <w:t>投标人</w:t>
      </w:r>
      <w:r>
        <w:rPr>
          <w:rFonts w:hint="eastAsia"/>
          <w:color w:val="auto"/>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highlight w:val="none"/>
        </w:rPr>
      </w:pPr>
      <w:r>
        <w:rPr>
          <w:rFonts w:hint="eastAsia"/>
          <w:color w:val="auto"/>
          <w:highlight w:val="none"/>
        </w:rPr>
        <w:t xml:space="preserve">1.9  </w:t>
      </w:r>
      <w:r>
        <w:rPr>
          <w:rFonts w:hint="eastAsia"/>
          <w:color w:val="auto"/>
          <w:highlight w:val="none"/>
          <w:lang w:eastAsia="zh-CN"/>
        </w:rPr>
        <w:t>投标人</w:t>
      </w:r>
      <w:r>
        <w:rPr>
          <w:rFonts w:hint="eastAsia"/>
          <w:color w:val="auto"/>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4"/>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color w:val="auto"/>
          <w:highlight w:val="none"/>
        </w:rPr>
      </w:pPr>
      <w:r>
        <w:rPr>
          <w:rFonts w:hint="eastAsia"/>
          <w:b/>
          <w:bCs/>
          <w:color w:val="auto"/>
          <w:highlight w:val="none"/>
        </w:rPr>
        <w:t>1.10 本技术文件为采购基本要求，标注“★”的条款为关键条款，作为评标时打分的重点参考。</w:t>
      </w:r>
      <w:bookmarkStart w:id="5" w:name="_Toc305941519"/>
      <w:bookmarkStart w:id="6" w:name="_Toc305941224"/>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highlight w:val="none"/>
        </w:rPr>
      </w:pPr>
      <w:r>
        <w:rPr>
          <w:rFonts w:hint="eastAsia"/>
          <w:color w:val="auto"/>
          <w:highlight w:val="none"/>
        </w:rPr>
        <w:t>1.1</w:t>
      </w:r>
      <w:r>
        <w:rPr>
          <w:rFonts w:hint="eastAsia"/>
          <w:color w:val="auto"/>
          <w:highlight w:val="none"/>
          <w:lang w:val="en-US" w:eastAsia="zh-CN"/>
        </w:rPr>
        <w:t>1</w:t>
      </w:r>
      <w:r>
        <w:rPr>
          <w:rFonts w:hint="eastAsia"/>
          <w:color w:val="auto"/>
          <w:highlight w:val="none"/>
        </w:rPr>
        <w:t xml:space="preserve"> </w:t>
      </w:r>
      <w:r>
        <w:rPr>
          <w:rFonts w:hint="eastAsia"/>
          <w:color w:val="auto"/>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color w:val="auto"/>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1768528"/>
      <w:bookmarkStart w:id="9" w:name="_Toc290652071"/>
      <w:bookmarkStart w:id="10" w:name="_Toc305941225"/>
      <w:bookmarkStart w:id="11" w:name="_Toc397006840"/>
      <w:bookmarkStart w:id="12" w:name="_Toc292221729"/>
    </w:p>
    <w:bookmarkEnd w:id="8"/>
    <w:bookmarkEnd w:id="9"/>
    <w:bookmarkEnd w:id="10"/>
    <w:bookmarkEnd w:id="11"/>
    <w:bookmarkEnd w:id="12"/>
    <w:p>
      <w:pPr>
        <w:pStyle w:val="2"/>
        <w:bidi w:val="0"/>
        <w:rPr>
          <w:color w:val="auto"/>
          <w:highlight w:val="none"/>
        </w:rPr>
      </w:pPr>
      <w:bookmarkStart w:id="13" w:name="_Toc305941228"/>
      <w:bookmarkStart w:id="14" w:name="_Toc305941520"/>
      <w:bookmarkStart w:id="15" w:name="_Toc397006842"/>
      <w:bookmarkStart w:id="16" w:name="_Toc3763"/>
      <w:r>
        <w:rPr>
          <w:rFonts w:hint="eastAsia"/>
          <w:color w:val="auto"/>
          <w:highlight w:val="none"/>
          <w:lang w:val="en-US" w:eastAsia="zh-CN"/>
        </w:rPr>
        <w:t>2</w:t>
      </w:r>
      <w:r>
        <w:rPr>
          <w:rFonts w:hint="eastAsia"/>
          <w:color w:val="auto"/>
          <w:highlight w:val="none"/>
        </w:rPr>
        <w:t>.</w:t>
      </w:r>
      <w:r>
        <w:rPr>
          <w:rFonts w:hint="eastAsia"/>
          <w:color w:val="auto"/>
          <w:highlight w:val="none"/>
        </w:rPr>
        <w:t>应遵循的主要标准</w:t>
      </w:r>
      <w:bookmarkEnd w:id="13"/>
      <w:bookmarkEnd w:id="14"/>
      <w:bookmarkEnd w:id="15"/>
      <w:bookmarkEnd w:id="16"/>
    </w:p>
    <w:p>
      <w:pPr>
        <w:pStyle w:val="22"/>
        <w:keepLines w:val="0"/>
        <w:pageBreakBefore w:val="0"/>
        <w:kinsoku/>
        <w:wordWrap/>
        <w:bidi w:val="0"/>
        <w:spacing w:line="500" w:lineRule="exact"/>
        <w:ind w:left="0" w:leftChars="0" w:firstLine="480" w:firstLineChars="200"/>
        <w:jc w:val="both"/>
        <w:rPr>
          <w:color w:val="auto"/>
          <w:highlight w:val="none"/>
        </w:rPr>
      </w:pPr>
      <w:r>
        <w:rPr>
          <w:rFonts w:hint="eastAsia"/>
          <w:color w:val="auto"/>
          <w:highlight w:val="none"/>
        </w:rPr>
        <w:t xml:space="preserve">除本规范书特殊规定外, </w:t>
      </w:r>
      <w:r>
        <w:rPr>
          <w:rFonts w:hint="eastAsia"/>
          <w:color w:val="auto"/>
          <w:highlight w:val="none"/>
          <w:lang w:eastAsia="zh-CN"/>
        </w:rPr>
        <w:t>投标人</w:t>
      </w:r>
      <w:r>
        <w:rPr>
          <w:rFonts w:hint="eastAsia"/>
          <w:color w:val="auto"/>
          <w:highlight w:val="none"/>
        </w:rPr>
        <w:t>所提供的仪器均按规定的标准和规程的最新版本进行销售、设计、制造、试验和安装。如果这些标准内容有矛盾时, 应按最高标准的条款执行或按双方商定的标准执行。如果</w:t>
      </w:r>
      <w:r>
        <w:rPr>
          <w:rFonts w:hint="eastAsia"/>
          <w:color w:val="auto"/>
          <w:highlight w:val="none"/>
          <w:lang w:eastAsia="zh-CN"/>
        </w:rPr>
        <w:t>投标人</w:t>
      </w:r>
      <w:r>
        <w:rPr>
          <w:rFonts w:hint="eastAsia"/>
          <w:color w:val="auto"/>
          <w:highlight w:val="none"/>
        </w:rPr>
        <w:t>选用规范书规定以外的标准时, 则需提交这种替换标准供审查和分析。仅在</w:t>
      </w:r>
      <w:r>
        <w:rPr>
          <w:rFonts w:hint="eastAsia"/>
          <w:color w:val="auto"/>
          <w:highlight w:val="none"/>
          <w:lang w:eastAsia="zh-CN"/>
        </w:rPr>
        <w:t>投标人</w:t>
      </w:r>
      <w:r>
        <w:rPr>
          <w:rFonts w:hint="eastAsia"/>
          <w:color w:val="auto"/>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2"/>
        <w:keepLines w:val="0"/>
        <w:pageBreakBefore w:val="0"/>
        <w:kinsoku/>
        <w:wordWrap/>
        <w:bidi w:val="0"/>
        <w:spacing w:line="500" w:lineRule="exact"/>
        <w:ind w:left="410" w:firstLine="480"/>
        <w:rPr>
          <w:rFonts w:hint="eastAsia"/>
          <w:color w:val="auto"/>
          <w:highlight w:val="none"/>
        </w:rPr>
      </w:pPr>
      <w:r>
        <w:rPr>
          <w:rFonts w:hint="eastAsia" w:ascii="宋体" w:hAnsi="宋体"/>
          <w:color w:val="auto"/>
          <w:szCs w:val="24"/>
          <w:highlight w:val="none"/>
          <w:lang w:eastAsia="zh-CN"/>
        </w:rPr>
        <w:t>SF6气体回收装置</w:t>
      </w:r>
      <w:r>
        <w:rPr>
          <w:rFonts w:hint="eastAsia"/>
          <w:color w:val="auto"/>
          <w:highlight w:val="none"/>
        </w:rPr>
        <w:t>：</w:t>
      </w:r>
    </w:p>
    <w:p>
      <w:pPr>
        <w:pStyle w:val="22"/>
        <w:keepLines w:val="0"/>
        <w:pageBreakBefore w:val="0"/>
        <w:kinsoku/>
        <w:wordWrap/>
        <w:bidi w:val="0"/>
        <w:spacing w:line="500" w:lineRule="exact"/>
        <w:ind w:left="410" w:firstLine="480"/>
        <w:rPr>
          <w:rFonts w:ascii="宋体" w:hAnsi="宋体" w:eastAsia="宋体" w:cs="宋体"/>
          <w:color w:val="auto"/>
          <w:sz w:val="24"/>
          <w:szCs w:val="24"/>
          <w:highlight w:val="none"/>
        </w:rPr>
      </w:pPr>
      <w:r>
        <w:rPr>
          <w:rFonts w:ascii="宋体" w:hAnsi="宋体" w:eastAsia="宋体" w:cs="宋体"/>
          <w:color w:val="auto"/>
          <w:sz w:val="24"/>
          <w:szCs w:val="24"/>
          <w:highlight w:val="none"/>
        </w:rPr>
        <w:t>DL/T 662.1-2021 《六氟化硫气体回收装置技术条件 第 1 部分：纯 SF₆气体回收装置》</w:t>
      </w:r>
    </w:p>
    <w:p>
      <w:pPr>
        <w:pStyle w:val="22"/>
        <w:keepLines w:val="0"/>
        <w:pageBreakBefore w:val="0"/>
        <w:kinsoku/>
        <w:wordWrap/>
        <w:bidi w:val="0"/>
        <w:spacing w:line="500" w:lineRule="exact"/>
        <w:ind w:left="410" w:firstLine="480"/>
        <w:rPr>
          <w:rFonts w:ascii="宋体" w:hAnsi="宋体" w:eastAsia="宋体" w:cs="宋体"/>
          <w:color w:val="auto"/>
          <w:sz w:val="24"/>
          <w:szCs w:val="24"/>
          <w:highlight w:val="none"/>
        </w:rPr>
      </w:pPr>
      <w:r>
        <w:rPr>
          <w:rFonts w:ascii="宋体" w:hAnsi="宋体" w:eastAsia="宋体" w:cs="宋体"/>
          <w:color w:val="auto"/>
          <w:sz w:val="24"/>
          <w:szCs w:val="24"/>
          <w:highlight w:val="none"/>
        </w:rPr>
        <w:t>GB/T 44653-2024 《六氟化硫（SF₆）气体的现场循环再利用导则》</w:t>
      </w:r>
    </w:p>
    <w:p>
      <w:pPr>
        <w:pStyle w:val="2"/>
        <w:bidi w:val="0"/>
        <w:rPr>
          <w:color w:val="auto"/>
          <w:highlight w:val="none"/>
        </w:rPr>
      </w:pPr>
      <w:bookmarkStart w:id="17" w:name="_Toc279769035"/>
      <w:bookmarkStart w:id="18" w:name="_Toc305941229"/>
      <w:bookmarkStart w:id="19" w:name="_Toc397006843"/>
      <w:bookmarkStart w:id="20" w:name="_Toc13932"/>
      <w:bookmarkStart w:id="21" w:name="_Toc305941521"/>
      <w:r>
        <w:rPr>
          <w:rFonts w:hint="eastAsia"/>
          <w:color w:val="auto"/>
          <w:highlight w:val="none"/>
          <w:lang w:val="en-US" w:eastAsia="zh-CN"/>
        </w:rPr>
        <w:t>3</w:t>
      </w:r>
      <w:r>
        <w:rPr>
          <w:rFonts w:hint="eastAsia"/>
          <w:color w:val="auto"/>
          <w:highlight w:val="none"/>
        </w:rPr>
        <w:t>.使用条件</w:t>
      </w:r>
      <w:bookmarkEnd w:id="17"/>
      <w:bookmarkEnd w:id="18"/>
      <w:bookmarkEnd w:id="19"/>
      <w:bookmarkEnd w:id="20"/>
      <w:bookmarkEnd w:id="21"/>
    </w:p>
    <w:p>
      <w:pPr>
        <w:keepLines w:val="0"/>
        <w:pageBreakBefore w:val="0"/>
        <w:kinsoku/>
        <w:wordWrap/>
        <w:bidi w:val="0"/>
        <w:spacing w:line="500" w:lineRule="exact"/>
        <w:ind w:left="410"/>
        <w:rPr>
          <w:color w:val="auto"/>
          <w:highlight w:val="none"/>
        </w:rPr>
      </w:pPr>
      <w:bookmarkStart w:id="22" w:name="_Toc279769036"/>
      <w:r>
        <w:rPr>
          <w:rFonts w:hint="eastAsia"/>
          <w:color w:val="auto"/>
          <w:highlight w:val="none"/>
        </w:rPr>
        <w:tab/>
      </w:r>
      <w:r>
        <w:rPr>
          <w:rFonts w:hint="eastAsia"/>
          <w:color w:val="auto"/>
          <w:highlight w:val="none"/>
        </w:rPr>
        <w:tab/>
      </w:r>
      <w:r>
        <w:rPr>
          <w:rFonts w:hint="eastAsia"/>
          <w:color w:val="auto"/>
          <w:highlight w:val="none"/>
        </w:rPr>
        <w:t>本次采购的</w:t>
      </w:r>
      <w:r>
        <w:rPr>
          <w:rFonts w:hint="eastAsia"/>
          <w:color w:val="auto"/>
          <w:highlight w:val="none"/>
          <w:lang w:eastAsia="zh-CN"/>
        </w:rPr>
        <w:t>SF6气体回收装置</w:t>
      </w:r>
      <w:r>
        <w:rPr>
          <w:rFonts w:hint="eastAsia"/>
          <w:color w:val="auto"/>
          <w:highlight w:val="none"/>
          <w:shd w:val="clear" w:color="auto" w:fill="FFFFFF"/>
        </w:rPr>
        <w:t>等仪器</w:t>
      </w:r>
      <w:r>
        <w:rPr>
          <w:rFonts w:hint="eastAsia"/>
          <w:color w:val="auto"/>
          <w:highlight w:val="none"/>
        </w:rPr>
        <w:t>，</w:t>
      </w:r>
      <w:r>
        <w:rPr>
          <w:rFonts w:hint="eastAsia"/>
          <w:color w:val="auto"/>
          <w:highlight w:val="none"/>
          <w:lang w:eastAsia="zh-CN"/>
        </w:rPr>
        <w:t>投标人</w:t>
      </w:r>
      <w:r>
        <w:rPr>
          <w:rFonts w:hint="eastAsia"/>
          <w:color w:val="auto"/>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color w:val="auto"/>
          <w:highlight w:val="none"/>
        </w:rPr>
      </w:pPr>
      <w:r>
        <w:rPr>
          <w:rFonts w:hint="eastAsia"/>
          <w:color w:val="auto"/>
          <w:highlight w:val="none"/>
          <w:lang w:eastAsia="zh-CN"/>
        </w:rPr>
        <w:t>投标人</w:t>
      </w:r>
      <w:r>
        <w:rPr>
          <w:rFonts w:hint="eastAsia"/>
          <w:color w:val="auto"/>
          <w:highlight w:val="none"/>
        </w:rPr>
        <w:t>应对正常使用条件之外的特殊使用条件涉及的相关事项，应在报价文件及供货中特别说明。</w:t>
      </w:r>
      <w:r>
        <w:rPr>
          <w:rFonts w:hint="eastAsia" w:cs="宋体"/>
          <w:color w:val="auto"/>
          <w:highlight w:val="none"/>
          <w:lang w:eastAsia="zh-CN"/>
        </w:rPr>
        <w:t>投标人</w:t>
      </w:r>
      <w:r>
        <w:rPr>
          <w:rFonts w:hint="eastAsia" w:cs="宋体"/>
          <w:color w:val="auto"/>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color w:val="auto"/>
          <w:highlight w:val="none"/>
        </w:rPr>
      </w:pPr>
      <w:bookmarkStart w:id="23" w:name="_Toc305941230"/>
      <w:bookmarkStart w:id="24" w:name="_Toc397006844"/>
      <w:r>
        <w:rPr>
          <w:rFonts w:hint="eastAsia"/>
          <w:b w:val="0"/>
          <w:bCs w:val="0"/>
          <w:color w:val="auto"/>
          <w:highlight w:val="none"/>
          <w:lang w:val="en-US" w:eastAsia="zh-CN"/>
        </w:rPr>
        <w:t>3</w:t>
      </w:r>
      <w:r>
        <w:rPr>
          <w:rFonts w:hint="eastAsia"/>
          <w:b w:val="0"/>
          <w:bCs w:val="0"/>
          <w:color w:val="auto"/>
          <w:highlight w:val="none"/>
        </w:rPr>
        <w:t>.1</w:t>
      </w:r>
      <w:bookmarkStart w:id="25" w:name="_Toc285621516"/>
      <w:bookmarkStart w:id="26" w:name="_Toc285701796"/>
      <w:r>
        <w:rPr>
          <w:rFonts w:hint="eastAsia"/>
          <w:b w:val="0"/>
          <w:bCs w:val="0"/>
          <w:color w:val="auto"/>
          <w:highlight w:val="none"/>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rFonts w:hint="eastAsia"/>
          <w:color w:val="auto"/>
          <w:highlight w:val="none"/>
        </w:rPr>
      </w:pPr>
      <w:bookmarkStart w:id="29" w:name="_Toc305940419"/>
      <w:r>
        <w:rPr>
          <w:rFonts w:hint="eastAsia"/>
          <w:color w:val="auto"/>
          <w:highlight w:val="none"/>
        </w:rPr>
        <w:t>本仪器技术文件所规定的仪器技术条款和参数要求，应适用下列环境条件使用。</w:t>
      </w:r>
      <w:bookmarkEnd w:id="29"/>
    </w:p>
    <w:p>
      <w:pPr>
        <w:spacing w:line="400" w:lineRule="exact"/>
        <w:rPr>
          <w:rFonts w:hint="eastAsia" w:ascii="宋体" w:hAnsi="宋体"/>
          <w:color w:val="auto"/>
          <w:sz w:val="24"/>
          <w:highlight w:val="none"/>
        </w:rPr>
      </w:pPr>
      <w:bookmarkStart w:id="30" w:name="_Toc397006845"/>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color w:val="auto"/>
          <w:sz w:val="24"/>
          <w:highlight w:val="none"/>
        </w:rPr>
        <w:t>环境温度</w:t>
      </w:r>
      <w:r>
        <w:rPr>
          <w:rFonts w:ascii="宋体" w:hAnsi="宋体"/>
          <w:color w:val="auto"/>
          <w:sz w:val="24"/>
          <w:highlight w:val="none"/>
        </w:rPr>
        <w:t>:</w:t>
      </w:r>
      <w:r>
        <w:rPr>
          <w:rFonts w:hint="eastAsia" w:ascii="宋体" w:hAnsi="宋体"/>
          <w:color w:val="auto"/>
          <w:sz w:val="24"/>
          <w:highlight w:val="none"/>
        </w:rPr>
        <w:t xml:space="preserve">最高温度：＋40℃  最低温度： -30℃    最大日温差：32K         </w:t>
      </w:r>
    </w:p>
    <w:p>
      <w:pPr>
        <w:pStyle w:val="5"/>
        <w:spacing w:line="400" w:lineRule="exact"/>
        <w:rPr>
          <w:rFonts w:hint="eastAsia" w:hAnsi="宋体"/>
          <w:color w:val="auto"/>
          <w:sz w:val="24"/>
          <w:highlight w:val="none"/>
        </w:rPr>
      </w:pPr>
      <w:r>
        <w:rPr>
          <w:rFonts w:hint="eastAsia" w:hAnsi="宋体"/>
          <w:color w:val="auto"/>
          <w:sz w:val="24"/>
          <w:highlight w:val="none"/>
          <w:lang w:eastAsia="zh-CN"/>
        </w:rPr>
        <w:t>（</w:t>
      </w:r>
      <w:r>
        <w:rPr>
          <w:rFonts w:hint="eastAsia" w:hAnsi="宋体"/>
          <w:color w:val="auto"/>
          <w:sz w:val="24"/>
          <w:highlight w:val="none"/>
          <w:lang w:val="en-US" w:eastAsia="zh-CN"/>
        </w:rPr>
        <w:t>2</w:t>
      </w:r>
      <w:r>
        <w:rPr>
          <w:rFonts w:hint="eastAsia" w:hAnsi="宋体"/>
          <w:color w:val="auto"/>
          <w:sz w:val="24"/>
          <w:highlight w:val="none"/>
          <w:lang w:eastAsia="zh-CN"/>
        </w:rPr>
        <w:t>）</w:t>
      </w:r>
      <w:r>
        <w:rPr>
          <w:rFonts w:hint="eastAsia" w:hAnsi="宋体"/>
          <w:color w:val="auto"/>
          <w:sz w:val="24"/>
          <w:highlight w:val="none"/>
        </w:rPr>
        <w:t>环境相对湿度：日平均：&lt;95％</w:t>
      </w:r>
      <w:r>
        <w:rPr>
          <w:rFonts w:hAnsi="宋体"/>
          <w:color w:val="auto"/>
          <w:sz w:val="24"/>
          <w:highlight w:val="none"/>
        </w:rPr>
        <w:t xml:space="preserve">  </w:t>
      </w:r>
      <w:r>
        <w:rPr>
          <w:rFonts w:hint="eastAsia" w:hAnsi="宋体"/>
          <w:color w:val="auto"/>
          <w:sz w:val="24"/>
          <w:highlight w:val="none"/>
        </w:rPr>
        <w:t>月平均：&lt;90％</w:t>
      </w:r>
    </w:p>
    <w:p>
      <w:pPr>
        <w:pStyle w:val="5"/>
        <w:numPr>
          <w:numId w:val="0"/>
        </w:numPr>
        <w:spacing w:line="400" w:lineRule="exact"/>
        <w:ind w:leftChars="171"/>
        <w:rPr>
          <w:rFonts w:hint="eastAsia" w:hAnsi="宋体"/>
          <w:color w:val="auto"/>
          <w:sz w:val="24"/>
          <w:highlight w:val="none"/>
        </w:rPr>
      </w:pPr>
      <w:r>
        <w:rPr>
          <w:rFonts w:hint="eastAsia" w:hAnsi="宋体"/>
          <w:color w:val="auto"/>
          <w:sz w:val="24"/>
          <w:highlight w:val="none"/>
          <w:lang w:eastAsia="zh-CN"/>
        </w:rPr>
        <w:t>（</w:t>
      </w:r>
      <w:r>
        <w:rPr>
          <w:rFonts w:hint="eastAsia" w:hAnsi="宋体"/>
          <w:color w:val="auto"/>
          <w:sz w:val="24"/>
          <w:highlight w:val="none"/>
          <w:lang w:val="en-US" w:eastAsia="zh-CN"/>
        </w:rPr>
        <w:t>3</w:t>
      </w:r>
      <w:r>
        <w:rPr>
          <w:rFonts w:hint="eastAsia" w:hAnsi="宋体"/>
          <w:color w:val="auto"/>
          <w:sz w:val="24"/>
          <w:highlight w:val="none"/>
          <w:lang w:eastAsia="zh-CN"/>
        </w:rPr>
        <w:t>）</w:t>
      </w:r>
      <w:r>
        <w:rPr>
          <w:rFonts w:hint="eastAsia" w:hAnsi="宋体"/>
          <w:color w:val="auto"/>
          <w:sz w:val="24"/>
          <w:highlight w:val="none"/>
        </w:rPr>
        <w:t>太阳辐射强度：1000W/</w:t>
      </w:r>
      <w:r>
        <w:rPr>
          <w:rFonts w:hAnsi="宋体"/>
          <w:color w:val="auto"/>
          <w:sz w:val="24"/>
          <w:highlight w:val="none"/>
        </w:rPr>
        <w:t>m</w:t>
      </w:r>
      <w:r>
        <w:rPr>
          <w:rFonts w:hAnsi="宋体"/>
          <w:color w:val="auto"/>
          <w:sz w:val="24"/>
          <w:highlight w:val="none"/>
          <w:vertAlign w:val="superscript"/>
        </w:rPr>
        <w:t xml:space="preserve">2  </w:t>
      </w:r>
      <w:r>
        <w:rPr>
          <w:rFonts w:hAnsi="宋体"/>
          <w:color w:val="auto"/>
          <w:sz w:val="24"/>
          <w:highlight w:val="none"/>
        </w:rPr>
        <w:t xml:space="preserve"> </w:t>
      </w:r>
      <w:r>
        <w:rPr>
          <w:rFonts w:hint="eastAsia" w:hAnsi="宋体"/>
          <w:color w:val="auto"/>
          <w:sz w:val="24"/>
          <w:highlight w:val="none"/>
        </w:rPr>
        <w:t>最高海拔：3500米。</w:t>
      </w:r>
      <w:r>
        <w:rPr>
          <w:rFonts w:hint="eastAsia"/>
          <w:color w:val="auto"/>
          <w:sz w:val="24"/>
          <w:highlight w:val="none"/>
        </w:rPr>
        <w:t xml:space="preserve"> </w:t>
      </w:r>
    </w:p>
    <w:p>
      <w:pPr>
        <w:keepLines w:val="0"/>
        <w:pageBreakBefore w:val="0"/>
        <w:kinsoku/>
        <w:wordWrap/>
        <w:bidi w:val="0"/>
        <w:spacing w:line="500" w:lineRule="exact"/>
        <w:ind w:left="0" w:leftChars="0" w:firstLine="480" w:firstLineChars="200"/>
        <w:rPr>
          <w:rFonts w:hint="eastAsia"/>
          <w:color w:val="auto"/>
          <w:highlight w:val="none"/>
          <w:lang w:val="en-US" w:eastAsia="zh-CN"/>
        </w:rPr>
      </w:pPr>
    </w:p>
    <w:p>
      <w:pPr>
        <w:keepLines w:val="0"/>
        <w:pageBreakBefore w:val="0"/>
        <w:kinsoku/>
        <w:wordWrap/>
        <w:bidi w:val="0"/>
        <w:spacing w:line="500" w:lineRule="exact"/>
        <w:ind w:left="0" w:leftChars="0" w:firstLine="480" w:firstLineChars="200"/>
        <w:rPr>
          <w:color w:val="auto"/>
          <w:highlight w:val="none"/>
        </w:rPr>
      </w:pPr>
      <w:r>
        <w:rPr>
          <w:rFonts w:hint="eastAsia"/>
          <w:color w:val="auto"/>
          <w:highlight w:val="none"/>
          <w:lang w:val="en-US" w:eastAsia="zh-CN"/>
        </w:rPr>
        <w:t>3</w:t>
      </w:r>
      <w:r>
        <w:rPr>
          <w:rFonts w:hint="eastAsia"/>
          <w:color w:val="auto"/>
          <w:highlight w:val="none"/>
        </w:rPr>
        <w:t>.2特殊使用条件要求（如有）</w:t>
      </w:r>
      <w:bookmarkEnd w:id="30"/>
    </w:p>
    <w:bookmarkEnd w:id="27"/>
    <w:bookmarkEnd w:id="28"/>
    <w:p>
      <w:pPr>
        <w:keepLines w:val="0"/>
        <w:pageBreakBefore w:val="0"/>
        <w:kinsoku/>
        <w:wordWrap/>
        <w:bidi w:val="0"/>
        <w:spacing w:line="500" w:lineRule="exact"/>
        <w:ind w:left="410"/>
        <w:rPr>
          <w:rFonts w:hint="eastAsia"/>
          <w:color w:val="auto"/>
          <w:highlight w:val="none"/>
          <w:lang w:val="en-US" w:eastAsia="zh-CN"/>
        </w:rPr>
      </w:pPr>
      <w:r>
        <w:rPr>
          <w:rFonts w:hint="eastAsia"/>
          <w:color w:val="auto"/>
          <w:highlight w:val="none"/>
          <w:lang w:val="en-US" w:eastAsia="zh-CN"/>
        </w:rPr>
        <w:tab/>
      </w:r>
      <w:r>
        <w:rPr>
          <w:rFonts w:hint="eastAsia"/>
          <w:color w:val="auto"/>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auto"/>
          <w:kern w:val="2"/>
          <w:sz w:val="24"/>
          <w:szCs w:val="24"/>
          <w:highlight w:val="none"/>
          <w:lang w:val="en-US" w:eastAsia="zh-CN" w:bidi="ar-SA"/>
        </w:rPr>
      </w:pPr>
      <w:bookmarkStart w:id="31" w:name="_Toc22886"/>
      <w:r>
        <w:rPr>
          <w:rFonts w:hint="eastAsia"/>
          <w:color w:val="auto"/>
          <w:highlight w:val="none"/>
          <w:lang w:val="en-US" w:eastAsia="zh-CN"/>
        </w:rPr>
        <w:t>4</w:t>
      </w:r>
      <w:r>
        <w:rPr>
          <w:rFonts w:hint="eastAsia"/>
          <w:color w:val="auto"/>
          <w:highlight w:val="none"/>
        </w:rPr>
        <w:t>.技术要求</w:t>
      </w:r>
      <w:bookmarkEnd w:id="31"/>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auto"/>
          <w:highlight w:val="none"/>
        </w:rPr>
      </w:pPr>
      <w:r>
        <w:rPr>
          <w:rFonts w:hint="eastAsia"/>
          <w:color w:val="auto"/>
          <w:highlight w:val="none"/>
          <w:lang w:val="en-US" w:eastAsia="zh-CN"/>
        </w:rPr>
        <w:t>4</w:t>
      </w:r>
      <w:r>
        <w:rPr>
          <w:rFonts w:hint="eastAsia"/>
          <w:color w:val="auto"/>
          <w:highlight w:val="none"/>
        </w:rPr>
        <w:t>.1</w:t>
      </w:r>
      <w:r>
        <w:rPr>
          <w:rFonts w:hint="eastAsia"/>
          <w:color w:val="auto"/>
          <w:highlight w:val="none"/>
          <w:lang w:val="en-US" w:eastAsia="zh-CN"/>
        </w:rPr>
        <w:t xml:space="preserve"> </w:t>
      </w:r>
      <w:r>
        <w:rPr>
          <w:rFonts w:hint="eastAsia"/>
          <w:color w:val="auto"/>
          <w:highlight w:val="none"/>
          <w:lang w:eastAsia="zh-CN"/>
        </w:rPr>
        <w:t>SF6气体回收装置</w:t>
      </w:r>
      <w:r>
        <w:rPr>
          <w:rFonts w:hint="eastAsia"/>
          <w:color w:val="auto"/>
          <w:highlight w:val="none"/>
          <w:shd w:val="clear" w:color="auto" w:fill="FFFFFF"/>
        </w:rPr>
        <w:t>功能</w:t>
      </w:r>
      <w:r>
        <w:rPr>
          <w:rFonts w:hint="eastAsia"/>
          <w:color w:val="auto"/>
          <w:highlight w:val="none"/>
        </w:rPr>
        <w:t>要求</w:t>
      </w:r>
    </w:p>
    <w:p>
      <w:pPr>
        <w:numPr>
          <w:ilvl w:val="0"/>
          <w:numId w:val="1"/>
        </w:numPr>
        <w:spacing w:line="440" w:lineRule="exact"/>
        <w:ind w:left="425" w:leftChars="0" w:hanging="425" w:firstLineChars="0"/>
        <w:jc w:val="left"/>
        <w:rPr>
          <w:rFonts w:hint="eastAsia"/>
          <w:color w:val="auto"/>
          <w:sz w:val="24"/>
          <w:highlight w:val="none"/>
        </w:rPr>
      </w:pPr>
      <w:r>
        <w:rPr>
          <w:rFonts w:hint="eastAsia"/>
          <w:color w:val="auto"/>
          <w:sz w:val="24"/>
          <w:highlight w:val="none"/>
        </w:rPr>
        <w:t>装置可满足对SF</w:t>
      </w:r>
      <w:r>
        <w:rPr>
          <w:rFonts w:hint="eastAsia"/>
          <w:color w:val="auto"/>
          <w:sz w:val="24"/>
          <w:highlight w:val="none"/>
          <w:vertAlign w:val="subscript"/>
        </w:rPr>
        <w:t>6</w:t>
      </w:r>
      <w:r>
        <w:rPr>
          <w:rFonts w:hint="eastAsia"/>
          <w:color w:val="auto"/>
          <w:sz w:val="24"/>
          <w:highlight w:val="none"/>
        </w:rPr>
        <w:t>绝缘设备进行抽真空、充气、回收、净化干燥SF</w:t>
      </w:r>
      <w:r>
        <w:rPr>
          <w:rFonts w:hint="eastAsia"/>
          <w:color w:val="auto"/>
          <w:sz w:val="24"/>
          <w:highlight w:val="none"/>
          <w:vertAlign w:val="subscript"/>
        </w:rPr>
        <w:t>6</w:t>
      </w:r>
      <w:r>
        <w:rPr>
          <w:rFonts w:hint="eastAsia"/>
          <w:color w:val="auto"/>
          <w:sz w:val="24"/>
          <w:highlight w:val="none"/>
        </w:rPr>
        <w:t>气体，并以液态储存回收的SF</w:t>
      </w:r>
      <w:r>
        <w:rPr>
          <w:rFonts w:hint="eastAsia"/>
          <w:color w:val="auto"/>
          <w:sz w:val="24"/>
          <w:highlight w:val="none"/>
          <w:vertAlign w:val="subscript"/>
        </w:rPr>
        <w:t>6</w:t>
      </w:r>
      <w:r>
        <w:rPr>
          <w:rFonts w:hint="eastAsia"/>
          <w:color w:val="auto"/>
          <w:sz w:val="24"/>
          <w:highlight w:val="none"/>
        </w:rPr>
        <w:t>气体，气体回收质量符合GB8905-88标准。</w:t>
      </w:r>
    </w:p>
    <w:p>
      <w:pPr>
        <w:numPr>
          <w:ilvl w:val="0"/>
          <w:numId w:val="1"/>
        </w:numPr>
        <w:spacing w:line="440" w:lineRule="exact"/>
        <w:ind w:left="425" w:leftChars="0" w:hanging="425" w:firstLineChars="0"/>
        <w:jc w:val="left"/>
        <w:rPr>
          <w:rFonts w:hint="eastAsia"/>
          <w:color w:val="auto"/>
          <w:sz w:val="24"/>
          <w:highlight w:val="none"/>
        </w:rPr>
      </w:pPr>
      <w:r>
        <w:rPr>
          <w:rFonts w:hint="eastAsia" w:ascii="Times New Roman" w:hAnsi="Times New Roman" w:eastAsia="宋体" w:cs="Times New Roman"/>
          <w:color w:val="auto"/>
          <w:sz w:val="24"/>
          <w:highlight w:val="none"/>
        </w:rPr>
        <w:t>设备整机采用原装设备，标准符合国际标准及国家标准；采用可靠构造系统，实现零排放气体回收；回收终压可至≤500Pa, 气体残留＜30g/㎥,设备残留接近零,实现无毒零排放；避免使用冷触媒对环境造成二次污染，回收SF6必须采用无油压缩直接高压风冷液化回收技术，不得采用冷凝系统辅助方式, 从而避免了因制冷冷冻使冷凝媒介的泄露而造成对工作人员的伤害以及工作场所、空气的污染；采用金属硬密封原理，接头连接件系统泄露率小于1x10-8cm3bar/sec。</w:t>
      </w:r>
    </w:p>
    <w:p>
      <w:pPr>
        <w:numPr>
          <w:ilvl w:val="0"/>
          <w:numId w:val="1"/>
        </w:numPr>
        <w:spacing w:line="440" w:lineRule="exact"/>
        <w:ind w:left="425" w:leftChars="0" w:hanging="425" w:firstLineChars="0"/>
        <w:jc w:val="left"/>
        <w:rPr>
          <w:rFonts w:hint="eastAsia" w:ascii="宋体" w:hAnsi="宋体"/>
          <w:color w:val="auto"/>
          <w:kern w:val="0"/>
          <w:sz w:val="24"/>
          <w:szCs w:val="22"/>
          <w:highlight w:val="none"/>
        </w:rPr>
      </w:pPr>
      <w:r>
        <w:rPr>
          <w:rFonts w:hint="eastAsia"/>
          <w:color w:val="auto"/>
          <w:sz w:val="24"/>
          <w:highlight w:val="none"/>
        </w:rPr>
        <w:t>装置要有错相调整功能，紧急停机按钮等，防止异常情况发生。</w:t>
      </w:r>
    </w:p>
    <w:p>
      <w:pPr>
        <w:numPr>
          <w:ilvl w:val="0"/>
          <w:numId w:val="1"/>
        </w:numPr>
        <w:spacing w:line="440" w:lineRule="exact"/>
        <w:ind w:left="425" w:leftChars="0" w:hanging="425" w:firstLineChars="0"/>
        <w:jc w:val="left"/>
        <w:rPr>
          <w:rFonts w:hint="eastAsia"/>
          <w:color w:val="auto"/>
          <w:sz w:val="24"/>
          <w:highlight w:val="none"/>
        </w:rPr>
      </w:pPr>
      <w:r>
        <w:rPr>
          <w:rFonts w:ascii="宋体" w:hAnsi="宋体"/>
          <w:color w:val="auto"/>
          <w:kern w:val="0"/>
          <w:sz w:val="24"/>
          <w:szCs w:val="22"/>
          <w:highlight w:val="none"/>
        </w:rPr>
        <w:t>SF6</w:t>
      </w:r>
      <w:r>
        <w:rPr>
          <w:rFonts w:hint="eastAsia" w:ascii="宋体" w:hAnsi="宋体"/>
          <w:color w:val="auto"/>
          <w:kern w:val="0"/>
          <w:sz w:val="24"/>
          <w:szCs w:val="22"/>
          <w:highlight w:val="none"/>
        </w:rPr>
        <w:t>气体回收系统中的所有设备（压缩机和回收泵）都是在干燥和无油的条件下工作的，</w:t>
      </w:r>
      <w:r>
        <w:rPr>
          <w:rFonts w:hint="eastAsia" w:ascii="Arial" w:hAnsi="Arial"/>
          <w:bCs/>
          <w:color w:val="auto"/>
          <w:sz w:val="24"/>
          <w:highlight w:val="none"/>
        </w:rPr>
        <w:t>采用直接高压</w:t>
      </w:r>
      <w:r>
        <w:rPr>
          <w:rFonts w:hint="eastAsia"/>
          <w:color w:val="auto"/>
          <w:sz w:val="24"/>
          <w:highlight w:val="none"/>
        </w:rPr>
        <w:t>液化并储存回收原理，不能使用冷凝媒介液化，避免二次污染</w:t>
      </w:r>
      <w:r>
        <w:rPr>
          <w:rFonts w:hint="eastAsia" w:ascii="宋体" w:hAnsi="宋体"/>
          <w:color w:val="auto"/>
          <w:kern w:val="0"/>
          <w:sz w:val="24"/>
          <w:szCs w:val="22"/>
          <w:highlight w:val="none"/>
        </w:rPr>
        <w:t>。</w:t>
      </w:r>
    </w:p>
    <w:p>
      <w:pPr>
        <w:numPr>
          <w:ilvl w:val="0"/>
          <w:numId w:val="1"/>
        </w:numPr>
        <w:spacing w:line="440" w:lineRule="exact"/>
        <w:ind w:left="425" w:leftChars="0" w:hanging="425" w:firstLineChars="0"/>
        <w:jc w:val="left"/>
        <w:rPr>
          <w:rFonts w:hint="eastAsia"/>
          <w:color w:val="auto"/>
          <w:sz w:val="24"/>
          <w:highlight w:val="none"/>
        </w:rPr>
      </w:pPr>
      <w:r>
        <w:rPr>
          <w:rFonts w:hint="eastAsia"/>
          <w:color w:val="auto"/>
          <w:sz w:val="24"/>
          <w:highlight w:val="none"/>
        </w:rPr>
        <w:t>装置的操作面板采用</w:t>
      </w:r>
      <w:r>
        <w:rPr>
          <w:rFonts w:hint="eastAsia" w:ascii="宋体" w:hAnsi="宋体" w:cs="ArialMT-Identity-H"/>
          <w:color w:val="auto"/>
          <w:sz w:val="24"/>
          <w:highlight w:val="none"/>
          <w:lang w:val="en-US" w:eastAsia="zh-CN"/>
        </w:rPr>
        <w:t>7</w:t>
      </w:r>
      <w:r>
        <w:rPr>
          <w:rFonts w:hint="eastAsia" w:ascii="宋体" w:hAnsi="宋体" w:cs="ArialMT-Identity-H"/>
          <w:color w:val="auto"/>
          <w:sz w:val="24"/>
          <w:highlight w:val="none"/>
        </w:rPr>
        <w:t>寸</w:t>
      </w:r>
      <w:r>
        <w:rPr>
          <w:rFonts w:hint="eastAsia" w:ascii="宋体" w:hAnsi="宋体" w:cs="SimSun-Identity-H"/>
          <w:color w:val="auto"/>
          <w:sz w:val="24"/>
          <w:highlight w:val="none"/>
        </w:rPr>
        <w:t>触摸屏操作，具备中英文</w:t>
      </w:r>
      <w:r>
        <w:rPr>
          <w:rFonts w:hint="eastAsia"/>
          <w:color w:val="auto"/>
          <w:sz w:val="24"/>
          <w:highlight w:val="none"/>
        </w:rPr>
        <w:t>互换式操作面板，操作过程简单明了，并且重要的参数如压力、SF6气体重量、真空度等也在触摸屏上显示。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auto"/>
          <w:highlight w:val="none"/>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color w:val="auto"/>
          <w:highlight w:val="none"/>
          <w:lang w:val="en-US" w:eastAsia="zh-CN"/>
        </w:rPr>
        <w:t>4</w:t>
      </w:r>
      <w:r>
        <w:rPr>
          <w:rFonts w:hint="eastAsia" w:asciiTheme="minorEastAsia" w:hAnsiTheme="minorEastAsia" w:eastAsiaTheme="minorEastAsia"/>
          <w:color w:val="auto"/>
          <w:highlight w:val="none"/>
        </w:rPr>
        <w:t xml:space="preserve">.2 </w:t>
      </w:r>
      <w:r>
        <w:rPr>
          <w:rFonts w:hint="eastAsia" w:eastAsiaTheme="minorEastAsia"/>
          <w:color w:val="auto"/>
          <w:highlight w:val="none"/>
          <w:lang w:eastAsia="zh-CN"/>
        </w:rPr>
        <w:t>SF6气体回收装置</w:t>
      </w:r>
      <w:r>
        <w:rPr>
          <w:rFonts w:hint="eastAsia"/>
          <w:color w:val="auto"/>
          <w:highlight w:val="none"/>
          <w:shd w:val="clear" w:color="auto" w:fill="FFFFFF"/>
        </w:rPr>
        <w:t>技术指标</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color w:val="auto"/>
          <w:sz w:val="24"/>
          <w:highlight w:val="none"/>
        </w:rPr>
        <w:t>抽真空系统：抽真空速度40</w:t>
      </w:r>
      <w:r>
        <w:rPr>
          <w:color w:val="auto"/>
          <w:sz w:val="24"/>
          <w:highlight w:val="none"/>
        </w:rPr>
        <w:t>m</w:t>
      </w:r>
      <w:r>
        <w:rPr>
          <w:rFonts w:hint="eastAsia"/>
          <w:color w:val="auto"/>
          <w:sz w:val="24"/>
          <w:highlight w:val="none"/>
          <w:vertAlign w:val="superscript"/>
        </w:rPr>
        <w:t>3</w:t>
      </w:r>
      <w:r>
        <w:rPr>
          <w:color w:val="auto"/>
          <w:sz w:val="24"/>
          <w:highlight w:val="none"/>
        </w:rPr>
        <w:t>/h</w:t>
      </w:r>
      <w:r>
        <w:rPr>
          <w:rFonts w:hint="eastAsia"/>
          <w:color w:val="auto"/>
          <w:sz w:val="24"/>
          <w:highlight w:val="none"/>
        </w:rPr>
        <w:t>，最终真空度 ＜</w:t>
      </w:r>
      <w:r>
        <w:rPr>
          <w:rFonts w:hint="eastAsia" w:ascii="Verdana" w:hAnsi="Verdana"/>
          <w:color w:val="auto"/>
          <w:sz w:val="24"/>
          <w:highlight w:val="none"/>
        </w:rPr>
        <w:t>10 pa</w:t>
      </w:r>
      <w:r>
        <w:rPr>
          <w:rFonts w:hint="eastAsia"/>
          <w:color w:val="auto"/>
          <w:sz w:val="24"/>
          <w:highlight w:val="none"/>
        </w:rPr>
        <w:t>。</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color w:val="auto"/>
          <w:sz w:val="24"/>
          <w:highlight w:val="none"/>
        </w:rPr>
        <w:t>回收系统：回收系统有压缩机和回收泵构成。压缩机回收速率6.5m</w:t>
      </w:r>
      <w:r>
        <w:rPr>
          <w:rFonts w:ascii="Arial" w:hAnsi="Arial" w:cs="Arial"/>
          <w:color w:val="auto"/>
          <w:sz w:val="24"/>
          <w:highlight w:val="none"/>
          <w:vertAlign w:val="superscript"/>
        </w:rPr>
        <w:t>3</w:t>
      </w:r>
      <w:r>
        <w:rPr>
          <w:rFonts w:hint="eastAsia"/>
          <w:color w:val="auto"/>
          <w:sz w:val="24"/>
          <w:highlight w:val="none"/>
        </w:rPr>
        <w:t>/h，</w:t>
      </w:r>
      <w:r>
        <w:rPr>
          <w:rFonts w:hint="eastAsia" w:ascii="Arial" w:hAnsi="Arial"/>
          <w:color w:val="auto"/>
          <w:sz w:val="24"/>
          <w:highlight w:val="none"/>
        </w:rPr>
        <w:t>最大终压</w:t>
      </w:r>
      <w:r>
        <w:rPr>
          <w:rFonts w:ascii="Arial" w:hAnsi="Arial"/>
          <w:b/>
          <w:color w:val="auto"/>
          <w:sz w:val="24"/>
          <w:highlight w:val="none"/>
        </w:rPr>
        <w:t xml:space="preserve"> </w:t>
      </w:r>
      <w:r>
        <w:rPr>
          <w:rFonts w:hint="eastAsia" w:ascii="Arial" w:hAnsi="Arial"/>
          <w:bCs/>
          <w:color w:val="auto"/>
          <w:sz w:val="24"/>
          <w:highlight w:val="none"/>
        </w:rPr>
        <w:t>50</w:t>
      </w:r>
      <w:r>
        <w:rPr>
          <w:rFonts w:ascii="Arial" w:hAnsi="Arial"/>
          <w:bCs/>
          <w:color w:val="auto"/>
          <w:sz w:val="24"/>
          <w:highlight w:val="none"/>
        </w:rPr>
        <w:t>bar</w:t>
      </w:r>
      <w:r>
        <w:rPr>
          <w:rFonts w:hint="eastAsia" w:ascii="Arial" w:hAnsi="Arial"/>
          <w:bCs/>
          <w:color w:val="auto"/>
          <w:sz w:val="24"/>
          <w:highlight w:val="none"/>
        </w:rPr>
        <w:t>，</w:t>
      </w:r>
      <w:r>
        <w:rPr>
          <w:rFonts w:hint="eastAsia" w:ascii="Arial" w:hAnsi="Arial"/>
          <w:color w:val="auto"/>
          <w:sz w:val="24"/>
          <w:highlight w:val="none"/>
        </w:rPr>
        <w:t>最大压差</w:t>
      </w:r>
      <w:r>
        <w:rPr>
          <w:rFonts w:hint="eastAsia" w:ascii="Arial" w:hAnsi="Arial"/>
          <w:b/>
          <w:color w:val="auto"/>
          <w:sz w:val="24"/>
          <w:highlight w:val="none"/>
        </w:rPr>
        <w:t xml:space="preserve"> ≥</w:t>
      </w:r>
      <w:r>
        <w:rPr>
          <w:rFonts w:hint="eastAsia" w:ascii="Arial" w:hAnsi="Arial"/>
          <w:bCs/>
          <w:color w:val="auto"/>
          <w:sz w:val="24"/>
          <w:highlight w:val="none"/>
        </w:rPr>
        <w:t>49</w:t>
      </w:r>
      <w:r>
        <w:rPr>
          <w:rFonts w:ascii="Arial" w:hAnsi="Arial"/>
          <w:bCs/>
          <w:color w:val="auto"/>
          <w:sz w:val="24"/>
          <w:highlight w:val="none"/>
        </w:rPr>
        <w:t>bar</w:t>
      </w:r>
      <w:r>
        <w:rPr>
          <w:rFonts w:hint="eastAsia" w:ascii="Arial" w:hAnsi="Arial"/>
          <w:bCs/>
          <w:color w:val="auto"/>
          <w:sz w:val="24"/>
          <w:highlight w:val="none"/>
        </w:rPr>
        <w:t>，采用无油压缩机；回收抽空泵回收速率4.8</w:t>
      </w:r>
      <w:r>
        <w:rPr>
          <w:rFonts w:hint="eastAsia"/>
          <w:color w:val="auto"/>
          <w:sz w:val="24"/>
          <w:highlight w:val="none"/>
        </w:rPr>
        <w:t>m</w:t>
      </w:r>
      <w:r>
        <w:rPr>
          <w:rFonts w:ascii="Arial" w:hAnsi="Arial" w:cs="Arial"/>
          <w:color w:val="auto"/>
          <w:sz w:val="24"/>
          <w:highlight w:val="none"/>
          <w:vertAlign w:val="superscript"/>
        </w:rPr>
        <w:t>3</w:t>
      </w:r>
      <w:r>
        <w:rPr>
          <w:rFonts w:hint="eastAsia"/>
          <w:color w:val="auto"/>
          <w:sz w:val="24"/>
          <w:highlight w:val="none"/>
        </w:rPr>
        <w:t>/h，</w:t>
      </w:r>
      <w:r>
        <w:rPr>
          <w:rFonts w:hint="eastAsia" w:ascii="Arial" w:hAnsi="Arial"/>
          <w:color w:val="auto"/>
          <w:sz w:val="24"/>
          <w:highlight w:val="none"/>
        </w:rPr>
        <w:t>终压</w:t>
      </w:r>
      <w:r>
        <w:rPr>
          <w:rFonts w:hint="eastAsia"/>
          <w:color w:val="auto"/>
          <w:sz w:val="24"/>
          <w:highlight w:val="none"/>
        </w:rPr>
        <w:t>＜5</w:t>
      </w:r>
      <w:r>
        <w:rPr>
          <w:color w:val="auto"/>
          <w:sz w:val="24"/>
          <w:highlight w:val="none"/>
        </w:rPr>
        <w:t>mbar</w:t>
      </w:r>
      <w:r>
        <w:rPr>
          <w:rFonts w:hint="eastAsia"/>
          <w:color w:val="auto"/>
          <w:sz w:val="24"/>
          <w:highlight w:val="none"/>
        </w:rPr>
        <w:t>（即500pa），</w:t>
      </w:r>
      <w:r>
        <w:rPr>
          <w:rFonts w:hint="eastAsia" w:ascii="Arial" w:hAnsi="Arial"/>
          <w:bCs/>
          <w:color w:val="auto"/>
          <w:sz w:val="24"/>
          <w:highlight w:val="none"/>
        </w:rPr>
        <w:t>采用无油抽空泵。</w:t>
      </w:r>
    </w:p>
    <w:p>
      <w:pPr>
        <w:pStyle w:val="5"/>
        <w:numPr>
          <w:ilvl w:val="0"/>
          <w:numId w:val="2"/>
        </w:numPr>
        <w:spacing w:line="400" w:lineRule="exact"/>
        <w:ind w:left="425" w:leftChars="0" w:hanging="425" w:firstLineChars="0"/>
        <w:rPr>
          <w:rFonts w:hAnsi="宋体"/>
          <w:color w:val="auto"/>
          <w:sz w:val="24"/>
          <w:highlight w:val="none"/>
        </w:rPr>
      </w:pPr>
      <w:r>
        <w:rPr>
          <w:rFonts w:hint="eastAsia"/>
          <w:color w:val="auto"/>
          <w:sz w:val="24"/>
          <w:highlight w:val="none"/>
        </w:rPr>
        <w:t xml:space="preserve">最高储气压力：50bar </w:t>
      </w:r>
      <w:r>
        <w:rPr>
          <w:color w:val="auto"/>
          <w:sz w:val="24"/>
          <w:highlight w:val="none"/>
        </w:rPr>
        <w:t>(</w:t>
      </w:r>
      <w:r>
        <w:rPr>
          <w:rFonts w:hint="eastAsia"/>
          <w:color w:val="auto"/>
          <w:sz w:val="24"/>
          <w:highlight w:val="none"/>
        </w:rPr>
        <w:t>5Mpa</w:t>
      </w:r>
      <w:r>
        <w:rPr>
          <w:color w:val="auto"/>
          <w:sz w:val="24"/>
          <w:highlight w:val="none"/>
        </w:rPr>
        <w:t>)</w:t>
      </w:r>
      <w:r>
        <w:rPr>
          <w:rFonts w:hint="eastAsia"/>
          <w:color w:val="auto"/>
          <w:sz w:val="24"/>
          <w:highlight w:val="none"/>
        </w:rPr>
        <w:t>。</w:t>
      </w:r>
    </w:p>
    <w:p>
      <w:pPr>
        <w:pStyle w:val="5"/>
        <w:numPr>
          <w:ilvl w:val="0"/>
          <w:numId w:val="2"/>
        </w:numPr>
        <w:spacing w:line="400" w:lineRule="exact"/>
        <w:ind w:left="425" w:leftChars="0" w:hanging="425" w:firstLineChars="0"/>
        <w:rPr>
          <w:rFonts w:hAnsi="宋体"/>
          <w:color w:val="auto"/>
          <w:sz w:val="24"/>
          <w:highlight w:val="none"/>
        </w:rPr>
      </w:pPr>
      <w:r>
        <w:rPr>
          <w:rFonts w:hint="eastAsia"/>
          <w:color w:val="auto"/>
          <w:sz w:val="24"/>
          <w:highlight w:val="none"/>
        </w:rPr>
        <w:t>回收气体压力：初压≤10bar (1Mpa)   终压≤1 mbar</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color w:val="auto"/>
          <w:sz w:val="24"/>
          <w:highlight w:val="none"/>
        </w:rPr>
        <w:t>气体回收速度</w:t>
      </w:r>
      <w:r>
        <w:rPr>
          <w:rFonts w:hint="eastAsia"/>
          <w:color w:val="auto"/>
          <w:sz w:val="24"/>
          <w:highlight w:val="none"/>
        </w:rPr>
        <w:t>（20℃）：SF6压力为0.4Mpa，回收的速度不得低于65kg/h</w:t>
      </w:r>
      <w:r>
        <w:rPr>
          <w:rFonts w:hint="eastAsia" w:hAnsi="宋体"/>
          <w:color w:val="auto"/>
          <w:sz w:val="24"/>
          <w:highlight w:val="none"/>
        </w:rPr>
        <w:t>。</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color w:val="auto"/>
          <w:sz w:val="24"/>
          <w:highlight w:val="none"/>
        </w:rPr>
        <w:t>气体充气速度</w:t>
      </w:r>
      <w:r>
        <w:rPr>
          <w:rFonts w:hint="eastAsia"/>
          <w:color w:val="auto"/>
          <w:sz w:val="24"/>
          <w:highlight w:val="none"/>
        </w:rPr>
        <w:t>（20℃）：设备容积为1</w:t>
      </w:r>
      <w:r>
        <w:rPr>
          <w:color w:val="auto"/>
          <w:sz w:val="24"/>
          <w:highlight w:val="none"/>
        </w:rPr>
        <w:t>m</w:t>
      </w:r>
      <w:r>
        <w:rPr>
          <w:rFonts w:hint="eastAsia"/>
          <w:color w:val="auto"/>
          <w:sz w:val="24"/>
          <w:highlight w:val="none"/>
          <w:vertAlign w:val="superscript"/>
        </w:rPr>
        <w:t>3</w:t>
      </w:r>
      <w:r>
        <w:rPr>
          <w:rFonts w:hint="eastAsia"/>
          <w:color w:val="auto"/>
          <w:sz w:val="24"/>
          <w:highlight w:val="none"/>
        </w:rPr>
        <w:t>、气压初压为真空度小于1000Pa（&lt;1mBar），终压为0.5MPa（5Bar）,其充气时间不超过20分钟</w:t>
      </w:r>
      <w:r>
        <w:rPr>
          <w:rFonts w:hint="eastAsia" w:hAnsi="宋体"/>
          <w:color w:val="auto"/>
          <w:sz w:val="24"/>
          <w:highlight w:val="none"/>
        </w:rPr>
        <w:t>。</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hAnsi="宋体"/>
          <w:color w:val="auto"/>
          <w:sz w:val="24"/>
          <w:highlight w:val="none"/>
        </w:rPr>
        <w:t>抽真空速度</w:t>
      </w:r>
      <w:r>
        <w:rPr>
          <w:rFonts w:hint="eastAsia" w:hAnsi="宋体"/>
          <w:color w:val="auto"/>
          <w:sz w:val="24"/>
          <w:highlight w:val="none"/>
        </w:rPr>
        <w:t>：对容积为1</w:t>
      </w:r>
      <w:r>
        <w:rPr>
          <w:rFonts w:hAnsi="宋体"/>
          <w:color w:val="auto"/>
          <w:sz w:val="24"/>
          <w:highlight w:val="none"/>
        </w:rPr>
        <w:t>m</w:t>
      </w:r>
      <w:r>
        <w:rPr>
          <w:rFonts w:hAnsi="宋体"/>
          <w:color w:val="auto"/>
          <w:sz w:val="24"/>
          <w:highlight w:val="none"/>
          <w:vertAlign w:val="superscript"/>
        </w:rPr>
        <w:t>3</w:t>
      </w:r>
      <w:r>
        <w:rPr>
          <w:rFonts w:hint="eastAsia" w:hAnsi="宋体"/>
          <w:color w:val="auto"/>
          <w:sz w:val="24"/>
          <w:highlight w:val="none"/>
        </w:rPr>
        <w:t>、初压为1bar的容器抽真空至1mbar，所用时间必须小于45分钟。抽真空至0.2mbar，所用时间必须小于90分钟。</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hAnsi="宋体"/>
          <w:color w:val="auto"/>
          <w:sz w:val="24"/>
          <w:highlight w:val="none"/>
        </w:rPr>
        <w:t>设备的真空度保持</w:t>
      </w:r>
      <w:r>
        <w:rPr>
          <w:rFonts w:hint="eastAsia" w:hAnsi="宋体"/>
          <w:color w:val="auto"/>
          <w:sz w:val="24"/>
          <w:highlight w:val="none"/>
        </w:rPr>
        <w:t>：设备连接5米管后，抽真空到1mbar，在真空状态下保持30分钟，真空度值上升应小于1mbar。</w:t>
      </w:r>
      <w:r>
        <w:rPr>
          <w:rFonts w:hint="eastAsia" w:hAnsi="宋体"/>
          <w:color w:val="auto"/>
          <w:sz w:val="24"/>
          <w:highlight w:val="none"/>
        </w:rPr>
        <w:t>设备连接DN20软管后，抽真空到1mbar，在真空状态下保持30分钟，真空度值上升必须小于1mbar；设备通过DN20软管连接到1</w:t>
      </w:r>
      <w:r>
        <w:rPr>
          <w:rFonts w:hAnsi="宋体"/>
          <w:color w:val="auto"/>
          <w:sz w:val="24"/>
          <w:highlight w:val="none"/>
        </w:rPr>
        <w:t>m</w:t>
      </w:r>
      <w:r>
        <w:rPr>
          <w:rFonts w:hAnsi="宋体"/>
          <w:color w:val="auto"/>
          <w:sz w:val="24"/>
          <w:highlight w:val="none"/>
          <w:vertAlign w:val="superscript"/>
        </w:rPr>
        <w:t>3</w:t>
      </w:r>
      <w:r>
        <w:rPr>
          <w:rFonts w:hint="eastAsia" w:hAnsi="宋体"/>
          <w:color w:val="auto"/>
          <w:sz w:val="24"/>
          <w:highlight w:val="none"/>
        </w:rPr>
        <w:t>的容器，抽真空到1mbar，在真空状态下保持30分钟，真空度值上升必须小于0.5mbar。</w:t>
      </w:r>
    </w:p>
    <w:p>
      <w:pPr>
        <w:pStyle w:val="5"/>
        <w:numPr>
          <w:ilvl w:val="0"/>
          <w:numId w:val="2"/>
        </w:numPr>
        <w:spacing w:line="400" w:lineRule="exact"/>
        <w:ind w:left="425" w:leftChars="0" w:hanging="425" w:firstLineChars="0"/>
        <w:rPr>
          <w:rFonts w:hAnsi="宋体"/>
          <w:color w:val="auto"/>
          <w:sz w:val="24"/>
          <w:highlight w:val="none"/>
        </w:rPr>
      </w:pPr>
      <w:r>
        <w:rPr>
          <w:rFonts w:hint="eastAsia"/>
          <w:color w:val="auto"/>
          <w:sz w:val="24"/>
          <w:highlight w:val="none"/>
        </w:rPr>
        <w:t>装置的操作面板采用</w:t>
      </w:r>
      <w:r>
        <w:rPr>
          <w:rFonts w:hint="eastAsia" w:hAnsi="宋体" w:cs="ArialMT-Identity-H"/>
          <w:color w:val="auto"/>
          <w:sz w:val="24"/>
          <w:highlight w:val="none"/>
          <w:lang w:val="en-US" w:eastAsia="zh-CN"/>
        </w:rPr>
        <w:t>7</w:t>
      </w:r>
      <w:r>
        <w:rPr>
          <w:rFonts w:hint="eastAsia" w:hAnsi="宋体" w:cs="ArialMT-Identity-H"/>
          <w:color w:val="auto"/>
          <w:sz w:val="24"/>
          <w:highlight w:val="none"/>
        </w:rPr>
        <w:t>寸</w:t>
      </w:r>
      <w:r>
        <w:rPr>
          <w:rFonts w:hint="eastAsia" w:hAnsi="宋体" w:cs="SimSun-Identity-H"/>
          <w:color w:val="auto"/>
          <w:sz w:val="24"/>
          <w:highlight w:val="none"/>
        </w:rPr>
        <w:t>触摸屏操作，具备中英文</w:t>
      </w:r>
      <w:r>
        <w:rPr>
          <w:rFonts w:hint="eastAsia"/>
          <w:color w:val="auto"/>
          <w:sz w:val="24"/>
          <w:highlight w:val="none"/>
        </w:rPr>
        <w:t>互换式操作面板，操作过程简单明了，并且重要的参数如压力、SF6气体重量、真空度等也在触摸屏上显示。</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color w:val="auto"/>
          <w:sz w:val="24"/>
          <w:highlight w:val="none"/>
        </w:rPr>
        <w:t>配备</w:t>
      </w:r>
      <w:r>
        <w:rPr>
          <w:rFonts w:hint="eastAsia"/>
          <w:color w:val="auto"/>
          <w:sz w:val="24"/>
          <w:highlight w:val="none"/>
          <w:lang w:val="en-US" w:eastAsia="zh-CN"/>
        </w:rPr>
        <w:t>6</w:t>
      </w:r>
      <w:r>
        <w:rPr>
          <w:rFonts w:hint="eastAsia"/>
          <w:color w:val="auto"/>
          <w:sz w:val="24"/>
          <w:highlight w:val="none"/>
        </w:rPr>
        <w:t>00L</w:t>
      </w:r>
      <w:r>
        <w:rPr>
          <w:rFonts w:hint="eastAsia"/>
          <w:color w:val="auto"/>
          <w:sz w:val="24"/>
          <w:highlight w:val="none"/>
        </w:rPr>
        <w:t>储气罐，至少能储存</w:t>
      </w:r>
      <w:r>
        <w:rPr>
          <w:rFonts w:hint="eastAsia"/>
          <w:color w:val="auto"/>
          <w:sz w:val="24"/>
          <w:highlight w:val="none"/>
          <w:lang w:val="en-US" w:eastAsia="zh-CN"/>
        </w:rPr>
        <w:t>58</w:t>
      </w:r>
      <w:r>
        <w:rPr>
          <w:rFonts w:hint="eastAsia"/>
          <w:color w:val="auto"/>
          <w:sz w:val="24"/>
          <w:highlight w:val="none"/>
        </w:rPr>
        <w:t>0kg</w:t>
      </w:r>
      <w:r>
        <w:rPr>
          <w:rFonts w:hint="eastAsia"/>
          <w:color w:val="auto"/>
          <w:sz w:val="24"/>
          <w:highlight w:val="none"/>
        </w:rPr>
        <w:t>液态的SF6气体。</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color w:val="auto"/>
          <w:sz w:val="24"/>
          <w:highlight w:val="none"/>
        </w:rPr>
        <w:t>装置的密封性要求：</w:t>
      </w:r>
      <w:r>
        <w:rPr>
          <w:rFonts w:hint="eastAsia" w:ascii="Arial" w:hAnsi="Arial"/>
          <w:color w:val="auto"/>
          <w:sz w:val="24"/>
          <w:highlight w:val="none"/>
        </w:rPr>
        <w:t>在真空泵停止运行15分钟内真空表显示不大于5mbar或更小。</w:t>
      </w:r>
    </w:p>
    <w:p>
      <w:pPr>
        <w:pStyle w:val="5"/>
        <w:numPr>
          <w:ilvl w:val="0"/>
          <w:numId w:val="0"/>
        </w:numPr>
        <w:spacing w:line="400" w:lineRule="exact"/>
        <w:ind w:leftChars="0" w:firstLine="480" w:firstLineChars="200"/>
        <w:rPr>
          <w:rFonts w:hint="default" w:hAnsi="宋体"/>
          <w:snapToGrid w:val="0"/>
          <w:color w:val="auto"/>
          <w:sz w:val="24"/>
          <w:highlight w:val="none"/>
          <w:lang w:val="en-US" w:eastAsia="zh-CN"/>
        </w:rPr>
      </w:pPr>
      <w:r>
        <w:rPr>
          <w:rFonts w:hint="eastAsia" w:ascii="宋体" w:hAnsi="宋体"/>
          <w:snapToGrid w:val="0"/>
          <w:color w:val="auto"/>
          <w:sz w:val="24"/>
          <w:highlight w:val="none"/>
        </w:rPr>
        <w:t>设备的管路连接必须采用金属凹凸的连接方式</w:t>
      </w:r>
      <w:r>
        <w:rPr>
          <w:rFonts w:hint="eastAsia" w:hAnsi="宋体"/>
          <w:snapToGrid w:val="0"/>
          <w:color w:val="auto"/>
          <w:sz w:val="24"/>
          <w:highlight w:val="none"/>
          <w:lang w:eastAsia="zh-CN"/>
        </w:rPr>
        <w:t>。</w:t>
      </w:r>
    </w:p>
    <w:p>
      <w:pPr>
        <w:pStyle w:val="5"/>
        <w:numPr>
          <w:ilvl w:val="0"/>
          <w:numId w:val="0"/>
        </w:numPr>
        <w:spacing w:line="400" w:lineRule="exact"/>
        <w:ind w:leftChars="0" w:firstLine="480" w:firstLineChars="200"/>
        <w:rPr>
          <w:rFonts w:hint="eastAsia" w:hAnsi="宋体"/>
          <w:snapToGrid w:val="0"/>
          <w:color w:val="auto"/>
          <w:sz w:val="24"/>
          <w:highlight w:val="none"/>
          <w:lang w:eastAsia="zh-CN"/>
        </w:rPr>
      </w:pPr>
      <w:r>
        <w:rPr>
          <w:rFonts w:hint="eastAsia" w:ascii="宋体" w:hAnsi="宋体"/>
          <w:snapToGrid w:val="0"/>
          <w:color w:val="auto"/>
          <w:sz w:val="24"/>
          <w:highlight w:val="none"/>
        </w:rPr>
        <w:t>其连接的设备上或者管路上的自封接头时，在拆离和接上的过程中，必须要有金属凹凸连接和密封圈双重连接密封</w:t>
      </w:r>
      <w:r>
        <w:rPr>
          <w:rFonts w:hint="eastAsia" w:hAnsi="宋体"/>
          <w:snapToGrid w:val="0"/>
          <w:color w:val="auto"/>
          <w:sz w:val="24"/>
          <w:highlight w:val="none"/>
          <w:lang w:eastAsia="zh-CN"/>
        </w:rPr>
        <w:t>。</w:t>
      </w:r>
    </w:p>
    <w:p>
      <w:pPr>
        <w:pStyle w:val="5"/>
        <w:numPr>
          <w:ilvl w:val="0"/>
          <w:numId w:val="0"/>
        </w:numPr>
        <w:spacing w:line="400" w:lineRule="exact"/>
        <w:ind w:leftChars="0" w:firstLine="480" w:firstLineChars="200"/>
        <w:rPr>
          <w:rFonts w:hint="eastAsia" w:hAnsi="宋体"/>
          <w:color w:val="auto"/>
          <w:sz w:val="24"/>
          <w:highlight w:val="none"/>
        </w:rPr>
      </w:pPr>
      <w:r>
        <w:rPr>
          <w:rFonts w:hint="eastAsia"/>
          <w:color w:val="auto"/>
          <w:sz w:val="24"/>
          <w:highlight w:val="none"/>
        </w:rPr>
        <w:t>净化干燥：</w:t>
      </w:r>
      <w:r>
        <w:rPr>
          <w:rFonts w:hint="eastAsia"/>
          <w:color w:val="auto"/>
          <w:sz w:val="24"/>
          <w:highlight w:val="none"/>
        </w:rPr>
        <w:t>回收的SF</w:t>
      </w:r>
      <w:r>
        <w:rPr>
          <w:rFonts w:hint="eastAsia"/>
          <w:color w:val="auto"/>
          <w:sz w:val="24"/>
          <w:highlight w:val="none"/>
          <w:vertAlign w:val="subscript"/>
        </w:rPr>
        <w:t>6</w:t>
      </w:r>
      <w:r>
        <w:rPr>
          <w:rFonts w:hint="eastAsia"/>
          <w:color w:val="auto"/>
          <w:sz w:val="24"/>
          <w:highlight w:val="none"/>
        </w:rPr>
        <w:t>气体经净化干燥后水分含量≤10ppm，油分控制：＜10μ</w:t>
      </w:r>
      <w:r>
        <w:rPr>
          <w:color w:val="auto"/>
          <w:sz w:val="24"/>
          <w:highlight w:val="none"/>
        </w:rPr>
        <w:t>g/g</w:t>
      </w:r>
      <w:r>
        <w:rPr>
          <w:rFonts w:hint="eastAsia"/>
          <w:color w:val="auto"/>
          <w:sz w:val="24"/>
          <w:highlight w:val="none"/>
        </w:rPr>
        <w:t>，尘埃控制：粒径＜1μ</w:t>
      </w:r>
      <w:r>
        <w:rPr>
          <w:color w:val="auto"/>
          <w:sz w:val="24"/>
          <w:highlight w:val="none"/>
        </w:rPr>
        <w:t>m</w:t>
      </w:r>
      <w:r>
        <w:rPr>
          <w:rFonts w:hint="eastAsia" w:hAnsi="宋体"/>
          <w:color w:val="auto"/>
          <w:sz w:val="24"/>
          <w:highlight w:val="none"/>
        </w:rPr>
        <w:t>。</w:t>
      </w:r>
    </w:p>
    <w:p>
      <w:pPr>
        <w:pStyle w:val="5"/>
        <w:numPr>
          <w:ilvl w:val="0"/>
          <w:numId w:val="2"/>
        </w:numPr>
        <w:spacing w:line="400" w:lineRule="exact"/>
        <w:ind w:left="425" w:leftChars="0" w:hanging="425" w:firstLineChars="0"/>
        <w:rPr>
          <w:rFonts w:hAnsi="宋体"/>
          <w:color w:val="auto"/>
          <w:sz w:val="24"/>
          <w:highlight w:val="none"/>
        </w:rPr>
      </w:pPr>
      <w:r>
        <w:rPr>
          <w:rFonts w:hint="eastAsia" w:hAnsi="宋体"/>
          <w:color w:val="auto"/>
          <w:sz w:val="24"/>
          <w:highlight w:val="none"/>
        </w:rPr>
        <w:t>设备上至少要有3个DN20自封头连接件（VK/A 02/20），含DN20帽盖（VK-KN-04/20T</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hAnsi="宋体"/>
          <w:color w:val="auto"/>
          <w:sz w:val="24"/>
          <w:highlight w:val="none"/>
        </w:rPr>
        <w:t>设备连续无故障运转时间不应低于 1000h；累积无故障运转时间不应低于 5000h</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hAnsi="宋体"/>
          <w:color w:val="auto"/>
          <w:sz w:val="24"/>
          <w:highlight w:val="none"/>
        </w:rPr>
        <w:t>噪声水平：＜65dB（A）。</w:t>
      </w:r>
    </w:p>
    <w:p>
      <w:pPr>
        <w:pStyle w:val="5"/>
        <w:numPr>
          <w:ilvl w:val="0"/>
          <w:numId w:val="2"/>
        </w:numPr>
        <w:spacing w:line="400" w:lineRule="exact"/>
        <w:ind w:left="425" w:leftChars="0" w:hanging="425" w:firstLineChars="0"/>
        <w:rPr>
          <w:rFonts w:hint="eastAsia" w:hAnsi="宋体"/>
          <w:color w:val="auto"/>
          <w:sz w:val="24"/>
          <w:highlight w:val="none"/>
        </w:rPr>
      </w:pPr>
      <w:r>
        <w:rPr>
          <w:rFonts w:hint="eastAsia" w:hAnsi="宋体"/>
          <w:color w:val="auto"/>
          <w:sz w:val="24"/>
          <w:highlight w:val="none"/>
        </w:rPr>
        <w:t xml:space="preserve">产品尺寸：长 </w:t>
      </w:r>
      <w:r>
        <w:rPr>
          <w:rFonts w:hint="eastAsia" w:hAnsi="宋体"/>
          <w:color w:val="auto"/>
          <w:sz w:val="24"/>
          <w:highlight w:val="none"/>
          <w:lang w:val="en-US" w:eastAsia="zh-CN"/>
        </w:rPr>
        <w:t>185</w:t>
      </w:r>
      <w:r>
        <w:rPr>
          <w:rFonts w:hint="eastAsia" w:hAnsi="宋体"/>
          <w:color w:val="auto"/>
          <w:sz w:val="24"/>
          <w:highlight w:val="none"/>
        </w:rPr>
        <w:t>0mm 宽 950mm 高</w:t>
      </w:r>
      <w:r>
        <w:rPr>
          <w:rFonts w:hint="eastAsia" w:hAnsi="宋体"/>
          <w:color w:val="auto"/>
          <w:sz w:val="24"/>
          <w:highlight w:val="none"/>
        </w:rPr>
        <w:t xml:space="preserve"> 1</w:t>
      </w:r>
      <w:r>
        <w:rPr>
          <w:rFonts w:hint="eastAsia" w:hAnsi="宋体"/>
          <w:color w:val="auto"/>
          <w:sz w:val="24"/>
          <w:highlight w:val="none"/>
          <w:lang w:val="en-US" w:eastAsia="zh-CN"/>
        </w:rPr>
        <w:t>9</w:t>
      </w:r>
      <w:r>
        <w:rPr>
          <w:rFonts w:hint="eastAsia" w:hAnsi="宋体"/>
          <w:color w:val="auto"/>
          <w:sz w:val="24"/>
          <w:highlight w:val="none"/>
        </w:rPr>
        <w:t>25</w:t>
      </w:r>
      <w:r>
        <w:rPr>
          <w:rFonts w:hint="eastAsia" w:hAnsi="宋体"/>
          <w:color w:val="auto"/>
          <w:sz w:val="24"/>
          <w:highlight w:val="none"/>
        </w:rPr>
        <w:t>mm</w:t>
      </w:r>
    </w:p>
    <w:p>
      <w:pPr>
        <w:pStyle w:val="5"/>
        <w:numPr>
          <w:ilvl w:val="0"/>
          <w:numId w:val="2"/>
        </w:numPr>
        <w:spacing w:line="400" w:lineRule="exact"/>
        <w:ind w:left="425" w:leftChars="0" w:hanging="425" w:firstLineChars="0"/>
        <w:rPr>
          <w:rFonts w:hAnsi="宋体"/>
          <w:color w:val="auto"/>
          <w:sz w:val="24"/>
          <w:highlight w:val="none"/>
        </w:rPr>
      </w:pPr>
      <w:r>
        <w:rPr>
          <w:rFonts w:hint="eastAsia" w:hAnsi="宋体"/>
          <w:color w:val="auto"/>
          <w:sz w:val="24"/>
          <w:highlight w:val="none"/>
        </w:rPr>
        <w:t>产品重量</w:t>
      </w:r>
      <w:r>
        <w:rPr>
          <w:rFonts w:ascii="Times New Roman" w:hAnsi="Times New Roman"/>
          <w:color w:val="auto"/>
          <w:sz w:val="24"/>
          <w:highlight w:val="none"/>
        </w:rPr>
        <w:t>≤</w:t>
      </w:r>
      <w:r>
        <w:rPr>
          <w:rFonts w:hint="eastAsia" w:hAnsi="宋体"/>
          <w:color w:val="auto"/>
          <w:sz w:val="24"/>
          <w:highlight w:val="none"/>
          <w:lang w:val="en-US" w:eastAsia="zh-CN"/>
        </w:rPr>
        <w:t>1270</w:t>
      </w:r>
      <w:r>
        <w:rPr>
          <w:rFonts w:hint="eastAsia" w:hAnsi="宋体"/>
          <w:color w:val="auto"/>
          <w:sz w:val="24"/>
          <w:highlight w:val="none"/>
        </w:rPr>
        <w:t>kg</w:t>
      </w:r>
    </w:p>
    <w:p>
      <w:pPr>
        <w:pStyle w:val="5"/>
        <w:numPr>
          <w:ilvl w:val="0"/>
          <w:numId w:val="2"/>
        </w:numPr>
        <w:spacing w:line="400" w:lineRule="exact"/>
        <w:ind w:left="425" w:leftChars="0" w:hanging="425" w:firstLineChars="0"/>
        <w:rPr>
          <w:rFonts w:hAnsi="宋体"/>
          <w:color w:val="auto"/>
          <w:sz w:val="24"/>
          <w:highlight w:val="none"/>
        </w:rPr>
      </w:pPr>
      <w:r>
        <w:rPr>
          <w:rFonts w:hint="eastAsia" w:hAnsi="宋体"/>
          <w:color w:val="auto"/>
          <w:sz w:val="24"/>
          <w:highlight w:val="none"/>
        </w:rPr>
        <w:t>工作电压：360-415V/50H</w:t>
      </w:r>
      <w:r>
        <w:rPr>
          <w:rFonts w:hAnsi="宋体"/>
          <w:color w:val="auto"/>
          <w:sz w:val="24"/>
          <w:highlight w:val="none"/>
        </w:rPr>
        <w:t>z</w:t>
      </w:r>
      <w:r>
        <w:rPr>
          <w:rFonts w:hint="eastAsia" w:hAnsi="宋体"/>
          <w:color w:val="auto"/>
          <w:sz w:val="24"/>
          <w:highlight w:val="none"/>
        </w:rPr>
        <w:t>。</w:t>
      </w:r>
    </w:p>
    <w:p>
      <w:pPr>
        <w:pStyle w:val="14"/>
        <w:rPr>
          <w:rFonts w:hint="eastAsia"/>
          <w:color w:val="auto"/>
          <w:highlight w:val="none"/>
        </w:rPr>
      </w:pPr>
    </w:p>
    <w:p>
      <w:pPr>
        <w:pStyle w:val="2"/>
        <w:bidi w:val="0"/>
        <w:rPr>
          <w:rFonts w:cs="宋体"/>
          <w:color w:val="auto"/>
          <w:spacing w:val="1"/>
          <w:highlight w:val="none"/>
        </w:rPr>
      </w:pPr>
      <w:bookmarkStart w:id="32" w:name="_Toc14198"/>
      <w:r>
        <w:rPr>
          <w:rFonts w:hint="eastAsia"/>
          <w:color w:val="auto"/>
          <w:highlight w:val="none"/>
          <w:lang w:val="en-US" w:eastAsia="zh-CN"/>
        </w:rPr>
        <w:t>5</w:t>
      </w:r>
      <w:r>
        <w:rPr>
          <w:color w:val="auto"/>
          <w:highlight w:val="none"/>
        </w:rPr>
        <w:t>.</w:t>
      </w:r>
      <w:r>
        <w:rPr>
          <w:rFonts w:cs="宋体"/>
          <w:color w:val="auto"/>
          <w:spacing w:val="1"/>
          <w:highlight w:val="none"/>
        </w:rPr>
        <w:t>质量保证和试验</w:t>
      </w:r>
      <w:bookmarkEnd w:id="32"/>
    </w:p>
    <w:p>
      <w:pPr>
        <w:keepLines w:val="0"/>
        <w:pageBreakBefore w:val="0"/>
        <w:kinsoku/>
        <w:wordWrap/>
        <w:bidi w:val="0"/>
        <w:spacing w:line="500" w:lineRule="exact"/>
        <w:ind w:left="410"/>
        <w:rPr>
          <w:b/>
          <w:bCs/>
          <w:color w:val="auto"/>
          <w:highlight w:val="none"/>
        </w:rPr>
      </w:pPr>
      <w:r>
        <w:rPr>
          <w:rFonts w:hint="eastAsia"/>
          <w:color w:val="auto"/>
          <w:highlight w:val="none"/>
          <w:lang w:eastAsia="zh-CN"/>
        </w:rPr>
        <w:t>5.</w:t>
      </w:r>
      <w:r>
        <w:rPr>
          <w:color w:val="auto"/>
          <w:highlight w:val="none"/>
        </w:rPr>
        <w:t xml:space="preserve">1 </w:t>
      </w:r>
      <w:r>
        <w:rPr>
          <w:rFonts w:hint="eastAsia" w:cs="宋体"/>
          <w:color w:val="auto"/>
          <w:spacing w:val="-2"/>
          <w:highlight w:val="none"/>
          <w:lang w:eastAsia="zh-CN"/>
        </w:rPr>
        <w:t>投标人</w:t>
      </w:r>
      <w:r>
        <w:rPr>
          <w:rFonts w:cs="宋体"/>
          <w:color w:val="auto"/>
          <w:spacing w:val="-2"/>
          <w:highlight w:val="none"/>
        </w:rPr>
        <w:t>提供的设备试验标准应符合国标、行标及</w:t>
      </w:r>
      <w:r>
        <w:rPr>
          <w:color w:val="auto"/>
          <w:spacing w:val="2"/>
          <w:highlight w:val="none"/>
        </w:rPr>
        <w:t xml:space="preserve"> </w:t>
      </w:r>
      <w:r>
        <w:rPr>
          <w:color w:val="auto"/>
          <w:highlight w:val="none"/>
        </w:rPr>
        <w:t>IEC</w:t>
      </w:r>
      <w:r>
        <w:rPr>
          <w:color w:val="auto"/>
          <w:spacing w:val="1"/>
          <w:highlight w:val="none"/>
        </w:rPr>
        <w:t xml:space="preserve"> </w:t>
      </w:r>
      <w:r>
        <w:rPr>
          <w:rFonts w:cs="宋体"/>
          <w:color w:val="auto"/>
          <w:highlight w:val="none"/>
        </w:rPr>
        <w:t>的有关规</w:t>
      </w:r>
      <w:r>
        <w:rPr>
          <w:rFonts w:cs="宋体"/>
          <w:color w:val="auto"/>
          <w:spacing w:val="1"/>
          <w:highlight w:val="none"/>
        </w:rPr>
        <w:t>范，</w:t>
      </w:r>
      <w:r>
        <w:rPr>
          <w:rFonts w:cs="宋体"/>
          <w:b/>
          <w:bCs/>
          <w:color w:val="auto"/>
          <w:spacing w:val="1"/>
          <w:highlight w:val="none"/>
        </w:rPr>
        <w:t>并提供中国合格评定国家认可委员会</w:t>
      </w:r>
      <w:r>
        <w:rPr>
          <w:rFonts w:hint="eastAsia" w:cs="宋体"/>
          <w:b/>
          <w:bCs/>
          <w:color w:val="auto"/>
          <w:spacing w:val="1"/>
          <w:highlight w:val="none"/>
        </w:rPr>
        <w:t>(CNAS)</w:t>
      </w:r>
      <w:r>
        <w:rPr>
          <w:rFonts w:cs="宋体"/>
          <w:b/>
          <w:bCs/>
          <w:color w:val="auto"/>
          <w:spacing w:val="1"/>
          <w:highlight w:val="none"/>
        </w:rPr>
        <w:t>认可的校准机构出具的检定</w:t>
      </w:r>
      <w:r>
        <w:rPr>
          <w:b/>
          <w:bCs/>
          <w:color w:val="auto"/>
          <w:spacing w:val="3"/>
          <w:highlight w:val="none"/>
        </w:rPr>
        <w:t>/</w:t>
      </w:r>
      <w:r>
        <w:rPr>
          <w:rFonts w:cs="宋体"/>
          <w:b/>
          <w:bCs/>
          <w:color w:val="auto"/>
          <w:spacing w:val="1"/>
          <w:highlight w:val="none"/>
        </w:rPr>
        <w:t>校准报告、</w:t>
      </w:r>
      <w:r>
        <w:rPr>
          <w:rFonts w:cs="宋体"/>
          <w:b/>
          <w:bCs/>
          <w:color w:val="auto"/>
          <w:highlight w:val="none"/>
        </w:rPr>
        <w:t>出厂试验报告及产品合格证；</w:t>
      </w:r>
    </w:p>
    <w:p>
      <w:pPr>
        <w:keepLines w:val="0"/>
        <w:pageBreakBefore w:val="0"/>
        <w:kinsoku/>
        <w:wordWrap/>
        <w:bidi w:val="0"/>
        <w:spacing w:line="500" w:lineRule="exact"/>
        <w:ind w:left="410"/>
        <w:rPr>
          <w:color w:val="auto"/>
          <w:highlight w:val="none"/>
        </w:rPr>
      </w:pPr>
      <w:r>
        <w:rPr>
          <w:rFonts w:hint="eastAsia"/>
          <w:color w:val="auto"/>
          <w:highlight w:val="none"/>
          <w:lang w:eastAsia="zh-CN"/>
        </w:rPr>
        <w:t>5.</w:t>
      </w:r>
      <w:r>
        <w:rPr>
          <w:color w:val="auto"/>
          <w:highlight w:val="none"/>
        </w:rPr>
        <w:t>2</w:t>
      </w:r>
      <w:r>
        <w:rPr>
          <w:color w:val="auto"/>
          <w:spacing w:val="60"/>
          <w:highlight w:val="none"/>
        </w:rPr>
        <w:t xml:space="preserve"> </w:t>
      </w:r>
      <w:r>
        <w:rPr>
          <w:rFonts w:hint="eastAsia" w:cs="宋体"/>
          <w:color w:val="auto"/>
          <w:highlight w:val="none"/>
          <w:lang w:eastAsia="zh-CN"/>
        </w:rPr>
        <w:t>投标人</w:t>
      </w:r>
      <w:r>
        <w:rPr>
          <w:rFonts w:cs="宋体"/>
          <w:color w:val="auto"/>
          <w:highlight w:val="none"/>
        </w:rPr>
        <w:t>所生产的该装置所选用的主要元器件均为目前</w:t>
      </w:r>
      <w:r>
        <w:rPr>
          <w:rFonts w:hint="eastAsia" w:cs="宋体"/>
          <w:color w:val="auto"/>
          <w:highlight w:val="none"/>
        </w:rPr>
        <w:t>国内</w:t>
      </w:r>
      <w:r>
        <w:rPr>
          <w:rFonts w:cs="宋体"/>
          <w:color w:val="auto"/>
          <w:highlight w:val="none"/>
        </w:rPr>
        <w:t>先进的器件；所有的材料供应商都具有良好的质量保证体系，确保材料的质量。</w:t>
      </w:r>
    </w:p>
    <w:p>
      <w:pPr>
        <w:keepLines w:val="0"/>
        <w:pageBreakBefore w:val="0"/>
        <w:kinsoku/>
        <w:wordWrap/>
        <w:bidi w:val="0"/>
        <w:spacing w:line="500" w:lineRule="exact"/>
        <w:ind w:left="410"/>
        <w:rPr>
          <w:color w:val="auto"/>
          <w:highlight w:val="none"/>
        </w:rPr>
      </w:pPr>
      <w:r>
        <w:rPr>
          <w:rFonts w:hint="eastAsia"/>
          <w:color w:val="auto"/>
          <w:highlight w:val="none"/>
          <w:lang w:eastAsia="zh-CN"/>
        </w:rPr>
        <w:t>5.</w:t>
      </w:r>
      <w:r>
        <w:rPr>
          <w:color w:val="auto"/>
          <w:highlight w:val="none"/>
        </w:rPr>
        <w:t>3</w:t>
      </w:r>
      <w:r>
        <w:rPr>
          <w:color w:val="auto"/>
          <w:spacing w:val="60"/>
          <w:highlight w:val="none"/>
        </w:rPr>
        <w:t xml:space="preserve"> </w:t>
      </w:r>
      <w:r>
        <w:rPr>
          <w:rFonts w:cs="宋体"/>
          <w:color w:val="auto"/>
          <w:spacing w:val="-2"/>
          <w:highlight w:val="none"/>
        </w:rPr>
        <w:t>所有产品在生产过程的各个环节都得到有效的检验和控制，出厂前均通</w:t>
      </w:r>
      <w:r>
        <w:rPr>
          <w:rFonts w:cs="宋体"/>
          <w:color w:val="auto"/>
          <w:spacing w:val="3"/>
          <w:highlight w:val="none"/>
        </w:rPr>
        <w:t>过严格的出厂试验。</w:t>
      </w:r>
      <w:r>
        <w:rPr>
          <w:rFonts w:hint="eastAsia" w:cs="宋体"/>
          <w:color w:val="auto"/>
          <w:spacing w:val="3"/>
          <w:highlight w:val="none"/>
          <w:lang w:eastAsia="zh-CN"/>
        </w:rPr>
        <w:t>投标人</w:t>
      </w:r>
      <w:r>
        <w:rPr>
          <w:rFonts w:cs="宋体"/>
          <w:color w:val="auto"/>
          <w:spacing w:val="3"/>
          <w:highlight w:val="none"/>
        </w:rPr>
        <w:t>须配备有完善的检验器具和设备，考核设备各项功能</w:t>
      </w:r>
      <w:r>
        <w:rPr>
          <w:rFonts w:cs="宋体"/>
          <w:color w:val="auto"/>
          <w:highlight w:val="none"/>
        </w:rPr>
        <w:t>指标和保护功能等。</w:t>
      </w:r>
    </w:p>
    <w:p>
      <w:pPr>
        <w:keepLines w:val="0"/>
        <w:pageBreakBefore w:val="0"/>
        <w:kinsoku/>
        <w:wordWrap/>
        <w:bidi w:val="0"/>
        <w:spacing w:line="500" w:lineRule="exact"/>
        <w:ind w:left="410"/>
        <w:rPr>
          <w:color w:val="auto"/>
          <w:highlight w:val="none"/>
        </w:rPr>
      </w:pPr>
      <w:r>
        <w:rPr>
          <w:rFonts w:hint="eastAsia"/>
          <w:color w:val="auto"/>
          <w:highlight w:val="none"/>
          <w:lang w:eastAsia="zh-CN"/>
        </w:rPr>
        <w:t>5.</w:t>
      </w:r>
      <w:r>
        <w:rPr>
          <w:color w:val="auto"/>
          <w:highlight w:val="none"/>
        </w:rPr>
        <w:t>4</w:t>
      </w:r>
      <w:r>
        <w:rPr>
          <w:color w:val="auto"/>
          <w:spacing w:val="60"/>
          <w:highlight w:val="none"/>
        </w:rPr>
        <w:t xml:space="preserve"> </w:t>
      </w:r>
      <w:r>
        <w:rPr>
          <w:rFonts w:hint="eastAsia" w:cs="宋体"/>
          <w:color w:val="auto"/>
          <w:highlight w:val="none"/>
          <w:lang w:eastAsia="zh-CN"/>
        </w:rPr>
        <w:t>投标人</w:t>
      </w:r>
      <w:r>
        <w:rPr>
          <w:rFonts w:cs="宋体"/>
          <w:color w:val="auto"/>
          <w:highlight w:val="none"/>
        </w:rPr>
        <w:t>保证制造过程中的所有工艺、材料试验等均符合采购文件的规定。若采购方根据运行经验要求提供某种外购零部件，采购方须积极配合。</w:t>
      </w:r>
    </w:p>
    <w:p>
      <w:pPr>
        <w:pStyle w:val="2"/>
        <w:bidi w:val="0"/>
        <w:rPr>
          <w:color w:val="auto"/>
          <w:highlight w:val="none"/>
        </w:rPr>
      </w:pPr>
      <w:bookmarkStart w:id="33" w:name="_Toc18433"/>
      <w:r>
        <w:rPr>
          <w:rFonts w:hint="eastAsia"/>
          <w:color w:val="auto"/>
          <w:highlight w:val="none"/>
          <w:lang w:eastAsia="zh-CN"/>
        </w:rPr>
        <w:t>6.</w:t>
      </w:r>
      <w:r>
        <w:rPr>
          <w:rFonts w:cs="宋体"/>
          <w:color w:val="auto"/>
          <w:spacing w:val="1"/>
          <w:highlight w:val="none"/>
        </w:rPr>
        <w:t>包装、运输和储存</w:t>
      </w:r>
      <w:bookmarkEnd w:id="33"/>
    </w:p>
    <w:p>
      <w:pPr>
        <w:keepLines w:val="0"/>
        <w:pageBreakBefore w:val="0"/>
        <w:kinsoku/>
        <w:wordWrap/>
        <w:bidi w:val="0"/>
        <w:spacing w:line="500" w:lineRule="exact"/>
        <w:ind w:left="410"/>
        <w:rPr>
          <w:color w:val="auto"/>
          <w:highlight w:val="none"/>
        </w:rPr>
      </w:pPr>
      <w:r>
        <w:rPr>
          <w:rFonts w:hint="eastAsia"/>
          <w:color w:val="auto"/>
          <w:highlight w:val="none"/>
          <w:lang w:eastAsia="zh-CN"/>
        </w:rPr>
        <w:t>6.</w:t>
      </w:r>
      <w:r>
        <w:rPr>
          <w:color w:val="auto"/>
          <w:highlight w:val="none"/>
        </w:rPr>
        <w:t xml:space="preserve">1 </w:t>
      </w:r>
      <w:r>
        <w:rPr>
          <w:rFonts w:cs="宋体"/>
          <w:color w:val="auto"/>
          <w:highlight w:val="none"/>
        </w:rPr>
        <w:t>包装</w:t>
      </w:r>
    </w:p>
    <w:p>
      <w:pPr>
        <w:keepLines w:val="0"/>
        <w:pageBreakBefore w:val="0"/>
        <w:kinsoku/>
        <w:wordWrap/>
        <w:bidi w:val="0"/>
        <w:spacing w:line="500" w:lineRule="exact"/>
        <w:ind w:left="410" w:firstLine="492" w:firstLineChars="200"/>
        <w:rPr>
          <w:color w:val="auto"/>
          <w:highlight w:val="none"/>
        </w:rPr>
      </w:pPr>
      <w:r>
        <w:rPr>
          <w:rFonts w:cs="宋体"/>
          <w:color w:val="auto"/>
          <w:spacing w:val="3"/>
          <w:highlight w:val="none"/>
        </w:rPr>
        <w:t>主机、附件和资料应全部装入包装箱内，包装箱应采用纸或木箱。装箱时在</w:t>
      </w:r>
      <w:r>
        <w:rPr>
          <w:rFonts w:cs="宋体"/>
          <w:color w:val="auto"/>
          <w:highlight w:val="none"/>
        </w:rPr>
        <w:t>箱内必须附有装箱清单，包装箱侧面应注明设备名称、规格，两端面应注明轻放、</w:t>
      </w:r>
      <w:r>
        <w:rPr>
          <w:rFonts w:cs="宋体"/>
          <w:color w:val="auto"/>
          <w:spacing w:val="3"/>
          <w:highlight w:val="none"/>
        </w:rPr>
        <w:t>防雨，各种包装应能确保设备在运输过程中不致遭到损坏、丢失、变形、受潮和</w:t>
      </w:r>
      <w:r>
        <w:rPr>
          <w:rFonts w:cs="宋体"/>
          <w:color w:val="auto"/>
          <w:highlight w:val="none"/>
        </w:rPr>
        <w:t>腐蚀。</w:t>
      </w:r>
    </w:p>
    <w:p>
      <w:pPr>
        <w:keepLines w:val="0"/>
        <w:pageBreakBefore w:val="0"/>
        <w:kinsoku/>
        <w:wordWrap/>
        <w:bidi w:val="0"/>
        <w:spacing w:line="500" w:lineRule="exact"/>
        <w:ind w:left="410"/>
        <w:rPr>
          <w:color w:val="auto"/>
          <w:highlight w:val="none"/>
        </w:rPr>
      </w:pPr>
      <w:r>
        <w:rPr>
          <w:rFonts w:hint="eastAsia"/>
          <w:color w:val="auto"/>
          <w:highlight w:val="none"/>
          <w:lang w:eastAsia="zh-CN"/>
        </w:rPr>
        <w:t>6.</w:t>
      </w:r>
      <w:r>
        <w:rPr>
          <w:color w:val="auto"/>
          <w:highlight w:val="none"/>
        </w:rPr>
        <w:t xml:space="preserve">2 </w:t>
      </w:r>
      <w:r>
        <w:rPr>
          <w:rFonts w:cs="宋体"/>
          <w:color w:val="auto"/>
          <w:highlight w:val="none"/>
        </w:rPr>
        <w:t>运输</w:t>
      </w:r>
    </w:p>
    <w:p>
      <w:pPr>
        <w:keepLines w:val="0"/>
        <w:pageBreakBefore w:val="0"/>
        <w:kinsoku/>
        <w:wordWrap/>
        <w:bidi w:val="0"/>
        <w:spacing w:line="500" w:lineRule="exact"/>
        <w:ind w:left="410" w:firstLine="492" w:firstLineChars="200"/>
        <w:rPr>
          <w:color w:val="auto"/>
          <w:highlight w:val="none"/>
        </w:rPr>
      </w:pPr>
      <w:r>
        <w:rPr>
          <w:rFonts w:cs="宋体"/>
          <w:color w:val="auto"/>
          <w:spacing w:val="3"/>
          <w:highlight w:val="none"/>
        </w:rPr>
        <w:t>应采取有效的预防措施防止在运输过程中振动给设备造成的影响和损伤，运输过程中的包装应符合运输部门的有关规定，设备及附件经妥善包装或装箱后，</w:t>
      </w:r>
      <w:r>
        <w:rPr>
          <w:rFonts w:cs="宋体"/>
          <w:color w:val="auto"/>
          <w:highlight w:val="none"/>
        </w:rPr>
        <w:t>在运输过程中尚应采取其它防护措施，以免散失损坏或被盗。</w:t>
      </w:r>
    </w:p>
    <w:p>
      <w:pPr>
        <w:keepLines w:val="0"/>
        <w:pageBreakBefore w:val="0"/>
        <w:kinsoku/>
        <w:wordWrap/>
        <w:bidi w:val="0"/>
        <w:spacing w:line="500" w:lineRule="exact"/>
        <w:ind w:left="410"/>
        <w:rPr>
          <w:color w:val="auto"/>
          <w:highlight w:val="none"/>
        </w:rPr>
      </w:pPr>
      <w:r>
        <w:rPr>
          <w:rFonts w:hint="eastAsia"/>
          <w:color w:val="auto"/>
          <w:highlight w:val="none"/>
          <w:lang w:eastAsia="zh-CN"/>
        </w:rPr>
        <w:t>6.</w:t>
      </w:r>
      <w:r>
        <w:rPr>
          <w:color w:val="auto"/>
          <w:highlight w:val="none"/>
        </w:rPr>
        <w:t xml:space="preserve">3 </w:t>
      </w:r>
      <w:r>
        <w:rPr>
          <w:rFonts w:cs="宋体"/>
          <w:color w:val="auto"/>
          <w:highlight w:val="none"/>
        </w:rPr>
        <w:t>储存</w:t>
      </w:r>
    </w:p>
    <w:p>
      <w:pPr>
        <w:keepLines w:val="0"/>
        <w:pageBreakBefore w:val="0"/>
        <w:kinsoku/>
        <w:wordWrap/>
        <w:bidi w:val="0"/>
        <w:spacing w:line="500" w:lineRule="exact"/>
        <w:ind w:left="410" w:firstLine="492" w:firstLineChars="200"/>
        <w:rPr>
          <w:color w:val="auto"/>
          <w:highlight w:val="none"/>
        </w:rPr>
      </w:pPr>
      <w:r>
        <w:rPr>
          <w:rFonts w:cs="宋体"/>
          <w:color w:val="auto"/>
          <w:spacing w:val="3"/>
          <w:highlight w:val="none"/>
        </w:rPr>
        <w:t>设备及附件应采用防潮包装，并存放在正常环境温度、干燥的室内保管，以</w:t>
      </w:r>
      <w:r>
        <w:rPr>
          <w:rFonts w:cs="宋体"/>
          <w:color w:val="auto"/>
          <w:highlight w:val="none"/>
        </w:rPr>
        <w:t>防止储存过程中密封破坏而受潮。</w:t>
      </w:r>
    </w:p>
    <w:p>
      <w:pPr>
        <w:pStyle w:val="2"/>
        <w:bidi w:val="0"/>
        <w:rPr>
          <w:rFonts w:hint="default"/>
          <w:color w:val="auto"/>
          <w:highlight w:val="none"/>
          <w:lang w:val="en-US" w:eastAsia="zh-CN"/>
        </w:rPr>
      </w:pPr>
      <w:bookmarkStart w:id="34" w:name="_Toc22301"/>
      <w:r>
        <w:rPr>
          <w:rFonts w:hint="eastAsia"/>
          <w:color w:val="auto"/>
          <w:highlight w:val="none"/>
          <w:lang w:eastAsia="zh-CN"/>
        </w:rPr>
        <w:t>7.</w:t>
      </w:r>
      <w:r>
        <w:rPr>
          <w:rFonts w:hint="eastAsia"/>
          <w:color w:val="auto"/>
          <w:highlight w:val="none"/>
        </w:rPr>
        <w:t>交货时间</w:t>
      </w:r>
      <w:r>
        <w:rPr>
          <w:rFonts w:hint="eastAsia"/>
          <w:color w:val="auto"/>
          <w:highlight w:val="none"/>
          <w:lang w:eastAsia="zh-CN"/>
        </w:rPr>
        <w:t>、</w:t>
      </w:r>
      <w:r>
        <w:rPr>
          <w:rFonts w:hint="eastAsia"/>
          <w:color w:val="auto"/>
          <w:highlight w:val="none"/>
          <w:lang w:val="en-US" w:eastAsia="zh-CN"/>
        </w:rPr>
        <w:t>内容及功能验收</w:t>
      </w:r>
      <w:bookmarkEnd w:id="34"/>
    </w:p>
    <w:p>
      <w:pPr>
        <w:keepLines w:val="0"/>
        <w:pageBreakBefore w:val="0"/>
        <w:kinsoku/>
        <w:wordWrap/>
        <w:bidi w:val="0"/>
        <w:spacing w:line="500" w:lineRule="exact"/>
        <w:ind w:left="410"/>
        <w:rPr>
          <w:rFonts w:hint="eastAsia"/>
          <w:color w:val="auto"/>
          <w:highlight w:val="none"/>
          <w:lang w:val="en-US" w:eastAsia="zh-CN"/>
        </w:rPr>
      </w:pPr>
      <w:r>
        <w:rPr>
          <w:rFonts w:hint="eastAsia" w:cs="Times New Roman"/>
          <w:color w:val="auto"/>
          <w:sz w:val="24"/>
          <w:szCs w:val="24"/>
          <w:highlight w:val="none"/>
          <w:lang w:val="en-US" w:eastAsia="zh-CN"/>
        </w:rPr>
        <w:t xml:space="preserve">7.1 </w:t>
      </w:r>
      <w:r>
        <w:rPr>
          <w:rFonts w:hint="eastAsia"/>
          <w:color w:val="auto"/>
          <w:highlight w:val="none"/>
          <w:lang w:val="en-US" w:eastAsia="zh-CN"/>
        </w:rPr>
        <w:t>功能验收</w:t>
      </w:r>
    </w:p>
    <w:p>
      <w:pPr>
        <w:keepLines w:val="0"/>
        <w:pageBreakBefore w:val="0"/>
        <w:kinsoku/>
        <w:wordWrap/>
        <w:bidi w:val="0"/>
        <w:spacing w:line="500" w:lineRule="exact"/>
        <w:ind w:left="410"/>
        <w:rPr>
          <w:rFonts w:hint="default"/>
          <w:color w:val="auto"/>
          <w:highlight w:val="none"/>
          <w:lang w:val="en-US" w:eastAsia="zh-CN"/>
        </w:rPr>
      </w:pPr>
      <w:r>
        <w:rPr>
          <w:rFonts w:hint="eastAsia" w:ascii="宋体" w:hAnsi="宋体" w:eastAsia="宋体" w:cs="Times New Roman"/>
          <w:color w:val="auto"/>
          <w:sz w:val="24"/>
          <w:szCs w:val="24"/>
          <w:highlight w:val="none"/>
        </w:rPr>
        <w:t>本标书采购设备</w:t>
      </w:r>
      <w:r>
        <w:rPr>
          <w:rFonts w:ascii="宋体" w:hAnsi="宋体" w:eastAsia="宋体" w:cs="Times New Roman"/>
          <w:color w:val="auto"/>
          <w:sz w:val="24"/>
          <w:szCs w:val="24"/>
          <w:highlight w:val="none"/>
        </w:rPr>
        <w:t>应进行现场交接试验</w:t>
      </w:r>
      <w:r>
        <w:rPr>
          <w:rFonts w:hint="eastAsia" w:ascii="宋体" w:hAnsi="宋体" w:eastAsia="宋体" w:cs="Times New Roman"/>
          <w:color w:val="auto"/>
          <w:sz w:val="24"/>
          <w:szCs w:val="24"/>
          <w:highlight w:val="none"/>
        </w:rPr>
        <w:t>和功能</w:t>
      </w:r>
      <w:r>
        <w:rPr>
          <w:rFonts w:hint="eastAsia" w:ascii="宋体" w:hAnsi="宋体" w:eastAsia="宋体" w:cs="Times New Roman"/>
          <w:color w:val="auto"/>
          <w:sz w:val="24"/>
          <w:szCs w:val="24"/>
          <w:highlight w:val="none"/>
          <w:lang w:val="en-US" w:eastAsia="zh-CN"/>
        </w:rPr>
        <w:t>性</w:t>
      </w:r>
      <w:r>
        <w:rPr>
          <w:rFonts w:hint="eastAsia" w:ascii="宋体" w:hAnsi="宋体" w:eastAsia="宋体" w:cs="Times New Roman"/>
          <w:color w:val="auto"/>
          <w:sz w:val="24"/>
          <w:szCs w:val="24"/>
          <w:highlight w:val="none"/>
        </w:rPr>
        <w:t>验收</w:t>
      </w:r>
      <w:r>
        <w:rPr>
          <w:rFonts w:ascii="宋体" w:hAnsi="宋体" w:eastAsia="宋体" w:cs="Times New Roman"/>
          <w:color w:val="auto"/>
          <w:sz w:val="24"/>
          <w:szCs w:val="24"/>
          <w:highlight w:val="none"/>
        </w:rPr>
        <w:t>。交接试验</w:t>
      </w:r>
      <w:r>
        <w:rPr>
          <w:rFonts w:hint="eastAsia" w:ascii="宋体" w:hAnsi="宋体" w:eastAsia="宋体" w:cs="Times New Roman"/>
          <w:color w:val="auto"/>
          <w:sz w:val="24"/>
          <w:szCs w:val="24"/>
          <w:highlight w:val="none"/>
        </w:rPr>
        <w:t>和功能验收</w:t>
      </w:r>
      <w:r>
        <w:rPr>
          <w:rFonts w:ascii="宋体" w:hAnsi="宋体" w:eastAsia="宋体" w:cs="Times New Roman"/>
          <w:color w:val="auto"/>
          <w:sz w:val="24"/>
          <w:szCs w:val="24"/>
          <w:highlight w:val="none"/>
        </w:rPr>
        <w:t>是为了确认</w:t>
      </w:r>
      <w:r>
        <w:rPr>
          <w:rFonts w:hint="eastAsia" w:ascii="宋体" w:hAnsi="宋体" w:eastAsia="宋体" w:cs="Times New Roman"/>
          <w:color w:val="auto"/>
          <w:sz w:val="24"/>
          <w:szCs w:val="24"/>
          <w:highlight w:val="none"/>
        </w:rPr>
        <w:t>设备</w:t>
      </w:r>
      <w:r>
        <w:rPr>
          <w:rFonts w:ascii="宋体" w:hAnsi="宋体" w:eastAsia="宋体" w:cs="Times New Roman"/>
          <w:color w:val="auto"/>
          <w:sz w:val="24"/>
          <w:szCs w:val="24"/>
          <w:highlight w:val="none"/>
        </w:rPr>
        <w:t>经过运输、储存、现场安装或调整等过程后是否存在损坏、各个单元的兼容性、装配是否正确</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功能是否符合技术要求</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本标书采购现场交接试验和设备功能验收应</w:t>
      </w:r>
      <w:r>
        <w:rPr>
          <w:rFonts w:hint="eastAsia" w:ascii="宋体" w:hAnsi="宋体" w:eastAsia="宋体" w:cs="Times New Roman"/>
          <w:color w:val="auto"/>
          <w:sz w:val="24"/>
          <w:szCs w:val="24"/>
          <w:highlight w:val="none"/>
          <w:lang w:val="en-US" w:eastAsia="zh-CN"/>
        </w:rPr>
        <w:t>严格</w:t>
      </w:r>
      <w:r>
        <w:rPr>
          <w:rFonts w:hint="eastAsia" w:ascii="宋体" w:hAnsi="宋体" w:eastAsia="宋体" w:cs="Times New Roman"/>
          <w:color w:val="auto"/>
          <w:sz w:val="24"/>
          <w:szCs w:val="24"/>
          <w:highlight w:val="none"/>
        </w:rPr>
        <w:t>按</w:t>
      </w:r>
      <w:r>
        <w:rPr>
          <w:rFonts w:hint="eastAsia" w:ascii="宋体" w:hAnsi="宋体" w:eastAsia="宋体" w:cs="Times New Roman"/>
          <w:color w:val="auto"/>
          <w:sz w:val="24"/>
          <w:szCs w:val="24"/>
          <w:highlight w:val="none"/>
          <w:lang w:val="en-US" w:eastAsia="zh-CN"/>
        </w:rPr>
        <w:t>功能及技术参数</w:t>
      </w:r>
      <w:r>
        <w:rPr>
          <w:rFonts w:hint="eastAsia" w:ascii="宋体" w:hAnsi="宋体" w:eastAsia="宋体" w:cs="Times New Roman"/>
          <w:color w:val="auto"/>
          <w:sz w:val="24"/>
          <w:szCs w:val="24"/>
          <w:highlight w:val="none"/>
        </w:rPr>
        <w:t>要求执行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如实际供货产品与招标采购所需功能及技术参数不符，视为虚假中标，</w:t>
      </w:r>
      <w:r>
        <w:rPr>
          <w:rFonts w:hint="eastAsia" w:cs="Times New Roman"/>
          <w:b/>
          <w:bCs/>
          <w:color w:val="auto"/>
          <w:sz w:val="24"/>
          <w:szCs w:val="24"/>
          <w:highlight w:val="none"/>
          <w:lang w:val="en-US" w:eastAsia="zh-CN"/>
        </w:rPr>
        <w:t>有权进行</w:t>
      </w:r>
      <w:r>
        <w:rPr>
          <w:rFonts w:hint="eastAsia" w:ascii="宋体" w:hAnsi="宋体" w:eastAsia="宋体" w:cs="Times New Roman"/>
          <w:b/>
          <w:bCs/>
          <w:color w:val="auto"/>
          <w:sz w:val="24"/>
          <w:szCs w:val="24"/>
          <w:highlight w:val="none"/>
          <w:lang w:val="en-US" w:eastAsia="zh-CN"/>
        </w:rPr>
        <w:t>退货处理</w:t>
      </w:r>
      <w:r>
        <w:rPr>
          <w:rFonts w:hint="eastAsia" w:cs="Times New Roman"/>
          <w:b/>
          <w:bCs/>
          <w:color w:val="auto"/>
          <w:sz w:val="24"/>
          <w:szCs w:val="24"/>
          <w:highlight w:val="none"/>
          <w:lang w:val="en-US" w:eastAsia="zh-CN"/>
        </w:rPr>
        <w:t>，</w:t>
      </w:r>
      <w:r>
        <w:rPr>
          <w:rFonts w:hint="eastAsia" w:ascii="宋体" w:hAnsi="宋体" w:eastAsia="宋体" w:cs="Times New Roman"/>
          <w:b/>
          <w:bCs/>
          <w:color w:val="auto"/>
          <w:sz w:val="24"/>
          <w:szCs w:val="24"/>
          <w:highlight w:val="none"/>
          <w:lang w:val="en-US" w:eastAsia="zh-CN"/>
        </w:rPr>
        <w:t>并</w:t>
      </w:r>
      <w:r>
        <w:rPr>
          <w:rFonts w:hint="eastAsia"/>
          <w:b/>
          <w:bCs/>
          <w:color w:val="auto"/>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color w:val="auto"/>
          <w:highlight w:val="none"/>
        </w:rPr>
      </w:pPr>
      <w:r>
        <w:rPr>
          <w:rFonts w:hint="eastAsia"/>
          <w:color w:val="auto"/>
          <w:highlight w:val="none"/>
          <w:lang w:eastAsia="zh-CN"/>
        </w:rPr>
        <w:t>7.</w:t>
      </w:r>
      <w:r>
        <w:rPr>
          <w:rFonts w:hint="eastAsia"/>
          <w:color w:val="auto"/>
          <w:highlight w:val="none"/>
        </w:rPr>
        <w:t>2 交货期：合同签订后</w:t>
      </w:r>
      <w:r>
        <w:rPr>
          <w:rFonts w:hint="eastAsia"/>
          <w:color w:val="auto"/>
          <w:highlight w:val="none"/>
          <w:lang w:val="en-US" w:eastAsia="zh-CN"/>
        </w:rPr>
        <w:t>15</w:t>
      </w:r>
      <w:r>
        <w:rPr>
          <w:rFonts w:hint="eastAsia"/>
          <w:color w:val="auto"/>
          <w:highlight w:val="none"/>
        </w:rPr>
        <w:t>天内。</w:t>
      </w:r>
    </w:p>
    <w:p>
      <w:pPr>
        <w:keepLines w:val="0"/>
        <w:pageBreakBefore w:val="0"/>
        <w:kinsoku/>
        <w:wordWrap/>
        <w:bidi w:val="0"/>
        <w:spacing w:line="500" w:lineRule="exact"/>
        <w:ind w:left="410"/>
        <w:rPr>
          <w:rFonts w:hint="eastAsia" w:ascii="宋体" w:hAnsi="宋体" w:eastAsia="宋体"/>
          <w:color w:val="auto"/>
          <w:sz w:val="24"/>
          <w:highlight w:val="none"/>
        </w:rPr>
      </w:pPr>
      <w:r>
        <w:rPr>
          <w:rFonts w:hint="eastAsia"/>
          <w:color w:val="auto"/>
          <w:sz w:val="24"/>
          <w:highlight w:val="none"/>
          <w:lang w:val="en-US" w:eastAsia="zh-CN"/>
        </w:rPr>
        <w:t>7.3 交货资料：</w:t>
      </w:r>
      <w:r>
        <w:rPr>
          <w:rFonts w:hint="eastAsia" w:ascii="宋体" w:hAnsi="宋体" w:eastAsia="宋体"/>
          <w:color w:val="auto"/>
          <w:sz w:val="24"/>
          <w:highlight w:val="none"/>
        </w:rPr>
        <w:t>随产品提供的技术资料应完整无缺，并为中文版本。</w:t>
      </w:r>
    </w:p>
    <w:p>
      <w:pPr>
        <w:pStyle w:val="34"/>
        <w:ind w:firstLine="0" w:firstLineChars="0"/>
        <w:rPr>
          <w:rFonts w:hint="eastAsia" w:ascii="宋体" w:hAnsi="宋体" w:eastAsia="宋体"/>
          <w:color w:val="auto"/>
          <w:sz w:val="24"/>
          <w:highlight w:val="none"/>
        </w:rPr>
      </w:pPr>
      <w:r>
        <w:rPr>
          <w:rFonts w:hint="eastAsia" w:ascii="宋体" w:hAnsi="宋体" w:eastAsia="宋体"/>
          <w:b w:val="0"/>
          <w:bCs w:val="0"/>
          <w:color w:val="auto"/>
          <w:sz w:val="24"/>
          <w:highlight w:val="none"/>
        </w:rPr>
        <w:t>①装箱资料应包括：</w:t>
      </w:r>
      <w:r>
        <w:rPr>
          <w:rFonts w:hint="eastAsia" w:ascii="宋体" w:hAnsi="宋体" w:eastAsia="宋体"/>
          <w:color w:val="auto"/>
          <w:sz w:val="24"/>
          <w:highlight w:val="none"/>
        </w:rPr>
        <w:t>仪器清单，出厂合格证，说明书，</w:t>
      </w:r>
      <w:r>
        <w:rPr>
          <w:rFonts w:hint="eastAsia" w:cs="宋体"/>
          <w:color w:val="auto"/>
          <w:spacing w:val="1"/>
          <w:highlight w:val="none"/>
          <w:lang w:val="en-US" w:eastAsia="zh-CN"/>
        </w:rPr>
        <w:t>第三方校准</w:t>
      </w:r>
      <w:r>
        <w:rPr>
          <w:rFonts w:cs="宋体"/>
          <w:color w:val="auto"/>
          <w:spacing w:val="1"/>
          <w:highlight w:val="none"/>
        </w:rPr>
        <w:t>报告</w:t>
      </w:r>
      <w:r>
        <w:rPr>
          <w:rFonts w:hint="eastAsia" w:ascii="宋体" w:hAnsi="宋体" w:eastAsia="宋体"/>
          <w:color w:val="auto"/>
          <w:sz w:val="24"/>
          <w:highlight w:val="none"/>
        </w:rPr>
        <w:t>报告。</w:t>
      </w:r>
    </w:p>
    <w:p>
      <w:pPr>
        <w:pStyle w:val="34"/>
        <w:ind w:firstLine="0" w:firstLineChars="0"/>
        <w:rPr>
          <w:rFonts w:hint="eastAsia" w:ascii="宋体" w:hAnsi="宋体" w:eastAsia="宋体"/>
          <w:color w:val="auto"/>
          <w:sz w:val="24"/>
          <w:highlight w:val="none"/>
        </w:rPr>
      </w:pPr>
      <w:r>
        <w:rPr>
          <w:rFonts w:hint="eastAsia" w:ascii="宋体" w:hAnsi="宋体" w:eastAsia="宋体"/>
          <w:color w:val="auto"/>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color w:val="auto"/>
          <w:highlight w:val="none"/>
        </w:rPr>
      </w:pPr>
      <w:r>
        <w:rPr>
          <w:rFonts w:hint="eastAsia" w:cs="宋体"/>
          <w:b/>
          <w:bCs/>
          <w:color w:val="auto"/>
          <w:highlight w:val="none"/>
          <w:lang w:val="en-US" w:eastAsia="zh-CN"/>
        </w:rPr>
        <w:t>其中设备</w:t>
      </w:r>
      <w:r>
        <w:rPr>
          <w:rFonts w:hint="eastAsia" w:cs="宋体"/>
          <w:b/>
          <w:bCs/>
          <w:color w:val="auto"/>
          <w:spacing w:val="1"/>
          <w:highlight w:val="none"/>
          <w:lang w:val="en-US" w:eastAsia="zh-CN"/>
        </w:rPr>
        <w:t>校准</w:t>
      </w:r>
      <w:r>
        <w:rPr>
          <w:rFonts w:cs="宋体"/>
          <w:b/>
          <w:bCs/>
          <w:color w:val="auto"/>
          <w:spacing w:val="1"/>
          <w:highlight w:val="none"/>
        </w:rPr>
        <w:t>报告</w:t>
      </w:r>
      <w:r>
        <w:rPr>
          <w:rFonts w:hint="eastAsia" w:cs="宋体"/>
          <w:b/>
          <w:bCs/>
          <w:color w:val="auto"/>
          <w:spacing w:val="1"/>
          <w:highlight w:val="none"/>
          <w:lang w:val="en-US" w:eastAsia="zh-CN"/>
        </w:rPr>
        <w:t>需经</w:t>
      </w:r>
      <w:r>
        <w:rPr>
          <w:rFonts w:cs="宋体"/>
          <w:b/>
          <w:bCs/>
          <w:color w:val="auto"/>
          <w:spacing w:val="1"/>
          <w:highlight w:val="none"/>
        </w:rPr>
        <w:t>中国合格评定国家认可委员会</w:t>
      </w:r>
      <w:r>
        <w:rPr>
          <w:rFonts w:hint="eastAsia" w:cs="宋体"/>
          <w:b/>
          <w:bCs/>
          <w:color w:val="auto"/>
          <w:spacing w:val="1"/>
          <w:highlight w:val="none"/>
        </w:rPr>
        <w:t>(CNAS)</w:t>
      </w:r>
      <w:r>
        <w:rPr>
          <w:rFonts w:cs="宋体"/>
          <w:b/>
          <w:bCs/>
          <w:color w:val="auto"/>
          <w:spacing w:val="1"/>
          <w:highlight w:val="none"/>
        </w:rPr>
        <w:t>认可的校准机构出具</w:t>
      </w:r>
      <w:r>
        <w:rPr>
          <w:rFonts w:hint="eastAsia" w:cs="宋体"/>
          <w:b/>
          <w:bCs/>
          <w:color w:val="auto"/>
          <w:spacing w:val="1"/>
          <w:highlight w:val="none"/>
          <w:lang w:eastAsia="zh-CN"/>
        </w:rPr>
        <w:t>。</w:t>
      </w:r>
    </w:p>
    <w:p>
      <w:pPr>
        <w:pStyle w:val="2"/>
        <w:numPr>
          <w:ilvl w:val="0"/>
          <w:numId w:val="3"/>
        </w:numPr>
        <w:bidi w:val="0"/>
        <w:rPr>
          <w:rFonts w:hint="eastAsia"/>
          <w:color w:val="auto"/>
          <w:highlight w:val="none"/>
        </w:rPr>
      </w:pPr>
      <w:bookmarkStart w:id="35" w:name="_Toc25792"/>
      <w:r>
        <w:rPr>
          <w:rFonts w:hint="eastAsia"/>
          <w:color w:val="auto"/>
          <w:highlight w:val="none"/>
        </w:rPr>
        <w:t>供货范围清单</w:t>
      </w:r>
      <w:bookmarkEnd w:id="35"/>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1"/>
        <w:gridCol w:w="930"/>
        <w:gridCol w:w="930"/>
        <w:gridCol w:w="4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791" w:type="dxa"/>
            <w:noWrap w:val="0"/>
            <w:vAlign w:val="center"/>
          </w:tcPr>
          <w:p>
            <w:pPr>
              <w:spacing w:line="400" w:lineRule="exact"/>
              <w:jc w:val="center"/>
              <w:rPr>
                <w:rFonts w:hint="eastAsia" w:ascii="宋体" w:hAnsi="宋体"/>
                <w:sz w:val="24"/>
              </w:rPr>
            </w:pPr>
            <w:r>
              <w:rPr>
                <w:rFonts w:hint="eastAsia" w:ascii="宋体" w:hAnsi="宋体"/>
                <w:sz w:val="24"/>
              </w:rPr>
              <w:t>名称</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单位</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数量</w:t>
            </w:r>
          </w:p>
        </w:tc>
        <w:tc>
          <w:tcPr>
            <w:tcW w:w="4567" w:type="dxa"/>
            <w:noWrap w:val="0"/>
            <w:vAlign w:val="center"/>
          </w:tcPr>
          <w:p>
            <w:pPr>
              <w:spacing w:line="400" w:lineRule="exact"/>
              <w:jc w:val="center"/>
              <w:rPr>
                <w:rFonts w:hint="eastAsia"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791" w:type="dxa"/>
            <w:noWrap w:val="0"/>
            <w:vAlign w:val="center"/>
          </w:tcPr>
          <w:p>
            <w:pPr>
              <w:pStyle w:val="6"/>
              <w:spacing w:line="400" w:lineRule="exact"/>
              <w:rPr>
                <w:rFonts w:hint="eastAsia" w:ascii="宋体" w:hAnsi="宋体"/>
                <w:kern w:val="2"/>
              </w:rPr>
            </w:pPr>
            <w:r>
              <w:rPr>
                <w:rFonts w:hint="eastAsia" w:ascii="宋体" w:hAnsi="宋体"/>
                <w:color w:val="000000"/>
              </w:rPr>
              <w:t>SF6气体回收装置</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套</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1</w:t>
            </w:r>
          </w:p>
        </w:tc>
        <w:tc>
          <w:tcPr>
            <w:tcW w:w="4567" w:type="dxa"/>
            <w:noWrap w:val="0"/>
            <w:vAlign w:val="center"/>
          </w:tcPr>
          <w:p>
            <w:pPr>
              <w:spacing w:line="400" w:lineRule="exact"/>
              <w:rPr>
                <w:rFonts w:hint="eastAsia" w:ascii="宋体" w:hAnsi="宋体"/>
                <w:sz w:val="24"/>
              </w:rPr>
            </w:pPr>
            <w:r>
              <w:rPr>
                <w:rFonts w:hint="eastAsia" w:hAnsi="宋体"/>
                <w:color w:val="000000"/>
                <w:sz w:val="24"/>
              </w:rPr>
              <w:t>见技术规范书</w:t>
            </w:r>
            <w:bookmarkStart w:id="40" w:name="_GoBack"/>
            <w:bookmarkEnd w:id="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791" w:type="dxa"/>
            <w:noWrap w:val="0"/>
            <w:vAlign w:val="center"/>
          </w:tcPr>
          <w:p>
            <w:pPr>
              <w:pStyle w:val="6"/>
              <w:spacing w:line="400" w:lineRule="exact"/>
              <w:rPr>
                <w:rFonts w:hint="eastAsia" w:ascii="宋体" w:hAnsi="宋体"/>
                <w:color w:val="auto"/>
              </w:rPr>
            </w:pPr>
            <w:r>
              <w:rPr>
                <w:rFonts w:hint="eastAsia" w:ascii="宋体" w:hAnsi="宋体"/>
                <w:color w:val="auto"/>
              </w:rPr>
              <w:t>300L储气罐</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套</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1</w:t>
            </w:r>
          </w:p>
        </w:tc>
        <w:tc>
          <w:tcPr>
            <w:tcW w:w="4567" w:type="dxa"/>
            <w:noWrap w:val="0"/>
            <w:vAlign w:val="center"/>
          </w:tcPr>
          <w:p>
            <w:pPr>
              <w:spacing w:line="400" w:lineRule="exact"/>
              <w:rPr>
                <w:rFonts w:hint="eastAsia" w:ascii="宋体" w:hAnsi="宋体"/>
                <w:sz w:val="24"/>
              </w:rPr>
            </w:pPr>
            <w:r>
              <w:rPr>
                <w:rFonts w:hint="eastAsia" w:hAnsi="宋体"/>
                <w:color w:val="000000"/>
                <w:sz w:val="24"/>
              </w:rPr>
              <w:t>见技术规范书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791" w:type="dxa"/>
            <w:noWrap w:val="0"/>
            <w:vAlign w:val="center"/>
          </w:tcPr>
          <w:p>
            <w:pPr>
              <w:pStyle w:val="6"/>
              <w:spacing w:line="400" w:lineRule="exact"/>
              <w:rPr>
                <w:rFonts w:hint="eastAsia" w:ascii="宋体" w:hAnsi="宋体"/>
              </w:rPr>
            </w:pPr>
            <w:r>
              <w:rPr>
                <w:rFonts w:hint="eastAsia" w:ascii="宋体" w:hAnsi="宋体"/>
                <w:color w:val="000000"/>
              </w:rPr>
              <w:t>气瓶存储管</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条</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1</w:t>
            </w:r>
          </w:p>
        </w:tc>
        <w:tc>
          <w:tcPr>
            <w:tcW w:w="4567" w:type="dxa"/>
            <w:noWrap w:val="0"/>
            <w:vAlign w:val="center"/>
          </w:tcPr>
          <w:p>
            <w:pPr>
              <w:spacing w:line="400" w:lineRule="exact"/>
              <w:rPr>
                <w:rFonts w:hint="eastAsia" w:ascii="宋体" w:hAnsi="宋体"/>
                <w:sz w:val="24"/>
              </w:rPr>
            </w:pPr>
            <w:r>
              <w:rPr>
                <w:rFonts w:hint="eastAsia" w:hAnsi="宋体"/>
                <w:color w:val="000000"/>
                <w:sz w:val="24"/>
              </w:rPr>
              <w:t>5米DN8橡胶管带国产气瓶接头和球阀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791" w:type="dxa"/>
            <w:noWrap w:val="0"/>
            <w:vAlign w:val="center"/>
          </w:tcPr>
          <w:p>
            <w:pPr>
              <w:pStyle w:val="6"/>
              <w:spacing w:line="400" w:lineRule="exact"/>
              <w:rPr>
                <w:rFonts w:hint="eastAsia" w:ascii="宋体" w:hAnsi="宋体"/>
              </w:rPr>
            </w:pPr>
            <w:r>
              <w:rPr>
                <w:rFonts w:hint="eastAsia" w:ascii="宋体" w:hAnsi="宋体"/>
                <w:color w:val="000000"/>
              </w:rPr>
              <w:t>SF6气瓶称重装置</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个</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1</w:t>
            </w:r>
          </w:p>
        </w:tc>
        <w:tc>
          <w:tcPr>
            <w:tcW w:w="4567" w:type="dxa"/>
            <w:noWrap w:val="0"/>
            <w:vAlign w:val="center"/>
          </w:tcPr>
          <w:p>
            <w:pPr>
              <w:spacing w:line="400" w:lineRule="exact"/>
              <w:rPr>
                <w:rFonts w:hint="eastAsia" w:ascii="宋体" w:hAnsi="宋体"/>
                <w:sz w:val="24"/>
              </w:rPr>
            </w:pPr>
            <w:r>
              <w:rPr>
                <w:rFonts w:hint="eastAsia" w:hAnsi="宋体"/>
                <w:color w:val="000000"/>
                <w:sz w:val="24"/>
              </w:rPr>
              <w:t>K091R17可独立防震气瓶的电子称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791" w:type="dxa"/>
            <w:noWrap w:val="0"/>
            <w:vAlign w:val="center"/>
          </w:tcPr>
          <w:p>
            <w:pPr>
              <w:pStyle w:val="6"/>
              <w:spacing w:line="400" w:lineRule="exact"/>
              <w:rPr>
                <w:rFonts w:hint="eastAsia" w:ascii="宋体" w:hAnsi="宋体"/>
                <w:color w:val="auto"/>
              </w:rPr>
            </w:pPr>
            <w:r>
              <w:rPr>
                <w:rFonts w:hint="eastAsia" w:ascii="宋体" w:hAnsi="宋体"/>
                <w:color w:val="auto"/>
              </w:rPr>
              <w:t>橡胶软管</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条</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1</w:t>
            </w:r>
          </w:p>
        </w:tc>
        <w:tc>
          <w:tcPr>
            <w:tcW w:w="4567" w:type="dxa"/>
            <w:noWrap w:val="0"/>
            <w:vAlign w:val="center"/>
          </w:tcPr>
          <w:p>
            <w:pPr>
              <w:spacing w:line="400" w:lineRule="exact"/>
              <w:rPr>
                <w:rFonts w:hint="eastAsia" w:ascii="宋体" w:hAnsi="宋体"/>
                <w:sz w:val="24"/>
              </w:rPr>
            </w:pPr>
            <w:r>
              <w:rPr>
                <w:rFonts w:hint="eastAsia" w:hAnsi="宋体"/>
                <w:color w:val="000000"/>
                <w:sz w:val="24"/>
                <w:lang w:val="en-US" w:eastAsia="zh-CN"/>
              </w:rPr>
              <w:t>10</w:t>
            </w:r>
            <w:r>
              <w:rPr>
                <w:rFonts w:hint="eastAsia" w:hAnsi="宋体"/>
                <w:color w:val="000000"/>
                <w:sz w:val="24"/>
              </w:rPr>
              <w:t>米DN20橡胶管，两端带DN20自封头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791" w:type="dxa"/>
            <w:noWrap w:val="0"/>
            <w:vAlign w:val="center"/>
          </w:tcPr>
          <w:p>
            <w:pPr>
              <w:pStyle w:val="6"/>
              <w:spacing w:line="400" w:lineRule="exact"/>
              <w:rPr>
                <w:rFonts w:hint="eastAsia" w:ascii="宋体" w:hAnsi="宋体"/>
                <w:color w:val="auto"/>
              </w:rPr>
            </w:pPr>
            <w:r>
              <w:rPr>
                <w:rFonts w:hint="eastAsia" w:ascii="宋体" w:hAnsi="宋体"/>
                <w:color w:val="auto"/>
              </w:rPr>
              <w:t>扳手</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套</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1</w:t>
            </w:r>
          </w:p>
        </w:tc>
        <w:tc>
          <w:tcPr>
            <w:tcW w:w="4567" w:type="dxa"/>
            <w:noWrap w:val="0"/>
            <w:vAlign w:val="center"/>
          </w:tcPr>
          <w:p>
            <w:pPr>
              <w:spacing w:line="400" w:lineRule="exact"/>
              <w:rPr>
                <w:rFonts w:hint="eastAsia" w:ascii="宋体" w:hAnsi="宋体"/>
                <w:sz w:val="24"/>
              </w:rPr>
            </w:pPr>
            <w:r>
              <w:rPr>
                <w:rFonts w:hint="eastAsia" w:ascii="宋体" w:hAnsi="宋体" w:cs="Arial"/>
                <w:color w:val="000000"/>
                <w:sz w:val="24"/>
              </w:rPr>
              <w:t>各种规格的呆扳手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791" w:type="dxa"/>
            <w:noWrap w:val="0"/>
            <w:vAlign w:val="center"/>
          </w:tcPr>
          <w:p>
            <w:pPr>
              <w:pStyle w:val="6"/>
              <w:spacing w:line="400" w:lineRule="exact"/>
              <w:rPr>
                <w:rFonts w:hint="eastAsia" w:ascii="宋体" w:hAnsi="宋体"/>
              </w:rPr>
            </w:pPr>
            <w:r>
              <w:rPr>
                <w:rFonts w:hint="eastAsia" w:ascii="宋体" w:hAnsi="宋体"/>
                <w:color w:val="000000"/>
              </w:rPr>
              <w:t>电源线</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米</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50</w:t>
            </w:r>
          </w:p>
        </w:tc>
        <w:tc>
          <w:tcPr>
            <w:tcW w:w="4567" w:type="dxa"/>
            <w:noWrap w:val="0"/>
            <w:vAlign w:val="center"/>
          </w:tcPr>
          <w:p>
            <w:pPr>
              <w:spacing w:line="400" w:lineRule="exact"/>
              <w:rPr>
                <w:rFonts w:hint="eastAsia" w:ascii="宋体" w:hAnsi="宋体" w:cs="Arial"/>
                <w:color w:val="000000"/>
                <w:sz w:val="24"/>
              </w:rPr>
            </w:pPr>
            <w:r>
              <w:rPr>
                <w:rFonts w:hint="eastAsia" w:ascii="宋体" w:hAnsi="宋体"/>
                <w:color w:val="000000"/>
                <w:sz w:val="24"/>
              </w:rPr>
              <w:t>五芯电缆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791" w:type="dxa"/>
            <w:noWrap w:val="0"/>
            <w:vAlign w:val="center"/>
          </w:tcPr>
          <w:p>
            <w:pPr>
              <w:pStyle w:val="6"/>
              <w:spacing w:line="400" w:lineRule="exact"/>
              <w:rPr>
                <w:rFonts w:hint="eastAsia" w:ascii="宋体" w:hAnsi="宋体"/>
              </w:rPr>
            </w:pPr>
            <w:r>
              <w:rPr>
                <w:rFonts w:hint="eastAsia" w:ascii="宋体" w:hAnsi="宋体"/>
                <w:color w:val="000000"/>
              </w:rPr>
              <w:t>操作说明书(附件)</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份</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3</w:t>
            </w:r>
          </w:p>
        </w:tc>
        <w:tc>
          <w:tcPr>
            <w:tcW w:w="4567" w:type="dxa"/>
            <w:noWrap w:val="0"/>
            <w:vAlign w:val="center"/>
          </w:tcPr>
          <w:p>
            <w:pPr>
              <w:spacing w:line="400" w:lineRule="exact"/>
              <w:rPr>
                <w:rFonts w:hint="eastAsia" w:ascii="宋体" w:hAnsi="宋体"/>
                <w:sz w:val="24"/>
              </w:rPr>
            </w:pPr>
            <w:r>
              <w:rPr>
                <w:rFonts w:hint="eastAsia" w:hAnsi="宋体"/>
                <w:color w:val="000000"/>
                <w:sz w:val="24"/>
              </w:rPr>
              <w:t>原厂英文操作说明1份，中文操作说明2份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791" w:type="dxa"/>
            <w:noWrap w:val="0"/>
            <w:vAlign w:val="center"/>
          </w:tcPr>
          <w:p>
            <w:pPr>
              <w:pStyle w:val="6"/>
              <w:spacing w:line="400" w:lineRule="exact"/>
              <w:rPr>
                <w:rFonts w:hint="eastAsia" w:ascii="宋体" w:hAnsi="宋体"/>
                <w:color w:val="auto"/>
              </w:rPr>
            </w:pPr>
            <w:r>
              <w:rPr>
                <w:rFonts w:hint="eastAsia" w:ascii="宋体" w:hAnsi="宋体"/>
                <w:color w:val="auto"/>
              </w:rPr>
              <w:t>出厂报告及合格证</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份</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1</w:t>
            </w:r>
          </w:p>
        </w:tc>
        <w:tc>
          <w:tcPr>
            <w:tcW w:w="4567" w:type="dxa"/>
            <w:noWrap w:val="0"/>
            <w:vAlign w:val="center"/>
          </w:tcPr>
          <w:p>
            <w:pPr>
              <w:spacing w:line="40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791" w:type="dxa"/>
            <w:noWrap w:val="0"/>
            <w:vAlign w:val="center"/>
          </w:tcPr>
          <w:p>
            <w:pPr>
              <w:pStyle w:val="6"/>
              <w:spacing w:line="400" w:lineRule="exact"/>
              <w:rPr>
                <w:rFonts w:hint="eastAsia" w:ascii="宋体" w:hAnsi="宋体"/>
                <w:color w:val="auto"/>
              </w:rPr>
            </w:pPr>
            <w:r>
              <w:rPr>
                <w:rFonts w:hint="eastAsia" w:ascii="宋体" w:hAnsi="宋体"/>
                <w:color w:val="auto"/>
              </w:rPr>
              <w:t>认证证书</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份</w:t>
            </w:r>
          </w:p>
        </w:tc>
        <w:tc>
          <w:tcPr>
            <w:tcW w:w="930" w:type="dxa"/>
            <w:noWrap w:val="0"/>
            <w:vAlign w:val="center"/>
          </w:tcPr>
          <w:p>
            <w:pPr>
              <w:spacing w:line="400" w:lineRule="exact"/>
              <w:jc w:val="center"/>
              <w:rPr>
                <w:rFonts w:hint="eastAsia" w:ascii="宋体" w:hAnsi="宋体"/>
                <w:sz w:val="24"/>
              </w:rPr>
            </w:pPr>
            <w:r>
              <w:rPr>
                <w:rFonts w:hint="eastAsia" w:ascii="宋体" w:hAnsi="宋体"/>
                <w:sz w:val="24"/>
              </w:rPr>
              <w:t>1</w:t>
            </w:r>
          </w:p>
        </w:tc>
        <w:tc>
          <w:tcPr>
            <w:tcW w:w="4567" w:type="dxa"/>
            <w:noWrap w:val="0"/>
            <w:vAlign w:val="center"/>
          </w:tcPr>
          <w:p>
            <w:pPr>
              <w:spacing w:line="400" w:lineRule="exact"/>
              <w:rPr>
                <w:rFonts w:hint="eastAsia" w:ascii="宋体" w:hAnsi="宋体"/>
                <w:sz w:val="24"/>
              </w:rPr>
            </w:pPr>
          </w:p>
        </w:tc>
      </w:tr>
    </w:tbl>
    <w:p>
      <w:pPr>
        <w:numPr>
          <w:ilvl w:val="0"/>
          <w:numId w:val="0"/>
        </w:numPr>
        <w:rPr>
          <w:color w:val="auto"/>
          <w:highlight w:val="none"/>
        </w:rPr>
      </w:pPr>
    </w:p>
    <w:p>
      <w:pPr>
        <w:pStyle w:val="22"/>
        <w:keepLines w:val="0"/>
        <w:pageBreakBefore w:val="0"/>
        <w:kinsoku/>
        <w:wordWrap/>
        <w:bidi w:val="0"/>
        <w:spacing w:line="500" w:lineRule="exact"/>
        <w:ind w:left="0" w:leftChars="0" w:firstLine="480" w:firstLineChars="200"/>
        <w:rPr>
          <w:color w:val="auto"/>
          <w:highlight w:val="none"/>
        </w:rPr>
      </w:pPr>
      <w:r>
        <w:rPr>
          <w:rFonts w:hint="eastAsia"/>
          <w:color w:val="auto"/>
          <w:highlight w:val="none"/>
        </w:rPr>
        <w:t>备品备件及专用工具：</w:t>
      </w:r>
    </w:p>
    <w:p>
      <w:pPr>
        <w:pStyle w:val="22"/>
        <w:keepLines w:val="0"/>
        <w:pageBreakBefore w:val="0"/>
        <w:kinsoku/>
        <w:wordWrap/>
        <w:bidi w:val="0"/>
        <w:spacing w:line="500" w:lineRule="exact"/>
        <w:ind w:left="410" w:firstLine="480"/>
        <w:rPr>
          <w:rFonts w:hint="eastAsia"/>
          <w:color w:val="auto"/>
          <w:highlight w:val="none"/>
        </w:rPr>
      </w:pPr>
      <w:r>
        <w:rPr>
          <w:rFonts w:hint="eastAsia"/>
          <w:color w:val="auto"/>
          <w:highlight w:val="none"/>
          <w:lang w:eastAsia="zh-CN"/>
        </w:rPr>
        <w:t>投标人</w:t>
      </w:r>
      <w:r>
        <w:rPr>
          <w:rFonts w:hint="eastAsia"/>
          <w:color w:val="auto"/>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2"/>
        <w:keepLines w:val="0"/>
        <w:pageBreakBefore w:val="0"/>
        <w:kinsoku/>
        <w:wordWrap/>
        <w:bidi w:val="0"/>
        <w:spacing w:line="500" w:lineRule="exact"/>
        <w:ind w:left="410" w:firstLine="480"/>
        <w:rPr>
          <w:b/>
          <w:bCs/>
          <w:color w:val="auto"/>
          <w:kern w:val="2"/>
          <w:highlight w:val="none"/>
        </w:rPr>
      </w:pPr>
      <w:r>
        <w:rPr>
          <w:rFonts w:hint="eastAsia"/>
          <w:b/>
          <w:bCs/>
          <w:color w:val="auto"/>
          <w:kern w:val="2"/>
          <w:highlight w:val="none"/>
        </w:rPr>
        <w:t>备品备件及专用工具一览表</w:t>
      </w:r>
      <w:bookmarkEnd w:id="36"/>
    </w:p>
    <w:tbl>
      <w:tblPr>
        <w:tblStyle w:val="15"/>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auto"/>
                <w:szCs w:val="21"/>
                <w:highlight w:val="none"/>
              </w:rPr>
            </w:pPr>
            <w:r>
              <w:rPr>
                <w:rFonts w:hint="eastAsia"/>
                <w:color w:val="auto"/>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auto"/>
                <w:szCs w:val="21"/>
                <w:highlight w:val="none"/>
              </w:rPr>
            </w:pPr>
            <w:r>
              <w:rPr>
                <w:rFonts w:hint="eastAsia"/>
                <w:color w:val="auto"/>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auto"/>
                <w:szCs w:val="21"/>
                <w:highlight w:val="none"/>
              </w:rPr>
            </w:pPr>
            <w:r>
              <w:rPr>
                <w:rFonts w:hint="eastAsia"/>
                <w:color w:val="auto"/>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auto"/>
                <w:szCs w:val="21"/>
                <w:highlight w:val="none"/>
              </w:rPr>
            </w:pPr>
            <w:r>
              <w:rPr>
                <w:rFonts w:hint="eastAsia"/>
                <w:color w:val="auto"/>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auto"/>
                <w:szCs w:val="21"/>
                <w:highlight w:val="none"/>
              </w:rPr>
            </w:pPr>
            <w:r>
              <w:rPr>
                <w:rFonts w:hint="eastAsia"/>
                <w:color w:val="auto"/>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auto"/>
                <w:szCs w:val="21"/>
                <w:highlight w:val="none"/>
              </w:rPr>
            </w:pPr>
            <w:r>
              <w:rPr>
                <w:rFonts w:hint="eastAsia"/>
                <w:color w:val="auto"/>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auto"/>
                <w:szCs w:val="21"/>
                <w:highlight w:val="none"/>
              </w:rPr>
            </w:pPr>
            <w:r>
              <w:rPr>
                <w:rFonts w:hint="eastAsia"/>
                <w:color w:val="auto"/>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auto"/>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auto"/>
                <w:sz w:val="24"/>
                <w:highlight w:val="none"/>
              </w:rPr>
            </w:pPr>
          </w:p>
        </w:tc>
      </w:tr>
    </w:tbl>
    <w:p>
      <w:pPr>
        <w:keepLines w:val="0"/>
        <w:pageBreakBefore w:val="0"/>
        <w:kinsoku/>
        <w:wordWrap/>
        <w:bidi w:val="0"/>
        <w:spacing w:line="500" w:lineRule="exact"/>
        <w:ind w:left="0" w:leftChars="0" w:firstLine="0" w:firstLineChars="0"/>
        <w:rPr>
          <w:color w:val="auto"/>
          <w:highlight w:val="none"/>
        </w:rPr>
      </w:pPr>
    </w:p>
    <w:p>
      <w:pPr>
        <w:pStyle w:val="2"/>
        <w:bidi w:val="0"/>
        <w:rPr>
          <w:color w:val="auto"/>
          <w:highlight w:val="none"/>
        </w:rPr>
      </w:pPr>
      <w:bookmarkStart w:id="37" w:name="_Toc21346"/>
      <w:r>
        <w:rPr>
          <w:rFonts w:hint="eastAsia"/>
          <w:color w:val="auto"/>
          <w:highlight w:val="none"/>
          <w:lang w:eastAsia="zh-CN"/>
        </w:rPr>
        <w:t>9.</w:t>
      </w:r>
      <w:r>
        <w:rPr>
          <w:rFonts w:cs="宋体"/>
          <w:color w:val="auto"/>
          <w:spacing w:val="1"/>
          <w:highlight w:val="none"/>
        </w:rPr>
        <w:t>设备的售后服务要求</w:t>
      </w:r>
      <w:bookmarkEnd w:id="37"/>
    </w:p>
    <w:p>
      <w:pPr>
        <w:keepLines w:val="0"/>
        <w:pageBreakBefore w:val="0"/>
        <w:kinsoku/>
        <w:wordWrap/>
        <w:bidi w:val="0"/>
        <w:spacing w:line="500" w:lineRule="exact"/>
        <w:ind w:left="410"/>
        <w:rPr>
          <w:color w:val="auto"/>
          <w:highlight w:val="none"/>
        </w:rPr>
      </w:pPr>
      <w:r>
        <w:rPr>
          <w:rFonts w:hint="eastAsia"/>
          <w:color w:val="auto"/>
          <w:highlight w:val="none"/>
          <w:lang w:eastAsia="zh-CN"/>
        </w:rPr>
        <w:t>9.</w:t>
      </w:r>
      <w:r>
        <w:rPr>
          <w:rFonts w:hint="eastAsia"/>
          <w:color w:val="auto"/>
          <w:highlight w:val="none"/>
        </w:rPr>
        <w:t>1现场验收和试验在</w:t>
      </w:r>
      <w:r>
        <w:rPr>
          <w:rFonts w:hint="eastAsia"/>
          <w:color w:val="auto"/>
          <w:highlight w:val="none"/>
          <w:lang w:eastAsia="zh-CN"/>
        </w:rPr>
        <w:t>投标人</w:t>
      </w:r>
      <w:r>
        <w:rPr>
          <w:rFonts w:hint="eastAsia"/>
          <w:color w:val="auto"/>
          <w:highlight w:val="none"/>
        </w:rPr>
        <w:t>的技术指导下由采购方完成，</w:t>
      </w:r>
      <w:r>
        <w:rPr>
          <w:rFonts w:hint="eastAsia"/>
          <w:color w:val="auto"/>
          <w:highlight w:val="none"/>
          <w:lang w:eastAsia="zh-CN"/>
        </w:rPr>
        <w:t>投标人</w:t>
      </w:r>
      <w:r>
        <w:rPr>
          <w:rFonts w:hint="eastAsia"/>
          <w:color w:val="auto"/>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color w:val="auto"/>
          <w:highlight w:val="none"/>
        </w:rPr>
      </w:pPr>
      <w:r>
        <w:rPr>
          <w:rFonts w:hint="eastAsia"/>
          <w:color w:val="auto"/>
          <w:highlight w:val="none"/>
          <w:lang w:eastAsia="zh-CN"/>
        </w:rPr>
        <w:t>9.</w:t>
      </w:r>
      <w:r>
        <w:rPr>
          <w:rFonts w:hint="eastAsia"/>
          <w:color w:val="auto"/>
          <w:highlight w:val="none"/>
        </w:rPr>
        <w:t>2</w:t>
      </w:r>
      <w:r>
        <w:rPr>
          <w:rFonts w:hint="eastAsia"/>
          <w:color w:val="auto"/>
          <w:highlight w:val="none"/>
          <w:lang w:eastAsia="zh-CN"/>
        </w:rPr>
        <w:t>投标人</w:t>
      </w:r>
      <w:r>
        <w:rPr>
          <w:rFonts w:hint="eastAsia"/>
          <w:color w:val="auto"/>
          <w:highlight w:val="none"/>
        </w:rPr>
        <w:t>应协助采购方解决仪器运行中出现的问题。</w:t>
      </w:r>
    </w:p>
    <w:p>
      <w:pPr>
        <w:keepLines w:val="0"/>
        <w:pageBreakBefore w:val="0"/>
        <w:kinsoku/>
        <w:wordWrap/>
        <w:bidi w:val="0"/>
        <w:spacing w:line="500" w:lineRule="exact"/>
        <w:ind w:left="410"/>
        <w:rPr>
          <w:b w:val="0"/>
          <w:bCs w:val="0"/>
          <w:color w:val="auto"/>
          <w:highlight w:val="none"/>
        </w:rPr>
      </w:pPr>
      <w:r>
        <w:rPr>
          <w:rFonts w:hint="eastAsia"/>
          <w:color w:val="auto"/>
          <w:highlight w:val="none"/>
          <w:lang w:eastAsia="zh-CN"/>
        </w:rPr>
        <w:t>9.</w:t>
      </w:r>
      <w:r>
        <w:rPr>
          <w:rFonts w:hint="eastAsia"/>
          <w:color w:val="auto"/>
          <w:highlight w:val="none"/>
        </w:rPr>
        <w:t>3</w:t>
      </w:r>
      <w:r>
        <w:rPr>
          <w:rFonts w:hint="eastAsia" w:ascii="宋体" w:hAnsi="宋体" w:eastAsia="宋体" w:cs="Times New Roman"/>
          <w:b/>
          <w:bCs/>
          <w:color w:val="auto"/>
          <w:sz w:val="24"/>
          <w:szCs w:val="24"/>
          <w:highlight w:val="none"/>
        </w:rPr>
        <w:t>本标书采购设备安装、调试</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并经招标方</w:t>
      </w:r>
      <w:r>
        <w:rPr>
          <w:rFonts w:hint="eastAsia" w:ascii="宋体" w:hAnsi="宋体" w:eastAsia="宋体" w:cs="Times New Roman"/>
          <w:b/>
          <w:bCs/>
          <w:color w:val="auto"/>
          <w:sz w:val="24"/>
          <w:szCs w:val="24"/>
          <w:highlight w:val="none"/>
        </w:rPr>
        <w:t>现场</w:t>
      </w:r>
      <w:r>
        <w:rPr>
          <w:rFonts w:hint="eastAsia" w:ascii="宋体" w:hAnsi="宋体" w:eastAsia="宋体" w:cs="Times New Roman"/>
          <w:b/>
          <w:bCs/>
          <w:color w:val="auto"/>
          <w:sz w:val="24"/>
          <w:szCs w:val="24"/>
          <w:highlight w:val="none"/>
          <w:lang w:val="en-US" w:eastAsia="zh-CN"/>
        </w:rPr>
        <w:t>收货</w:t>
      </w:r>
      <w:r>
        <w:rPr>
          <w:rFonts w:hint="eastAsia" w:ascii="宋体" w:hAnsi="宋体" w:eastAsia="宋体" w:cs="Times New Roman"/>
          <w:b/>
          <w:bCs/>
          <w:color w:val="auto"/>
          <w:sz w:val="24"/>
          <w:szCs w:val="24"/>
          <w:highlight w:val="none"/>
        </w:rPr>
        <w:t>交接验收和</w:t>
      </w:r>
      <w:r>
        <w:rPr>
          <w:rFonts w:hint="eastAsia" w:ascii="宋体" w:hAnsi="宋体" w:eastAsia="宋体" w:cs="Times New Roman"/>
          <w:b/>
          <w:bCs/>
          <w:color w:val="auto"/>
          <w:sz w:val="24"/>
          <w:szCs w:val="24"/>
          <w:highlight w:val="none"/>
          <w:lang w:val="en-US" w:eastAsia="zh-CN"/>
        </w:rPr>
        <w:t>性能性验收</w:t>
      </w:r>
      <w:r>
        <w:rPr>
          <w:rFonts w:hint="eastAsia" w:ascii="宋体" w:hAnsi="宋体" w:eastAsia="宋体" w:cs="Times New Roman"/>
          <w:b/>
          <w:bCs/>
          <w:color w:val="auto"/>
          <w:sz w:val="24"/>
          <w:szCs w:val="24"/>
          <w:highlight w:val="none"/>
        </w:rPr>
        <w:t>合格后</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rPr>
        <w:t>方可</w:t>
      </w:r>
      <w:r>
        <w:rPr>
          <w:rFonts w:hint="eastAsia" w:ascii="宋体" w:hAnsi="宋体" w:eastAsia="宋体" w:cs="Times New Roman"/>
          <w:b/>
          <w:bCs/>
          <w:color w:val="auto"/>
          <w:sz w:val="24"/>
          <w:szCs w:val="24"/>
          <w:highlight w:val="none"/>
          <w:lang w:val="en-US" w:eastAsia="zh-CN"/>
        </w:rPr>
        <w:t>视为合同履约正式完成</w:t>
      </w:r>
      <w:r>
        <w:rPr>
          <w:rFonts w:hint="eastAsia" w:ascii="宋体" w:hAnsi="宋体" w:eastAsia="宋体" w:cs="Times New Roman"/>
          <w:b/>
          <w:bCs/>
          <w:color w:val="auto"/>
          <w:sz w:val="24"/>
          <w:szCs w:val="24"/>
          <w:highlight w:val="none"/>
        </w:rPr>
        <w:t>。</w:t>
      </w:r>
      <w:r>
        <w:rPr>
          <w:rFonts w:hint="eastAsia" w:ascii="宋体" w:hAnsi="宋体" w:eastAsia="宋体" w:cs="Times New Roman"/>
          <w:b w:val="0"/>
          <w:bCs w:val="0"/>
          <w:color w:val="auto"/>
          <w:sz w:val="24"/>
          <w:szCs w:val="24"/>
          <w:highlight w:val="none"/>
        </w:rPr>
        <w:t>设备正常使用后，</w:t>
      </w:r>
      <w:r>
        <w:rPr>
          <w:rFonts w:hint="eastAsia" w:ascii="宋体" w:hAnsi="宋体" w:eastAsia="宋体" w:cs="Times New Roman"/>
          <w:b w:val="0"/>
          <w:bCs w:val="0"/>
          <w:color w:val="auto"/>
          <w:sz w:val="24"/>
          <w:szCs w:val="24"/>
          <w:highlight w:val="none"/>
          <w:lang w:eastAsia="zh-CN"/>
        </w:rPr>
        <w:t>报价人</w:t>
      </w:r>
      <w:r>
        <w:rPr>
          <w:rFonts w:hint="eastAsia" w:ascii="宋体" w:hAnsi="宋体" w:eastAsia="宋体" w:cs="Times New Roman"/>
          <w:b w:val="0"/>
          <w:bCs w:val="0"/>
          <w:color w:val="auto"/>
          <w:sz w:val="24"/>
          <w:szCs w:val="24"/>
          <w:highlight w:val="none"/>
        </w:rPr>
        <w:t>和</w:t>
      </w:r>
      <w:r>
        <w:rPr>
          <w:rFonts w:hint="eastAsia" w:ascii="宋体" w:hAnsi="宋体" w:eastAsia="宋体" w:cs="Times New Roman"/>
          <w:b w:val="0"/>
          <w:bCs w:val="0"/>
          <w:color w:val="auto"/>
          <w:sz w:val="24"/>
          <w:szCs w:val="24"/>
          <w:highlight w:val="none"/>
          <w:lang w:val="en-US" w:eastAsia="zh-CN"/>
        </w:rPr>
        <w:t>采购</w:t>
      </w:r>
      <w:r>
        <w:rPr>
          <w:rFonts w:hint="eastAsia" w:ascii="宋体" w:hAnsi="宋体" w:eastAsia="宋体" w:cs="Times New Roman"/>
          <w:b w:val="0"/>
          <w:bCs w:val="0"/>
          <w:color w:val="auto"/>
          <w:sz w:val="24"/>
          <w:szCs w:val="24"/>
          <w:highlight w:val="none"/>
        </w:rPr>
        <w:t>方双方应根据相关法律、法规和公司管理制度签署合同设备的验收证明书。该证明书共两份，双方各执一份</w:t>
      </w:r>
      <w:r>
        <w:rPr>
          <w:rFonts w:hint="eastAsia"/>
          <w:b w:val="0"/>
          <w:bCs w:val="0"/>
          <w:color w:val="auto"/>
          <w:highlight w:val="none"/>
        </w:rPr>
        <w:t>。</w:t>
      </w:r>
    </w:p>
    <w:p>
      <w:pPr>
        <w:keepLines w:val="0"/>
        <w:pageBreakBefore w:val="0"/>
        <w:kinsoku/>
        <w:wordWrap/>
        <w:bidi w:val="0"/>
        <w:spacing w:line="500" w:lineRule="exact"/>
        <w:ind w:left="410"/>
        <w:rPr>
          <w:color w:val="auto"/>
          <w:highlight w:val="none"/>
        </w:rPr>
      </w:pPr>
      <w:r>
        <w:rPr>
          <w:rFonts w:hint="eastAsia"/>
          <w:color w:val="auto"/>
          <w:highlight w:val="none"/>
          <w:lang w:eastAsia="zh-CN"/>
        </w:rPr>
        <w:t>9.</w:t>
      </w:r>
      <w:r>
        <w:rPr>
          <w:rFonts w:hint="eastAsia"/>
          <w:color w:val="auto"/>
          <w:highlight w:val="none"/>
        </w:rPr>
        <w:t>4如果验收、调试、性能试</w:t>
      </w:r>
      <w:r>
        <w:rPr>
          <w:rFonts w:hint="eastAsia"/>
          <w:color w:val="auto"/>
          <w:highlight w:val="none"/>
        </w:rPr>
        <w:t>验、使用中及质保期内技术指标一项或多项不能满足合同技术部分要求，</w:t>
      </w:r>
      <w:r>
        <w:rPr>
          <w:rFonts w:hint="eastAsia"/>
          <w:color w:val="auto"/>
          <w:highlight w:val="none"/>
          <w:lang w:eastAsia="zh-CN"/>
        </w:rPr>
        <w:t>招投标人</w:t>
      </w:r>
      <w:r>
        <w:rPr>
          <w:rFonts w:hint="eastAsia"/>
          <w:color w:val="auto"/>
          <w:highlight w:val="none"/>
        </w:rPr>
        <w:t>共同分析原因，分清责任，如属制造方面的原因，或涉及索赔部分，按商务部分有关条款执行。</w:t>
      </w:r>
    </w:p>
    <w:p>
      <w:pPr>
        <w:keepLines w:val="0"/>
        <w:pageBreakBefore w:val="0"/>
        <w:kinsoku/>
        <w:wordWrap/>
        <w:bidi w:val="0"/>
        <w:spacing w:line="500" w:lineRule="exact"/>
        <w:ind w:left="410"/>
        <w:rPr>
          <w:b/>
          <w:bCs/>
          <w:color w:val="auto"/>
          <w:highlight w:val="none"/>
        </w:rPr>
      </w:pPr>
      <w:r>
        <w:rPr>
          <w:rFonts w:hint="eastAsia" w:cs="宋体"/>
          <w:b/>
          <w:bCs/>
          <w:color w:val="auto"/>
          <w:spacing w:val="3"/>
          <w:highlight w:val="none"/>
          <w:lang w:eastAsia="zh-CN"/>
        </w:rPr>
        <w:t>9.</w:t>
      </w:r>
      <w:r>
        <w:rPr>
          <w:rFonts w:hint="eastAsia" w:cs="宋体"/>
          <w:b/>
          <w:bCs/>
          <w:color w:val="auto"/>
          <w:spacing w:val="3"/>
          <w:highlight w:val="none"/>
        </w:rPr>
        <w:t>5</w:t>
      </w:r>
      <w:r>
        <w:rPr>
          <w:rFonts w:cs="宋体"/>
          <w:b/>
          <w:bCs/>
          <w:color w:val="auto"/>
          <w:spacing w:val="3"/>
          <w:highlight w:val="none"/>
        </w:rPr>
        <w:t>从最终验收通过双方签字之日起开始计算设备质保期，保修质保周期不</w:t>
      </w:r>
      <w:r>
        <w:rPr>
          <w:rFonts w:cs="宋体"/>
          <w:b/>
          <w:bCs/>
          <w:color w:val="auto"/>
          <w:highlight w:val="none"/>
        </w:rPr>
        <w:t>少于</w:t>
      </w:r>
      <w:r>
        <w:rPr>
          <w:b/>
          <w:bCs/>
          <w:color w:val="auto"/>
          <w:highlight w:val="none"/>
        </w:rPr>
        <w:t>3</w:t>
      </w:r>
      <w:r>
        <w:rPr>
          <w:rFonts w:cs="宋体"/>
          <w:b/>
          <w:bCs/>
          <w:color w:val="auto"/>
          <w:highlight w:val="none"/>
        </w:rPr>
        <w:t>年（</w:t>
      </w:r>
      <w:r>
        <w:rPr>
          <w:rFonts w:hint="eastAsia"/>
          <w:b/>
          <w:bCs/>
          <w:color w:val="auto"/>
          <w:highlight w:val="none"/>
        </w:rPr>
        <w:t>36</w:t>
      </w:r>
      <w:r>
        <w:rPr>
          <w:rFonts w:cs="宋体"/>
          <w:b/>
          <w:bCs/>
          <w:color w:val="auto"/>
          <w:highlight w:val="none"/>
        </w:rPr>
        <w:t>个月），质保期内免费维修设备；</w:t>
      </w:r>
    </w:p>
    <w:p>
      <w:pPr>
        <w:keepLines w:val="0"/>
        <w:pageBreakBefore w:val="0"/>
        <w:kinsoku/>
        <w:wordWrap/>
        <w:bidi w:val="0"/>
        <w:spacing w:line="500" w:lineRule="exact"/>
        <w:ind w:left="410"/>
        <w:rPr>
          <w:color w:val="auto"/>
          <w:highlight w:val="none"/>
        </w:rPr>
      </w:pPr>
      <w:r>
        <w:rPr>
          <w:rFonts w:hint="eastAsia" w:cs="宋体"/>
          <w:color w:val="auto"/>
          <w:spacing w:val="3"/>
          <w:highlight w:val="none"/>
          <w:lang w:eastAsia="zh-CN"/>
        </w:rPr>
        <w:t>9.</w:t>
      </w:r>
      <w:r>
        <w:rPr>
          <w:rFonts w:hint="eastAsia" w:cs="宋体"/>
          <w:color w:val="auto"/>
          <w:spacing w:val="3"/>
          <w:highlight w:val="none"/>
        </w:rPr>
        <w:t>6</w:t>
      </w:r>
      <w:r>
        <w:rPr>
          <w:rFonts w:cs="宋体"/>
          <w:color w:val="auto"/>
          <w:spacing w:val="3"/>
          <w:highlight w:val="none"/>
        </w:rPr>
        <w:t>在质保期内系统运行发生故障或一般零部件损坏，由</w:t>
      </w:r>
      <w:r>
        <w:rPr>
          <w:rFonts w:hint="eastAsia" w:cs="宋体"/>
          <w:color w:val="auto"/>
          <w:spacing w:val="3"/>
          <w:highlight w:val="none"/>
          <w:lang w:eastAsia="zh-CN"/>
        </w:rPr>
        <w:t>投标人</w:t>
      </w:r>
      <w:r>
        <w:rPr>
          <w:rFonts w:cs="宋体"/>
          <w:color w:val="auto"/>
          <w:spacing w:val="3"/>
          <w:highlight w:val="none"/>
        </w:rPr>
        <w:t>在</w:t>
      </w:r>
      <w:r>
        <w:rPr>
          <w:color w:val="auto"/>
          <w:spacing w:val="-1"/>
          <w:highlight w:val="none"/>
        </w:rPr>
        <w:t>15</w:t>
      </w:r>
      <w:r>
        <w:rPr>
          <w:rFonts w:cs="宋体"/>
          <w:color w:val="auto"/>
          <w:spacing w:val="4"/>
          <w:highlight w:val="none"/>
        </w:rPr>
        <w:t>工作日</w:t>
      </w:r>
      <w:r>
        <w:rPr>
          <w:rFonts w:cs="宋体"/>
          <w:color w:val="auto"/>
          <w:highlight w:val="none"/>
        </w:rPr>
        <w:t>内免费检修或更换部件，检修期从质保期内扣除；在质保期内系统运行发生重大部件损坏，由</w:t>
      </w:r>
      <w:r>
        <w:rPr>
          <w:rFonts w:hint="eastAsia" w:cs="宋体"/>
          <w:color w:val="auto"/>
          <w:highlight w:val="none"/>
          <w:lang w:eastAsia="zh-CN"/>
        </w:rPr>
        <w:t>投标人</w:t>
      </w:r>
      <w:r>
        <w:rPr>
          <w:rFonts w:cs="宋体"/>
          <w:color w:val="auto"/>
          <w:highlight w:val="none"/>
        </w:rPr>
        <w:t>在</w:t>
      </w:r>
      <w:r>
        <w:rPr>
          <w:color w:val="auto"/>
          <w:highlight w:val="none"/>
        </w:rPr>
        <w:t>15</w:t>
      </w:r>
      <w:r>
        <w:rPr>
          <w:rFonts w:cs="宋体"/>
          <w:color w:val="auto"/>
          <w:highlight w:val="none"/>
        </w:rPr>
        <w:t>工作日内免费检修或更换部件，检修期从质保期内扣除；</w:t>
      </w:r>
    </w:p>
    <w:p>
      <w:pPr>
        <w:keepLines w:val="0"/>
        <w:pageBreakBefore w:val="0"/>
        <w:kinsoku/>
        <w:wordWrap/>
        <w:bidi w:val="0"/>
        <w:spacing w:line="500" w:lineRule="exact"/>
        <w:ind w:left="410"/>
        <w:rPr>
          <w:color w:val="auto"/>
          <w:highlight w:val="none"/>
        </w:rPr>
      </w:pPr>
      <w:r>
        <w:rPr>
          <w:rFonts w:hint="eastAsia" w:cs="宋体"/>
          <w:color w:val="auto"/>
          <w:spacing w:val="3"/>
          <w:highlight w:val="none"/>
          <w:lang w:eastAsia="zh-CN"/>
        </w:rPr>
        <w:t>9.</w:t>
      </w:r>
      <w:r>
        <w:rPr>
          <w:rFonts w:hint="eastAsia" w:cs="宋体"/>
          <w:color w:val="auto"/>
          <w:spacing w:val="3"/>
          <w:highlight w:val="none"/>
        </w:rPr>
        <w:t>7</w:t>
      </w:r>
      <w:r>
        <w:rPr>
          <w:rFonts w:cs="宋体"/>
          <w:color w:val="auto"/>
          <w:spacing w:val="3"/>
          <w:highlight w:val="none"/>
        </w:rPr>
        <w:t>在质保期内，通过有效证据证明设备存在缺陷，包括潜在的缺陷或使用</w:t>
      </w:r>
      <w:r>
        <w:rPr>
          <w:rFonts w:cs="宋体"/>
          <w:color w:val="auto"/>
          <w:spacing w:val="-1"/>
          <w:highlight w:val="none"/>
        </w:rPr>
        <w:t>不符合要求的材料等，采购方以书面形式通知</w:t>
      </w:r>
      <w:r>
        <w:rPr>
          <w:rFonts w:hint="eastAsia" w:cs="宋体"/>
          <w:color w:val="auto"/>
          <w:spacing w:val="-1"/>
          <w:highlight w:val="none"/>
          <w:lang w:eastAsia="zh-CN"/>
        </w:rPr>
        <w:t>投标人</w:t>
      </w:r>
      <w:r>
        <w:rPr>
          <w:rFonts w:cs="宋体"/>
          <w:color w:val="auto"/>
          <w:spacing w:val="-1"/>
          <w:highlight w:val="none"/>
        </w:rPr>
        <w:t>。</w:t>
      </w:r>
      <w:r>
        <w:rPr>
          <w:rFonts w:hint="eastAsia" w:cs="宋体"/>
          <w:color w:val="auto"/>
          <w:spacing w:val="-1"/>
          <w:highlight w:val="none"/>
          <w:lang w:eastAsia="zh-CN"/>
        </w:rPr>
        <w:t>投标人</w:t>
      </w:r>
      <w:r>
        <w:rPr>
          <w:rFonts w:cs="宋体"/>
          <w:color w:val="auto"/>
          <w:spacing w:val="-1"/>
          <w:highlight w:val="none"/>
        </w:rPr>
        <w:t>在收到通知后</w:t>
      </w:r>
      <w:r>
        <w:rPr>
          <w:color w:val="auto"/>
          <w:spacing w:val="1"/>
          <w:highlight w:val="none"/>
        </w:rPr>
        <w:t xml:space="preserve"> </w:t>
      </w:r>
      <w:r>
        <w:rPr>
          <w:rFonts w:hint="eastAsia"/>
          <w:color w:val="auto"/>
          <w:highlight w:val="none"/>
        </w:rPr>
        <w:t>15</w:t>
      </w:r>
      <w:r>
        <w:rPr>
          <w:rFonts w:cs="宋体"/>
          <w:color w:val="auto"/>
          <w:highlight w:val="none"/>
        </w:rPr>
        <w:t>日内应免费补齐、检修或更换有质量缺陷的设备或部件；</w:t>
      </w:r>
    </w:p>
    <w:p>
      <w:pPr>
        <w:keepLines w:val="0"/>
        <w:pageBreakBefore w:val="0"/>
        <w:kinsoku/>
        <w:wordWrap/>
        <w:bidi w:val="0"/>
        <w:spacing w:line="500" w:lineRule="exact"/>
        <w:ind w:left="410"/>
        <w:rPr>
          <w:color w:val="auto"/>
          <w:highlight w:val="none"/>
        </w:rPr>
      </w:pPr>
      <w:r>
        <w:rPr>
          <w:rFonts w:hint="eastAsia" w:cs="宋体"/>
          <w:color w:val="auto"/>
          <w:spacing w:val="3"/>
          <w:highlight w:val="none"/>
          <w:lang w:eastAsia="zh-CN"/>
        </w:rPr>
        <w:t>9.</w:t>
      </w:r>
      <w:r>
        <w:rPr>
          <w:rFonts w:hint="eastAsia" w:cs="宋体"/>
          <w:color w:val="auto"/>
          <w:spacing w:val="3"/>
          <w:highlight w:val="none"/>
        </w:rPr>
        <w:t>8</w:t>
      </w:r>
      <w:r>
        <w:rPr>
          <w:rFonts w:hint="eastAsia" w:cs="宋体"/>
          <w:color w:val="auto"/>
          <w:spacing w:val="3"/>
          <w:highlight w:val="none"/>
          <w:lang w:eastAsia="zh-CN"/>
        </w:rPr>
        <w:t>投标人</w:t>
      </w:r>
      <w:r>
        <w:rPr>
          <w:rFonts w:cs="宋体"/>
          <w:color w:val="auto"/>
          <w:spacing w:val="3"/>
          <w:highlight w:val="none"/>
        </w:rPr>
        <w:t>有责任对其供货产品提供终身维护，质保期内如设备出现重大故</w:t>
      </w:r>
      <w:r>
        <w:rPr>
          <w:rFonts w:cs="宋体"/>
          <w:color w:val="auto"/>
          <w:highlight w:val="none"/>
        </w:rPr>
        <w:t>障导致设备停止工作，质保期顺延，自故障修复之日起重新开始计算；</w:t>
      </w:r>
      <w:r>
        <w:rPr>
          <w:rFonts w:hint="eastAsia" w:ascii="宋体" w:hAnsi="宋体" w:eastAsia="宋体"/>
          <w:b/>
          <w:bCs/>
          <w:color w:val="auto"/>
          <w:sz w:val="24"/>
          <w:highlight w:val="none"/>
        </w:rPr>
        <w:t>软件终身免费升级。</w:t>
      </w:r>
    </w:p>
    <w:p>
      <w:pPr>
        <w:keepLines w:val="0"/>
        <w:pageBreakBefore w:val="0"/>
        <w:kinsoku/>
        <w:wordWrap/>
        <w:bidi w:val="0"/>
        <w:spacing w:line="500" w:lineRule="exact"/>
        <w:ind w:left="410"/>
        <w:rPr>
          <w:color w:val="auto"/>
          <w:highlight w:val="none"/>
        </w:rPr>
      </w:pPr>
      <w:r>
        <w:rPr>
          <w:rFonts w:hint="eastAsia" w:cs="宋体"/>
          <w:color w:val="auto"/>
          <w:spacing w:val="3"/>
          <w:highlight w:val="none"/>
          <w:lang w:eastAsia="zh-CN"/>
        </w:rPr>
        <w:t>9.</w:t>
      </w:r>
      <w:r>
        <w:rPr>
          <w:rFonts w:hint="eastAsia" w:cs="宋体"/>
          <w:color w:val="auto"/>
          <w:spacing w:val="3"/>
          <w:highlight w:val="none"/>
        </w:rPr>
        <w:t>9</w:t>
      </w:r>
      <w:r>
        <w:rPr>
          <w:rFonts w:hint="eastAsia" w:cs="宋体"/>
          <w:color w:val="auto"/>
          <w:spacing w:val="3"/>
          <w:highlight w:val="none"/>
          <w:lang w:eastAsia="zh-CN"/>
        </w:rPr>
        <w:t>投标人</w:t>
      </w:r>
      <w:r>
        <w:rPr>
          <w:rFonts w:cs="宋体"/>
          <w:color w:val="auto"/>
          <w:spacing w:val="3"/>
          <w:highlight w:val="none"/>
        </w:rPr>
        <w:t>应提供本设备所使用的易损易耗产品清单（如有），内容包括名</w:t>
      </w:r>
      <w:r>
        <w:rPr>
          <w:rFonts w:cs="宋体"/>
          <w:color w:val="auto"/>
          <w:highlight w:val="none"/>
        </w:rPr>
        <w:t>称、代号、规格型号、厂商等；</w:t>
      </w:r>
    </w:p>
    <w:p>
      <w:pPr>
        <w:keepLines w:val="0"/>
        <w:pageBreakBefore w:val="0"/>
        <w:kinsoku/>
        <w:wordWrap/>
        <w:bidi w:val="0"/>
        <w:spacing w:line="500" w:lineRule="exact"/>
        <w:ind w:left="410"/>
        <w:rPr>
          <w:b/>
          <w:bCs/>
          <w:color w:val="auto"/>
          <w:highlight w:val="none"/>
        </w:rPr>
      </w:pPr>
      <w:r>
        <w:rPr>
          <w:rFonts w:hint="eastAsia" w:cs="宋体"/>
          <w:color w:val="auto"/>
          <w:spacing w:val="3"/>
          <w:highlight w:val="none"/>
          <w:lang w:eastAsia="zh-CN"/>
        </w:rPr>
        <w:t>9.</w:t>
      </w:r>
      <w:r>
        <w:rPr>
          <w:rFonts w:hint="eastAsia" w:cs="宋体"/>
          <w:color w:val="auto"/>
          <w:spacing w:val="3"/>
          <w:highlight w:val="none"/>
        </w:rPr>
        <w:t>10</w:t>
      </w:r>
      <w:r>
        <w:rPr>
          <w:rFonts w:cs="宋体"/>
          <w:b/>
          <w:bCs/>
          <w:color w:val="auto"/>
          <w:spacing w:val="3"/>
          <w:highlight w:val="none"/>
        </w:rPr>
        <w:t>厂商技术工程师须免费到现场对采购方技术人员进行不少</w:t>
      </w:r>
      <w:r>
        <w:rPr>
          <w:rFonts w:cs="宋体"/>
          <w:b/>
          <w:bCs/>
          <w:color w:val="auto"/>
          <w:spacing w:val="3"/>
          <w:highlight w:val="none"/>
        </w:rPr>
        <w:t>于</w:t>
      </w:r>
      <w:r>
        <w:rPr>
          <w:rFonts w:hint="eastAsia"/>
          <w:b/>
          <w:bCs/>
          <w:color w:val="auto"/>
          <w:highlight w:val="none"/>
        </w:rPr>
        <w:t>3</w:t>
      </w:r>
      <w:r>
        <w:rPr>
          <w:rFonts w:cs="宋体"/>
          <w:b/>
          <w:bCs/>
          <w:color w:val="auto"/>
          <w:spacing w:val="3"/>
          <w:highlight w:val="none"/>
        </w:rPr>
        <w:t>天</w:t>
      </w:r>
      <w:r>
        <w:rPr>
          <w:rFonts w:cs="宋体"/>
          <w:b/>
          <w:bCs/>
          <w:color w:val="auto"/>
          <w:spacing w:val="3"/>
          <w:highlight w:val="none"/>
        </w:rPr>
        <w:t>的设备</w:t>
      </w:r>
      <w:r>
        <w:rPr>
          <w:rFonts w:cs="宋体"/>
          <w:b/>
          <w:bCs/>
          <w:color w:val="auto"/>
          <w:highlight w:val="none"/>
        </w:rPr>
        <w:t>使用培训；</w:t>
      </w:r>
    </w:p>
    <w:p>
      <w:pPr>
        <w:keepLines w:val="0"/>
        <w:pageBreakBefore w:val="0"/>
        <w:kinsoku/>
        <w:wordWrap/>
        <w:bidi w:val="0"/>
        <w:spacing w:line="500" w:lineRule="exact"/>
        <w:ind w:left="410"/>
        <w:rPr>
          <w:b/>
          <w:bCs/>
          <w:color w:val="auto"/>
          <w:highlight w:val="none"/>
        </w:rPr>
      </w:pPr>
      <w:r>
        <w:rPr>
          <w:rFonts w:hint="eastAsia" w:cs="宋体"/>
          <w:b/>
          <w:bCs/>
          <w:color w:val="auto"/>
          <w:spacing w:val="3"/>
          <w:highlight w:val="none"/>
          <w:lang w:eastAsia="zh-CN"/>
        </w:rPr>
        <w:t>9.</w:t>
      </w:r>
      <w:r>
        <w:rPr>
          <w:rFonts w:hint="eastAsia" w:cs="宋体"/>
          <w:b/>
          <w:bCs/>
          <w:color w:val="auto"/>
          <w:spacing w:val="3"/>
          <w:highlight w:val="none"/>
        </w:rPr>
        <w:t>11</w:t>
      </w:r>
      <w:r>
        <w:rPr>
          <w:rFonts w:hint="eastAsia" w:cs="宋体"/>
          <w:b/>
          <w:bCs/>
          <w:color w:val="auto"/>
          <w:spacing w:val="3"/>
          <w:highlight w:val="none"/>
          <w:lang w:eastAsia="zh-CN"/>
        </w:rPr>
        <w:t>投标人</w:t>
      </w:r>
      <w:r>
        <w:rPr>
          <w:rFonts w:cs="宋体"/>
          <w:b/>
          <w:bCs/>
          <w:color w:val="auto"/>
          <w:spacing w:val="3"/>
          <w:highlight w:val="none"/>
        </w:rPr>
        <w:t>应在接到采购方通知后</w:t>
      </w:r>
      <w:r>
        <w:rPr>
          <w:b/>
          <w:bCs/>
          <w:color w:val="auto"/>
          <w:spacing w:val="1"/>
          <w:highlight w:val="none"/>
        </w:rPr>
        <w:t xml:space="preserve"> </w:t>
      </w:r>
      <w:r>
        <w:rPr>
          <w:b/>
          <w:bCs/>
          <w:color w:val="auto"/>
          <w:highlight w:val="none"/>
        </w:rPr>
        <w:t>24</w:t>
      </w:r>
      <w:r>
        <w:rPr>
          <w:b/>
          <w:bCs/>
          <w:color w:val="auto"/>
          <w:spacing w:val="2"/>
          <w:highlight w:val="none"/>
        </w:rPr>
        <w:t xml:space="preserve"> </w:t>
      </w:r>
      <w:r>
        <w:rPr>
          <w:rFonts w:cs="宋体"/>
          <w:b/>
          <w:bCs/>
          <w:color w:val="auto"/>
          <w:spacing w:val="4"/>
          <w:highlight w:val="none"/>
        </w:rPr>
        <w:t>小时内响应，必要时</w:t>
      </w:r>
      <w:r>
        <w:rPr>
          <w:b/>
          <w:bCs/>
          <w:color w:val="auto"/>
          <w:spacing w:val="1"/>
          <w:highlight w:val="none"/>
        </w:rPr>
        <w:t xml:space="preserve"> </w:t>
      </w:r>
      <w:r>
        <w:rPr>
          <w:b/>
          <w:bCs/>
          <w:color w:val="auto"/>
          <w:highlight w:val="none"/>
        </w:rPr>
        <w:t>48</w:t>
      </w:r>
      <w:r>
        <w:rPr>
          <w:b/>
          <w:bCs/>
          <w:color w:val="auto"/>
          <w:spacing w:val="2"/>
          <w:highlight w:val="none"/>
        </w:rPr>
        <w:t xml:space="preserve"> </w:t>
      </w:r>
      <w:r>
        <w:rPr>
          <w:rFonts w:cs="宋体"/>
          <w:b/>
          <w:bCs/>
          <w:color w:val="auto"/>
          <w:spacing w:val="3"/>
          <w:highlight w:val="none"/>
        </w:rPr>
        <w:t>小时内赶到现</w:t>
      </w:r>
      <w:r>
        <w:rPr>
          <w:rFonts w:cs="宋体"/>
          <w:b/>
          <w:bCs/>
          <w:color w:val="auto"/>
          <w:highlight w:val="none"/>
        </w:rPr>
        <w:t>场，期间产生的费用及损失，除属采购方责任和不可抗力除外，均由</w:t>
      </w:r>
      <w:r>
        <w:rPr>
          <w:rFonts w:hint="eastAsia" w:cs="宋体"/>
          <w:b/>
          <w:bCs/>
          <w:color w:val="auto"/>
          <w:highlight w:val="none"/>
          <w:lang w:eastAsia="zh-CN"/>
        </w:rPr>
        <w:t>投标人</w:t>
      </w:r>
      <w:r>
        <w:rPr>
          <w:rFonts w:cs="宋体"/>
          <w:b/>
          <w:bCs/>
          <w:color w:val="auto"/>
          <w:highlight w:val="none"/>
        </w:rPr>
        <w:t>负责。</w:t>
      </w:r>
    </w:p>
    <w:p>
      <w:pPr>
        <w:keepLines w:val="0"/>
        <w:pageBreakBefore w:val="0"/>
        <w:kinsoku/>
        <w:wordWrap/>
        <w:bidi w:val="0"/>
        <w:spacing w:line="500" w:lineRule="exact"/>
        <w:ind w:left="410"/>
        <w:rPr>
          <w:color w:val="auto"/>
          <w:spacing w:val="-6"/>
          <w:highlight w:val="none"/>
        </w:rPr>
      </w:pPr>
    </w:p>
    <w:p>
      <w:pPr>
        <w:pStyle w:val="2"/>
        <w:bidi w:val="0"/>
        <w:rPr>
          <w:color w:val="auto"/>
          <w:highlight w:val="none"/>
        </w:rPr>
      </w:pPr>
      <w:bookmarkStart w:id="38" w:name="_Toc10126"/>
      <w:r>
        <w:rPr>
          <w:rFonts w:hint="eastAsia"/>
          <w:color w:val="auto"/>
          <w:spacing w:val="-6"/>
          <w:highlight w:val="none"/>
          <w:lang w:eastAsia="zh-CN"/>
        </w:rPr>
        <w:t>10.</w:t>
      </w:r>
      <w:r>
        <w:rPr>
          <w:rFonts w:cs="宋体"/>
          <w:color w:val="auto"/>
          <w:highlight w:val="none"/>
        </w:rPr>
        <w:t>验收</w:t>
      </w:r>
      <w:bookmarkEnd w:id="38"/>
    </w:p>
    <w:p>
      <w:pPr>
        <w:keepLines w:val="0"/>
        <w:pageBreakBefore w:val="0"/>
        <w:kinsoku/>
        <w:wordWrap/>
        <w:bidi w:val="0"/>
        <w:spacing w:line="500" w:lineRule="exact"/>
        <w:ind w:left="410"/>
        <w:rPr>
          <w:color w:val="auto"/>
          <w:highlight w:val="none"/>
        </w:rPr>
      </w:pPr>
      <w:r>
        <w:rPr>
          <w:rFonts w:hint="eastAsia"/>
          <w:color w:val="auto"/>
          <w:spacing w:val="-2"/>
          <w:highlight w:val="none"/>
          <w:lang w:eastAsia="zh-CN"/>
        </w:rPr>
        <w:t>10.</w:t>
      </w:r>
      <w:r>
        <w:rPr>
          <w:color w:val="auto"/>
          <w:spacing w:val="-2"/>
          <w:highlight w:val="none"/>
        </w:rPr>
        <w:t>1</w:t>
      </w:r>
      <w:r>
        <w:rPr>
          <w:color w:val="auto"/>
          <w:spacing w:val="60"/>
          <w:highlight w:val="none"/>
        </w:rPr>
        <w:t xml:space="preserve"> </w:t>
      </w:r>
      <w:r>
        <w:rPr>
          <w:rFonts w:hint="eastAsia" w:cs="宋体"/>
          <w:color w:val="auto"/>
          <w:spacing w:val="2"/>
          <w:highlight w:val="none"/>
          <w:lang w:eastAsia="zh-CN"/>
        </w:rPr>
        <w:t>投标人</w:t>
      </w:r>
      <w:r>
        <w:rPr>
          <w:rFonts w:cs="宋体"/>
          <w:color w:val="auto"/>
          <w:spacing w:val="2"/>
          <w:highlight w:val="none"/>
        </w:rPr>
        <w:t>依据技术规范所要求内容供货，采购方根据采购技术规范内容验</w:t>
      </w:r>
      <w:r>
        <w:rPr>
          <w:rFonts w:cs="宋体"/>
          <w:color w:val="auto"/>
          <w:spacing w:val="3"/>
          <w:highlight w:val="none"/>
        </w:rPr>
        <w:t>收，如</w:t>
      </w:r>
      <w:r>
        <w:rPr>
          <w:rFonts w:hint="eastAsia" w:cs="宋体"/>
          <w:color w:val="auto"/>
          <w:spacing w:val="3"/>
          <w:highlight w:val="none"/>
          <w:lang w:eastAsia="zh-CN"/>
        </w:rPr>
        <w:t>投标人</w:t>
      </w:r>
      <w:r>
        <w:rPr>
          <w:rFonts w:cs="宋体"/>
          <w:color w:val="auto"/>
          <w:spacing w:val="3"/>
          <w:highlight w:val="none"/>
        </w:rPr>
        <w:t>提供货物与技术规范书存在差异，又未在报价差异表中列出的，采购</w:t>
      </w:r>
      <w:r>
        <w:rPr>
          <w:rFonts w:cs="宋体"/>
          <w:color w:val="auto"/>
          <w:highlight w:val="none"/>
        </w:rPr>
        <w:t>方有权拒收。</w:t>
      </w:r>
    </w:p>
    <w:p>
      <w:pPr>
        <w:keepLines w:val="0"/>
        <w:pageBreakBefore w:val="0"/>
        <w:kinsoku/>
        <w:wordWrap/>
        <w:bidi w:val="0"/>
        <w:spacing w:line="500" w:lineRule="exact"/>
        <w:ind w:left="410"/>
        <w:rPr>
          <w:color w:val="auto"/>
          <w:highlight w:val="none"/>
        </w:rPr>
      </w:pPr>
      <w:r>
        <w:rPr>
          <w:rFonts w:hint="eastAsia"/>
          <w:color w:val="auto"/>
          <w:spacing w:val="-2"/>
          <w:highlight w:val="none"/>
          <w:lang w:eastAsia="zh-CN"/>
        </w:rPr>
        <w:t>10.</w:t>
      </w:r>
      <w:r>
        <w:rPr>
          <w:color w:val="auto"/>
          <w:spacing w:val="-2"/>
          <w:highlight w:val="none"/>
        </w:rPr>
        <w:t>2</w:t>
      </w:r>
      <w:r>
        <w:rPr>
          <w:color w:val="auto"/>
          <w:spacing w:val="60"/>
          <w:highlight w:val="none"/>
        </w:rPr>
        <w:t xml:space="preserve"> </w:t>
      </w:r>
      <w:r>
        <w:rPr>
          <w:rFonts w:cs="宋体"/>
          <w:color w:val="auto"/>
          <w:highlight w:val="none"/>
        </w:rPr>
        <w:t>到货验收</w:t>
      </w:r>
    </w:p>
    <w:p>
      <w:pPr>
        <w:keepLines w:val="0"/>
        <w:pageBreakBefore w:val="0"/>
        <w:kinsoku/>
        <w:wordWrap/>
        <w:bidi w:val="0"/>
        <w:spacing w:line="500" w:lineRule="exact"/>
        <w:ind w:left="410"/>
        <w:rPr>
          <w:rFonts w:hint="eastAsia" w:eastAsia="宋体" w:cs="宋体"/>
          <w:b/>
          <w:bCs/>
          <w:color w:val="auto"/>
          <w:highlight w:val="none"/>
          <w:lang w:eastAsia="zh-CN"/>
        </w:rPr>
      </w:pPr>
      <w:r>
        <w:rPr>
          <w:rFonts w:cs="宋体"/>
          <w:color w:val="auto"/>
          <w:spacing w:val="3"/>
          <w:highlight w:val="none"/>
        </w:rPr>
        <w:t>到货验收分为开箱验收和功能验收</w:t>
      </w:r>
      <w:r>
        <w:rPr>
          <w:rFonts w:hint="eastAsia" w:cs="宋体"/>
          <w:color w:val="auto"/>
          <w:spacing w:val="3"/>
          <w:highlight w:val="none"/>
          <w:lang w:eastAsia="zh-CN"/>
        </w:rPr>
        <w:t>。</w:t>
      </w:r>
      <w:r>
        <w:rPr>
          <w:rFonts w:cs="宋体"/>
          <w:b/>
          <w:bCs/>
          <w:color w:val="auto"/>
          <w:spacing w:val="3"/>
          <w:highlight w:val="none"/>
        </w:rPr>
        <w:t>开箱验收包括对</w:t>
      </w:r>
      <w:r>
        <w:rPr>
          <w:rFonts w:cs="宋体"/>
          <w:b/>
          <w:bCs/>
          <w:color w:val="auto"/>
          <w:spacing w:val="1"/>
          <w:highlight w:val="none"/>
        </w:rPr>
        <w:t>仪</w:t>
      </w:r>
      <w:r>
        <w:rPr>
          <w:rFonts w:hint="eastAsia" w:cs="宋体"/>
          <w:b/>
          <w:bCs/>
          <w:color w:val="auto"/>
          <w:spacing w:val="1"/>
          <w:highlight w:val="none"/>
        </w:rPr>
        <w:t>器</w:t>
      </w:r>
      <w:r>
        <w:rPr>
          <w:rFonts w:cs="宋体"/>
          <w:b/>
          <w:bCs/>
          <w:color w:val="auto"/>
          <w:spacing w:val="1"/>
          <w:highlight w:val="none"/>
        </w:rPr>
        <w:t>、</w:t>
      </w:r>
      <w:r>
        <w:rPr>
          <w:rFonts w:hint="eastAsia" w:cs="宋体"/>
          <w:b/>
          <w:bCs/>
          <w:color w:val="auto"/>
          <w:spacing w:val="1"/>
          <w:highlight w:val="none"/>
        </w:rPr>
        <w:t>配件</w:t>
      </w:r>
      <w:r>
        <w:rPr>
          <w:rFonts w:cs="宋体"/>
          <w:b/>
          <w:bCs/>
          <w:color w:val="auto"/>
          <w:spacing w:val="1"/>
          <w:highlight w:val="none"/>
        </w:rPr>
        <w:t>、</w:t>
      </w:r>
      <w:r>
        <w:rPr>
          <w:rFonts w:hint="eastAsia" w:cs="宋体"/>
          <w:b/>
          <w:bCs/>
          <w:color w:val="auto"/>
          <w:spacing w:val="1"/>
          <w:highlight w:val="none"/>
          <w:lang w:val="en-US" w:eastAsia="zh-CN"/>
        </w:rPr>
        <w:t>第三方校准</w:t>
      </w:r>
      <w:r>
        <w:rPr>
          <w:rFonts w:cs="宋体"/>
          <w:b/>
          <w:bCs/>
          <w:color w:val="auto"/>
          <w:spacing w:val="1"/>
          <w:highlight w:val="none"/>
        </w:rPr>
        <w:t>报告和合格证等设备</w:t>
      </w:r>
      <w:r>
        <w:rPr>
          <w:b/>
          <w:bCs/>
          <w:color w:val="auto"/>
          <w:spacing w:val="3"/>
          <w:highlight w:val="none"/>
        </w:rPr>
        <w:t>/</w:t>
      </w:r>
      <w:r>
        <w:rPr>
          <w:rFonts w:cs="宋体"/>
          <w:b/>
          <w:bCs/>
          <w:color w:val="auto"/>
          <w:spacing w:val="1"/>
          <w:highlight w:val="none"/>
        </w:rPr>
        <w:t>材料是否齐全；功能验收指设备</w:t>
      </w:r>
      <w:r>
        <w:rPr>
          <w:rFonts w:cs="宋体"/>
          <w:b/>
          <w:bCs/>
          <w:color w:val="auto"/>
          <w:highlight w:val="none"/>
        </w:rPr>
        <w:t>各项功能参数是否满足技术规范要求</w:t>
      </w:r>
      <w:r>
        <w:rPr>
          <w:rFonts w:hint="eastAsia" w:cs="宋体"/>
          <w:b/>
          <w:bCs/>
          <w:color w:val="auto"/>
          <w:highlight w:val="none"/>
          <w:lang w:eastAsia="zh-CN"/>
        </w:rPr>
        <w:t>。</w:t>
      </w:r>
    </w:p>
    <w:p>
      <w:pPr>
        <w:keepLines w:val="0"/>
        <w:pageBreakBefore w:val="0"/>
        <w:kinsoku/>
        <w:wordWrap/>
        <w:bidi w:val="0"/>
        <w:spacing w:line="500" w:lineRule="exact"/>
        <w:ind w:left="410"/>
        <w:rPr>
          <w:color w:val="auto"/>
          <w:highlight w:val="none"/>
        </w:rPr>
      </w:pPr>
      <w:r>
        <w:rPr>
          <w:rFonts w:hint="eastAsia"/>
          <w:color w:val="auto"/>
          <w:spacing w:val="-2"/>
          <w:highlight w:val="none"/>
          <w:lang w:eastAsia="zh-CN"/>
        </w:rPr>
        <w:t>10.</w:t>
      </w:r>
      <w:r>
        <w:rPr>
          <w:color w:val="auto"/>
          <w:spacing w:val="-2"/>
          <w:highlight w:val="none"/>
        </w:rPr>
        <w:t>3</w:t>
      </w:r>
      <w:r>
        <w:rPr>
          <w:color w:val="auto"/>
          <w:spacing w:val="60"/>
          <w:highlight w:val="none"/>
        </w:rPr>
        <w:t xml:space="preserve"> </w:t>
      </w:r>
      <w:r>
        <w:rPr>
          <w:rFonts w:cs="宋体"/>
          <w:color w:val="auto"/>
          <w:highlight w:val="none"/>
        </w:rPr>
        <w:t>现场验收</w:t>
      </w:r>
    </w:p>
    <w:p>
      <w:pPr>
        <w:keepLines w:val="0"/>
        <w:pageBreakBefore w:val="0"/>
        <w:kinsoku/>
        <w:wordWrap/>
        <w:bidi w:val="0"/>
        <w:spacing w:line="500" w:lineRule="exact"/>
        <w:ind w:left="410"/>
        <w:rPr>
          <w:color w:val="auto"/>
          <w:highlight w:val="none"/>
        </w:rPr>
      </w:pPr>
      <w:r>
        <w:rPr>
          <w:rFonts w:cs="宋体"/>
          <w:color w:val="auto"/>
          <w:spacing w:val="3"/>
          <w:highlight w:val="none"/>
        </w:rPr>
        <w:t>在采购方指定试验室安装调试完成后，以</w:t>
      </w:r>
      <w:r>
        <w:rPr>
          <w:rFonts w:hint="eastAsia" w:cs="宋体"/>
          <w:color w:val="auto"/>
          <w:spacing w:val="3"/>
          <w:highlight w:val="none"/>
          <w:lang w:eastAsia="zh-CN"/>
        </w:rPr>
        <w:t>投标人</w:t>
      </w:r>
      <w:r>
        <w:rPr>
          <w:rFonts w:cs="宋体"/>
          <w:color w:val="auto"/>
          <w:spacing w:val="3"/>
          <w:highlight w:val="none"/>
        </w:rPr>
        <w:t>协助采购方完成技术培训内</w:t>
      </w:r>
      <w:r>
        <w:rPr>
          <w:rFonts w:cs="宋体"/>
          <w:color w:val="auto"/>
          <w:highlight w:val="none"/>
        </w:rPr>
        <w:t>容为标准进行验收，验收合格后由</w:t>
      </w:r>
      <w:r>
        <w:rPr>
          <w:rFonts w:hint="eastAsia" w:cs="宋体"/>
          <w:color w:val="auto"/>
          <w:highlight w:val="none"/>
          <w:lang w:eastAsia="zh-CN"/>
        </w:rPr>
        <w:t>投标人</w:t>
      </w:r>
      <w:r>
        <w:rPr>
          <w:rFonts w:cs="宋体"/>
          <w:color w:val="auto"/>
          <w:highlight w:val="none"/>
        </w:rPr>
        <w:t>提供验收报告。</w:t>
      </w:r>
    </w:p>
    <w:p>
      <w:pPr>
        <w:pStyle w:val="2"/>
        <w:bidi w:val="0"/>
        <w:rPr>
          <w:color w:val="auto"/>
          <w:highlight w:val="none"/>
        </w:rPr>
      </w:pPr>
      <w:bookmarkStart w:id="39" w:name="_Toc22211"/>
      <w:r>
        <w:rPr>
          <w:color w:val="auto"/>
          <w:highlight w:val="none"/>
        </w:rPr>
        <w:t>1</w:t>
      </w:r>
      <w:r>
        <w:rPr>
          <w:rFonts w:hint="eastAsia"/>
          <w:color w:val="auto"/>
          <w:highlight w:val="none"/>
          <w:lang w:val="en-US" w:eastAsia="zh-CN"/>
        </w:rPr>
        <w:t>1</w:t>
      </w:r>
      <w:r>
        <w:rPr>
          <w:color w:val="auto"/>
          <w:highlight w:val="none"/>
        </w:rPr>
        <w:t>.</w:t>
      </w:r>
      <w:r>
        <w:rPr>
          <w:rFonts w:cs="宋体"/>
          <w:color w:val="auto"/>
          <w:spacing w:val="1"/>
          <w:highlight w:val="none"/>
        </w:rPr>
        <w:t>技术差异表</w:t>
      </w:r>
      <w:bookmarkEnd w:id="39"/>
    </w:p>
    <w:p>
      <w:pPr>
        <w:keepLines w:val="0"/>
        <w:pageBreakBefore w:val="0"/>
        <w:kinsoku/>
        <w:wordWrap/>
        <w:bidi w:val="0"/>
        <w:spacing w:line="500" w:lineRule="exact"/>
        <w:ind w:left="410"/>
        <w:rPr>
          <w:color w:val="auto"/>
          <w:highlight w:val="none"/>
        </w:rPr>
      </w:pPr>
      <w:r>
        <w:rPr>
          <w:rFonts w:hint="eastAsia" w:cs="宋体"/>
          <w:color w:val="auto"/>
          <w:spacing w:val="-1"/>
          <w:highlight w:val="none"/>
        </w:rPr>
        <w:tab/>
      </w:r>
      <w:r>
        <w:rPr>
          <w:rFonts w:hint="eastAsia" w:cs="宋体"/>
          <w:color w:val="auto"/>
          <w:spacing w:val="-1"/>
          <w:highlight w:val="none"/>
        </w:rPr>
        <w:tab/>
      </w:r>
      <w:r>
        <w:rPr>
          <w:rFonts w:hint="eastAsia" w:cs="宋体"/>
          <w:color w:val="auto"/>
          <w:spacing w:val="-1"/>
          <w:highlight w:val="none"/>
          <w:lang w:eastAsia="zh-CN"/>
        </w:rPr>
        <w:t>投标人</w:t>
      </w:r>
      <w:r>
        <w:rPr>
          <w:rFonts w:cs="宋体"/>
          <w:color w:val="auto"/>
          <w:spacing w:val="-1"/>
          <w:highlight w:val="none"/>
        </w:rPr>
        <w:t>应将所供设备与本采购书技术文件有差异之处，无论优于或劣于本</w:t>
      </w:r>
      <w:r>
        <w:rPr>
          <w:rFonts w:hint="eastAsia" w:cs="宋体"/>
          <w:color w:val="auto"/>
          <w:spacing w:val="-1"/>
          <w:highlight w:val="none"/>
        </w:rPr>
        <w:t>规范书</w:t>
      </w:r>
      <w:r>
        <w:rPr>
          <w:rFonts w:cs="宋体"/>
          <w:color w:val="auto"/>
          <w:highlight w:val="none"/>
        </w:rPr>
        <w:t>要求，均汇集成此表。</w:t>
      </w:r>
    </w:p>
    <w:p>
      <w:pPr>
        <w:keepLines w:val="0"/>
        <w:pageBreakBefore w:val="0"/>
        <w:kinsoku/>
        <w:wordWrap/>
        <w:bidi w:val="0"/>
        <w:spacing w:line="500" w:lineRule="exact"/>
        <w:ind w:left="410"/>
        <w:rPr>
          <w:color w:val="auto"/>
          <w:highlight w:val="none"/>
        </w:rPr>
      </w:pPr>
      <w:r>
        <w:rPr>
          <w:rFonts w:cs="宋体"/>
          <w:color w:val="auto"/>
          <w:highlight w:val="none"/>
        </w:rPr>
        <w:t>技术差异表</w:t>
      </w:r>
    </w:p>
    <w:tbl>
      <w:tblPr>
        <w:tblStyle w:val="15"/>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color w:val="auto"/>
                <w:highlight w:val="none"/>
              </w:rPr>
            </w:pPr>
            <w:r>
              <w:rPr>
                <w:rFonts w:hint="eastAsia"/>
                <w:color w:val="auto"/>
                <w:highlight w:val="none"/>
              </w:rPr>
              <w:t>序号</w:t>
            </w:r>
          </w:p>
        </w:tc>
        <w:tc>
          <w:tcPr>
            <w:tcW w:w="4313" w:type="dxa"/>
            <w:gridSpan w:val="2"/>
            <w:vAlign w:val="center"/>
          </w:tcPr>
          <w:p>
            <w:pPr>
              <w:keepLines w:val="0"/>
              <w:pageBreakBefore w:val="0"/>
              <w:kinsoku/>
              <w:wordWrap/>
              <w:bidi w:val="0"/>
              <w:spacing w:line="500" w:lineRule="exact"/>
              <w:ind w:left="410"/>
              <w:jc w:val="center"/>
              <w:rPr>
                <w:color w:val="auto"/>
                <w:highlight w:val="none"/>
              </w:rPr>
            </w:pPr>
            <w:r>
              <w:rPr>
                <w:rFonts w:hint="eastAsia"/>
                <w:color w:val="auto"/>
                <w:highlight w:val="none"/>
              </w:rPr>
              <w:t>采购文件</w:t>
            </w:r>
          </w:p>
        </w:tc>
        <w:tc>
          <w:tcPr>
            <w:tcW w:w="4369" w:type="dxa"/>
            <w:gridSpan w:val="2"/>
            <w:vAlign w:val="center"/>
          </w:tcPr>
          <w:p>
            <w:pPr>
              <w:keepLines w:val="0"/>
              <w:pageBreakBefore w:val="0"/>
              <w:kinsoku/>
              <w:wordWrap/>
              <w:bidi w:val="0"/>
              <w:spacing w:line="500" w:lineRule="exact"/>
              <w:ind w:left="410"/>
              <w:jc w:val="center"/>
              <w:rPr>
                <w:color w:val="auto"/>
                <w:highlight w:val="none"/>
              </w:rPr>
            </w:pPr>
            <w:r>
              <w:rPr>
                <w:rFonts w:hint="eastAsia"/>
                <w:color w:val="auto"/>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color w:val="auto"/>
                <w:highlight w:val="none"/>
              </w:rPr>
            </w:pPr>
          </w:p>
        </w:tc>
        <w:tc>
          <w:tcPr>
            <w:tcW w:w="2077" w:type="dxa"/>
            <w:vAlign w:val="center"/>
          </w:tcPr>
          <w:p>
            <w:pPr>
              <w:keepLines w:val="0"/>
              <w:pageBreakBefore w:val="0"/>
              <w:kinsoku/>
              <w:wordWrap/>
              <w:bidi w:val="0"/>
              <w:spacing w:line="500" w:lineRule="exact"/>
              <w:ind w:left="410"/>
              <w:jc w:val="center"/>
              <w:rPr>
                <w:color w:val="auto"/>
                <w:highlight w:val="none"/>
              </w:rPr>
            </w:pPr>
            <w:r>
              <w:rPr>
                <w:rFonts w:hint="eastAsia"/>
                <w:color w:val="auto"/>
                <w:highlight w:val="none"/>
              </w:rPr>
              <w:t>条目</w:t>
            </w:r>
          </w:p>
        </w:tc>
        <w:tc>
          <w:tcPr>
            <w:tcW w:w="2236" w:type="dxa"/>
            <w:vAlign w:val="center"/>
          </w:tcPr>
          <w:p>
            <w:pPr>
              <w:keepLines w:val="0"/>
              <w:pageBreakBefore w:val="0"/>
              <w:kinsoku/>
              <w:wordWrap/>
              <w:bidi w:val="0"/>
              <w:spacing w:line="500" w:lineRule="exact"/>
              <w:ind w:left="410"/>
              <w:jc w:val="center"/>
              <w:rPr>
                <w:color w:val="auto"/>
                <w:highlight w:val="none"/>
              </w:rPr>
            </w:pPr>
            <w:r>
              <w:rPr>
                <w:rFonts w:hint="eastAsia"/>
                <w:color w:val="auto"/>
                <w:highlight w:val="none"/>
              </w:rPr>
              <w:t>简要内容</w:t>
            </w:r>
          </w:p>
        </w:tc>
        <w:tc>
          <w:tcPr>
            <w:tcW w:w="2077" w:type="dxa"/>
            <w:vAlign w:val="center"/>
          </w:tcPr>
          <w:p>
            <w:pPr>
              <w:keepLines w:val="0"/>
              <w:pageBreakBefore w:val="0"/>
              <w:kinsoku/>
              <w:wordWrap/>
              <w:bidi w:val="0"/>
              <w:spacing w:line="500" w:lineRule="exact"/>
              <w:ind w:left="410"/>
              <w:jc w:val="center"/>
              <w:rPr>
                <w:color w:val="auto"/>
                <w:highlight w:val="none"/>
              </w:rPr>
            </w:pPr>
            <w:r>
              <w:rPr>
                <w:rFonts w:hint="eastAsia"/>
                <w:color w:val="auto"/>
                <w:highlight w:val="none"/>
              </w:rPr>
              <w:t>条目</w:t>
            </w:r>
          </w:p>
        </w:tc>
        <w:tc>
          <w:tcPr>
            <w:tcW w:w="2292" w:type="dxa"/>
            <w:vAlign w:val="center"/>
          </w:tcPr>
          <w:p>
            <w:pPr>
              <w:keepLines w:val="0"/>
              <w:pageBreakBefore w:val="0"/>
              <w:kinsoku/>
              <w:wordWrap/>
              <w:bidi w:val="0"/>
              <w:spacing w:line="500" w:lineRule="exact"/>
              <w:ind w:left="410"/>
              <w:jc w:val="center"/>
              <w:rPr>
                <w:color w:val="auto"/>
                <w:highlight w:val="none"/>
              </w:rPr>
            </w:pPr>
            <w:r>
              <w:rPr>
                <w:rFonts w:hint="eastAsia"/>
                <w:color w:val="auto"/>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4"/>
              </w:numPr>
              <w:kinsoku/>
              <w:wordWrap/>
              <w:bidi w:val="0"/>
              <w:spacing w:line="500" w:lineRule="exact"/>
              <w:ind w:leftChars="0"/>
              <w:jc w:val="both"/>
              <w:rPr>
                <w:color w:val="auto"/>
                <w:highlight w:val="none"/>
              </w:rPr>
            </w:pPr>
          </w:p>
        </w:tc>
        <w:tc>
          <w:tcPr>
            <w:tcW w:w="2077" w:type="dxa"/>
          </w:tcPr>
          <w:p>
            <w:pPr>
              <w:keepLines w:val="0"/>
              <w:pageBreakBefore w:val="0"/>
              <w:kinsoku/>
              <w:wordWrap/>
              <w:bidi w:val="0"/>
              <w:spacing w:line="500" w:lineRule="exact"/>
              <w:ind w:left="410"/>
              <w:rPr>
                <w:color w:val="auto"/>
                <w:highlight w:val="none"/>
              </w:rPr>
            </w:pPr>
          </w:p>
        </w:tc>
        <w:tc>
          <w:tcPr>
            <w:tcW w:w="2236" w:type="dxa"/>
          </w:tcPr>
          <w:p>
            <w:pPr>
              <w:keepLines w:val="0"/>
              <w:pageBreakBefore w:val="0"/>
              <w:kinsoku/>
              <w:wordWrap/>
              <w:bidi w:val="0"/>
              <w:spacing w:line="500" w:lineRule="exact"/>
              <w:ind w:left="410"/>
              <w:rPr>
                <w:color w:val="auto"/>
                <w:highlight w:val="none"/>
              </w:rPr>
            </w:pPr>
          </w:p>
        </w:tc>
        <w:tc>
          <w:tcPr>
            <w:tcW w:w="2077" w:type="dxa"/>
          </w:tcPr>
          <w:p>
            <w:pPr>
              <w:keepLines w:val="0"/>
              <w:pageBreakBefore w:val="0"/>
              <w:kinsoku/>
              <w:wordWrap/>
              <w:bidi w:val="0"/>
              <w:spacing w:line="500" w:lineRule="exact"/>
              <w:ind w:left="410"/>
              <w:rPr>
                <w:color w:val="auto"/>
                <w:highlight w:val="none"/>
              </w:rPr>
            </w:pPr>
          </w:p>
        </w:tc>
        <w:tc>
          <w:tcPr>
            <w:tcW w:w="2292" w:type="dxa"/>
          </w:tcPr>
          <w:p>
            <w:pPr>
              <w:keepLines w:val="0"/>
              <w:pageBreakBefore w:val="0"/>
              <w:kinsoku/>
              <w:wordWrap/>
              <w:bidi w:val="0"/>
              <w:spacing w:line="500" w:lineRule="exact"/>
              <w:ind w:left="410"/>
              <w:jc w:val="center"/>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4"/>
              </w:numPr>
              <w:kinsoku/>
              <w:wordWrap/>
              <w:bidi w:val="0"/>
              <w:spacing w:line="500" w:lineRule="exact"/>
              <w:ind w:leftChars="0"/>
              <w:jc w:val="both"/>
              <w:rPr>
                <w:color w:val="auto"/>
                <w:highlight w:val="none"/>
              </w:rPr>
            </w:pPr>
          </w:p>
        </w:tc>
        <w:tc>
          <w:tcPr>
            <w:tcW w:w="2077" w:type="dxa"/>
          </w:tcPr>
          <w:p>
            <w:pPr>
              <w:keepLines w:val="0"/>
              <w:pageBreakBefore w:val="0"/>
              <w:kinsoku/>
              <w:wordWrap/>
              <w:bidi w:val="0"/>
              <w:spacing w:line="500" w:lineRule="exact"/>
              <w:ind w:left="410"/>
              <w:rPr>
                <w:color w:val="auto"/>
                <w:highlight w:val="none"/>
              </w:rPr>
            </w:pPr>
          </w:p>
        </w:tc>
        <w:tc>
          <w:tcPr>
            <w:tcW w:w="2236" w:type="dxa"/>
          </w:tcPr>
          <w:p>
            <w:pPr>
              <w:keepLines w:val="0"/>
              <w:pageBreakBefore w:val="0"/>
              <w:kinsoku/>
              <w:wordWrap/>
              <w:bidi w:val="0"/>
              <w:spacing w:line="500" w:lineRule="exact"/>
              <w:ind w:left="410"/>
              <w:rPr>
                <w:color w:val="auto"/>
                <w:highlight w:val="none"/>
              </w:rPr>
            </w:pPr>
          </w:p>
        </w:tc>
        <w:tc>
          <w:tcPr>
            <w:tcW w:w="2077" w:type="dxa"/>
          </w:tcPr>
          <w:p>
            <w:pPr>
              <w:keepLines w:val="0"/>
              <w:pageBreakBefore w:val="0"/>
              <w:kinsoku/>
              <w:wordWrap/>
              <w:bidi w:val="0"/>
              <w:spacing w:line="500" w:lineRule="exact"/>
              <w:ind w:left="410"/>
              <w:rPr>
                <w:color w:val="auto"/>
                <w:highlight w:val="none"/>
              </w:rPr>
            </w:pPr>
          </w:p>
        </w:tc>
        <w:tc>
          <w:tcPr>
            <w:tcW w:w="2292" w:type="dxa"/>
          </w:tcPr>
          <w:p>
            <w:pPr>
              <w:keepLines w:val="0"/>
              <w:pageBreakBefore w:val="0"/>
              <w:kinsoku/>
              <w:wordWrap/>
              <w:bidi w:val="0"/>
              <w:spacing w:line="500" w:lineRule="exact"/>
              <w:ind w:left="410"/>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4"/>
              </w:numPr>
              <w:kinsoku/>
              <w:wordWrap/>
              <w:bidi w:val="0"/>
              <w:spacing w:line="500" w:lineRule="exact"/>
              <w:ind w:leftChars="0"/>
              <w:jc w:val="both"/>
              <w:rPr>
                <w:color w:val="auto"/>
                <w:highlight w:val="none"/>
              </w:rPr>
            </w:pPr>
          </w:p>
        </w:tc>
        <w:tc>
          <w:tcPr>
            <w:tcW w:w="2077" w:type="dxa"/>
          </w:tcPr>
          <w:p>
            <w:pPr>
              <w:keepLines w:val="0"/>
              <w:pageBreakBefore w:val="0"/>
              <w:kinsoku/>
              <w:wordWrap/>
              <w:bidi w:val="0"/>
              <w:spacing w:line="500" w:lineRule="exact"/>
              <w:ind w:left="410"/>
              <w:rPr>
                <w:color w:val="auto"/>
                <w:highlight w:val="none"/>
              </w:rPr>
            </w:pPr>
          </w:p>
        </w:tc>
        <w:tc>
          <w:tcPr>
            <w:tcW w:w="2236" w:type="dxa"/>
          </w:tcPr>
          <w:p>
            <w:pPr>
              <w:keepLines w:val="0"/>
              <w:pageBreakBefore w:val="0"/>
              <w:kinsoku/>
              <w:wordWrap/>
              <w:bidi w:val="0"/>
              <w:spacing w:line="500" w:lineRule="exact"/>
              <w:ind w:left="410"/>
              <w:rPr>
                <w:color w:val="auto"/>
                <w:highlight w:val="none"/>
              </w:rPr>
            </w:pPr>
          </w:p>
        </w:tc>
        <w:tc>
          <w:tcPr>
            <w:tcW w:w="2077" w:type="dxa"/>
          </w:tcPr>
          <w:p>
            <w:pPr>
              <w:keepLines w:val="0"/>
              <w:pageBreakBefore w:val="0"/>
              <w:kinsoku/>
              <w:wordWrap/>
              <w:bidi w:val="0"/>
              <w:spacing w:line="500" w:lineRule="exact"/>
              <w:ind w:left="410"/>
              <w:rPr>
                <w:color w:val="auto"/>
                <w:highlight w:val="none"/>
              </w:rPr>
            </w:pPr>
          </w:p>
        </w:tc>
        <w:tc>
          <w:tcPr>
            <w:tcW w:w="2292" w:type="dxa"/>
          </w:tcPr>
          <w:p>
            <w:pPr>
              <w:keepLines w:val="0"/>
              <w:pageBreakBefore w:val="0"/>
              <w:kinsoku/>
              <w:wordWrap/>
              <w:bidi w:val="0"/>
              <w:spacing w:line="500" w:lineRule="exact"/>
              <w:ind w:left="410"/>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4"/>
              </w:numPr>
              <w:kinsoku/>
              <w:wordWrap/>
              <w:bidi w:val="0"/>
              <w:spacing w:line="500" w:lineRule="exact"/>
              <w:ind w:leftChars="0"/>
              <w:jc w:val="both"/>
              <w:rPr>
                <w:color w:val="auto"/>
                <w:highlight w:val="none"/>
              </w:rPr>
            </w:pPr>
          </w:p>
        </w:tc>
        <w:tc>
          <w:tcPr>
            <w:tcW w:w="2077" w:type="dxa"/>
          </w:tcPr>
          <w:p>
            <w:pPr>
              <w:keepLines w:val="0"/>
              <w:pageBreakBefore w:val="0"/>
              <w:kinsoku/>
              <w:wordWrap/>
              <w:bidi w:val="0"/>
              <w:spacing w:line="500" w:lineRule="exact"/>
              <w:ind w:left="410"/>
              <w:rPr>
                <w:color w:val="auto"/>
                <w:highlight w:val="none"/>
              </w:rPr>
            </w:pPr>
          </w:p>
        </w:tc>
        <w:tc>
          <w:tcPr>
            <w:tcW w:w="2236" w:type="dxa"/>
          </w:tcPr>
          <w:p>
            <w:pPr>
              <w:keepLines w:val="0"/>
              <w:pageBreakBefore w:val="0"/>
              <w:kinsoku/>
              <w:wordWrap/>
              <w:bidi w:val="0"/>
              <w:spacing w:line="500" w:lineRule="exact"/>
              <w:ind w:left="410"/>
              <w:rPr>
                <w:color w:val="auto"/>
                <w:highlight w:val="none"/>
              </w:rPr>
            </w:pPr>
          </w:p>
        </w:tc>
        <w:tc>
          <w:tcPr>
            <w:tcW w:w="2077" w:type="dxa"/>
          </w:tcPr>
          <w:p>
            <w:pPr>
              <w:keepLines w:val="0"/>
              <w:pageBreakBefore w:val="0"/>
              <w:kinsoku/>
              <w:wordWrap/>
              <w:bidi w:val="0"/>
              <w:spacing w:line="500" w:lineRule="exact"/>
              <w:ind w:left="410"/>
              <w:rPr>
                <w:color w:val="auto"/>
                <w:highlight w:val="none"/>
              </w:rPr>
            </w:pPr>
          </w:p>
        </w:tc>
        <w:tc>
          <w:tcPr>
            <w:tcW w:w="2292" w:type="dxa"/>
          </w:tcPr>
          <w:p>
            <w:pPr>
              <w:keepLines w:val="0"/>
              <w:pageBreakBefore w:val="0"/>
              <w:kinsoku/>
              <w:wordWrap/>
              <w:bidi w:val="0"/>
              <w:spacing w:line="500" w:lineRule="exact"/>
              <w:ind w:left="410"/>
              <w:rPr>
                <w:color w:val="auto"/>
                <w:highlight w:val="none"/>
              </w:rPr>
            </w:pPr>
          </w:p>
        </w:tc>
      </w:tr>
    </w:tbl>
    <w:p>
      <w:pPr>
        <w:pStyle w:val="14"/>
        <w:keepLines w:val="0"/>
        <w:pageBreakBefore w:val="0"/>
        <w:kinsoku/>
        <w:wordWrap/>
        <w:bidi w:val="0"/>
        <w:spacing w:line="500" w:lineRule="exact"/>
        <w:ind w:left="410" w:firstLine="240"/>
        <w:rPr>
          <w:color w:val="auto"/>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ArialMT-Identity-H">
    <w:altName w:val="Yu Gothic"/>
    <w:panose1 w:val="00000000000000000000"/>
    <w:charset w:val="80"/>
    <w:family w:val="auto"/>
    <w:pitch w:val="default"/>
    <w:sig w:usb0="00000000" w:usb1="00000000" w:usb2="00000010" w:usb3="00000000" w:csb0="00020000" w:csb1="00000000"/>
  </w:font>
  <w:font w:name="SimSun-Identity-H">
    <w:altName w:val="黑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FD0A4"/>
    <w:multiLevelType w:val="singleLevel"/>
    <w:tmpl w:val="85EFD0A4"/>
    <w:lvl w:ilvl="0" w:tentative="0">
      <w:start w:val="8"/>
      <w:numFmt w:val="decimal"/>
      <w:lvlText w:val="%1."/>
      <w:lvlJc w:val="left"/>
      <w:pPr>
        <w:tabs>
          <w:tab w:val="left" w:pos="312"/>
        </w:tabs>
      </w:pPr>
    </w:lvl>
  </w:abstractNum>
  <w:abstractNum w:abstractNumId="1">
    <w:nsid w:val="AEF24E6D"/>
    <w:multiLevelType w:val="singleLevel"/>
    <w:tmpl w:val="AEF24E6D"/>
    <w:lvl w:ilvl="0" w:tentative="0">
      <w:start w:val="1"/>
      <w:numFmt w:val="decimal"/>
      <w:lvlText w:val="(%1)"/>
      <w:lvlJc w:val="left"/>
      <w:pPr>
        <w:ind w:left="425" w:hanging="425"/>
      </w:pPr>
      <w:rPr>
        <w:rFonts w:hint="default"/>
      </w:rPr>
    </w:lvl>
  </w:abstractNum>
  <w:abstractNum w:abstractNumId="2">
    <w:nsid w:val="C4F44AEF"/>
    <w:multiLevelType w:val="singleLevel"/>
    <w:tmpl w:val="C4F44AEF"/>
    <w:lvl w:ilvl="0" w:tentative="0">
      <w:start w:val="1"/>
      <w:numFmt w:val="decimal"/>
      <w:lvlText w:val="(%1)"/>
      <w:lvlJc w:val="left"/>
      <w:pPr>
        <w:ind w:left="425" w:hanging="425"/>
      </w:pPr>
      <w:rPr>
        <w:rFonts w:hint="default"/>
      </w:rPr>
    </w:lvl>
  </w:abstractNum>
  <w:abstractNum w:abstractNumId="3">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C8A677F"/>
    <w:rsid w:val="0D344206"/>
    <w:rsid w:val="11624E20"/>
    <w:rsid w:val="13066AFF"/>
    <w:rsid w:val="16406CB6"/>
    <w:rsid w:val="17486E4C"/>
    <w:rsid w:val="18021834"/>
    <w:rsid w:val="19277699"/>
    <w:rsid w:val="1C79220A"/>
    <w:rsid w:val="1C8772B6"/>
    <w:rsid w:val="1D3614FA"/>
    <w:rsid w:val="1FA263E4"/>
    <w:rsid w:val="22703D10"/>
    <w:rsid w:val="23B96AFD"/>
    <w:rsid w:val="273F6164"/>
    <w:rsid w:val="27E502D5"/>
    <w:rsid w:val="29464C18"/>
    <w:rsid w:val="2B2A0492"/>
    <w:rsid w:val="2C3F36A7"/>
    <w:rsid w:val="2EAE6CA3"/>
    <w:rsid w:val="30427C69"/>
    <w:rsid w:val="320372EF"/>
    <w:rsid w:val="33342978"/>
    <w:rsid w:val="33C00172"/>
    <w:rsid w:val="34234DD5"/>
    <w:rsid w:val="34DB0F5E"/>
    <w:rsid w:val="366559E4"/>
    <w:rsid w:val="367B35A2"/>
    <w:rsid w:val="3988303A"/>
    <w:rsid w:val="3F3F3186"/>
    <w:rsid w:val="41F6735B"/>
    <w:rsid w:val="440525B4"/>
    <w:rsid w:val="476B4E24"/>
    <w:rsid w:val="4771622D"/>
    <w:rsid w:val="47874069"/>
    <w:rsid w:val="47B84838"/>
    <w:rsid w:val="48CC7BFD"/>
    <w:rsid w:val="49244D8F"/>
    <w:rsid w:val="51655545"/>
    <w:rsid w:val="56200118"/>
    <w:rsid w:val="566F0113"/>
    <w:rsid w:val="5813392B"/>
    <w:rsid w:val="58B95CBA"/>
    <w:rsid w:val="596D67DA"/>
    <w:rsid w:val="5A44578C"/>
    <w:rsid w:val="5C7A5B1A"/>
    <w:rsid w:val="5DAA70C1"/>
    <w:rsid w:val="5E375A3D"/>
    <w:rsid w:val="5E60690D"/>
    <w:rsid w:val="5EC33DB0"/>
    <w:rsid w:val="5F471779"/>
    <w:rsid w:val="60EC26DA"/>
    <w:rsid w:val="6268037D"/>
    <w:rsid w:val="62740596"/>
    <w:rsid w:val="62CD7EA4"/>
    <w:rsid w:val="65974683"/>
    <w:rsid w:val="68BA4FE1"/>
    <w:rsid w:val="694D6BE2"/>
    <w:rsid w:val="70CA591E"/>
    <w:rsid w:val="73DC31EB"/>
    <w:rsid w:val="76211CFF"/>
    <w:rsid w:val="77CE2584"/>
    <w:rsid w:val="7867742D"/>
    <w:rsid w:val="7C080BE5"/>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5"/>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0"/>
    <w:semiHidden/>
    <w:unhideWhenUsed/>
    <w:qFormat/>
    <w:uiPriority w:val="99"/>
    <w:pPr>
      <w:spacing w:after="120"/>
    </w:pPr>
  </w:style>
  <w:style w:type="paragraph" w:styleId="5">
    <w:name w:val="Plain Text"/>
    <w:basedOn w:val="1"/>
    <w:link w:val="27"/>
    <w:qFormat/>
    <w:uiPriority w:val="0"/>
    <w:rPr>
      <w:rFonts w:hAnsi="Courier New"/>
      <w:color w:val="auto"/>
      <w:sz w:val="21"/>
      <w:szCs w:val="20"/>
    </w:rPr>
  </w:style>
  <w:style w:type="paragraph" w:styleId="6">
    <w:name w:val="Date"/>
    <w:basedOn w:val="1"/>
    <w:next w:val="1"/>
    <w:uiPriority w:val="0"/>
    <w:pPr>
      <w:adjustRightInd w:val="0"/>
      <w:spacing w:line="360" w:lineRule="auto"/>
      <w:textAlignment w:val="baseline"/>
    </w:pPr>
    <w:rPr>
      <w:rFonts w:ascii="Arial"/>
      <w:color w:val="0000FF"/>
      <w:kern w:val="0"/>
      <w:sz w:val="24"/>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8"/>
    <w:semiHidden/>
    <w:unhideWhenUsed/>
    <w:qFormat/>
    <w:uiPriority w:val="99"/>
    <w:pPr>
      <w:spacing w:line="240" w:lineRule="auto"/>
    </w:pPr>
    <w:rPr>
      <w:sz w:val="18"/>
      <w:szCs w:val="18"/>
    </w:rPr>
  </w:style>
  <w:style w:type="paragraph" w:styleId="9">
    <w:name w:val="footer"/>
    <w:basedOn w:val="1"/>
    <w:link w:val="19"/>
    <w:unhideWhenUsed/>
    <w:qFormat/>
    <w:uiPriority w:val="99"/>
    <w:pPr>
      <w:tabs>
        <w:tab w:val="center" w:pos="4153"/>
        <w:tab w:val="right" w:pos="8306"/>
      </w:tabs>
      <w:snapToGrid w:val="0"/>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paragraph" w:styleId="13">
    <w:name w:val="Normal (Web)"/>
    <w:basedOn w:val="1"/>
    <w:qFormat/>
    <w:uiPriority w:val="0"/>
    <w:pPr>
      <w:spacing w:before="100" w:beforeAutospacing="1" w:after="100" w:afterAutospacing="1"/>
      <w:jc w:val="left"/>
    </w:pPr>
    <w:rPr>
      <w:kern w:val="0"/>
      <w:sz w:val="24"/>
    </w:rPr>
  </w:style>
  <w:style w:type="paragraph" w:styleId="14">
    <w:name w:val="Body Text First Indent"/>
    <w:basedOn w:val="4"/>
    <w:link w:val="21"/>
    <w:unhideWhenUsed/>
    <w:qFormat/>
    <w:uiPriority w:val="99"/>
    <w:pPr>
      <w:ind w:firstLine="420" w:firstLineChars="100"/>
    </w:pPr>
  </w:style>
  <w:style w:type="table" w:styleId="16">
    <w:name w:val="Table Grid"/>
    <w:basedOn w:val="1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页眉 字符"/>
    <w:basedOn w:val="17"/>
    <w:link w:val="10"/>
    <w:qFormat/>
    <w:uiPriority w:val="99"/>
    <w:rPr>
      <w:sz w:val="18"/>
      <w:szCs w:val="18"/>
    </w:rPr>
  </w:style>
  <w:style w:type="character" w:customStyle="1" w:styleId="19">
    <w:name w:val="页脚 字符"/>
    <w:basedOn w:val="17"/>
    <w:link w:val="9"/>
    <w:qFormat/>
    <w:uiPriority w:val="99"/>
    <w:rPr>
      <w:sz w:val="18"/>
      <w:szCs w:val="18"/>
    </w:rPr>
  </w:style>
  <w:style w:type="character" w:customStyle="1" w:styleId="20">
    <w:name w:val="正文文本 字符"/>
    <w:basedOn w:val="17"/>
    <w:link w:val="4"/>
    <w:semiHidden/>
    <w:qFormat/>
    <w:uiPriority w:val="99"/>
    <w:rPr>
      <w:rFonts w:ascii="宋体" w:hAnsi="宋体" w:eastAsia="宋体" w:cs="Times New Roman"/>
      <w:color w:val="000000"/>
      <w:sz w:val="24"/>
      <w:szCs w:val="24"/>
    </w:rPr>
  </w:style>
  <w:style w:type="character" w:customStyle="1" w:styleId="21">
    <w:name w:val="正文文本首行缩进 字符"/>
    <w:basedOn w:val="20"/>
    <w:link w:val="14"/>
    <w:qFormat/>
    <w:uiPriority w:val="99"/>
    <w:rPr>
      <w:rFonts w:ascii="宋体" w:hAnsi="宋体" w:eastAsia="宋体" w:cs="Times New Roman"/>
      <w:color w:val="000000"/>
      <w:sz w:val="24"/>
      <w:szCs w:val="24"/>
    </w:rPr>
  </w:style>
  <w:style w:type="paragraph" w:customStyle="1" w:styleId="22">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3">
    <w:name w:val="List Paragraph"/>
    <w:basedOn w:val="1"/>
    <w:qFormat/>
    <w:uiPriority w:val="34"/>
    <w:pPr>
      <w:ind w:firstLine="420" w:firstLineChars="200"/>
    </w:p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5">
    <w:name w:val="标题 1 字符"/>
    <w:basedOn w:val="17"/>
    <w:link w:val="2"/>
    <w:qFormat/>
    <w:uiPriority w:val="0"/>
    <w:rPr>
      <w:rFonts w:ascii="仿宋体" w:hAnsi="Times New Roman" w:eastAsia="仿宋体" w:cs="Times New Roman"/>
      <w:b/>
      <w:kern w:val="28"/>
      <w:sz w:val="26"/>
      <w:szCs w:val="20"/>
    </w:rPr>
  </w:style>
  <w:style w:type="character" w:customStyle="1" w:styleId="26">
    <w:name w:val="纯文本 Char"/>
    <w:qFormat/>
    <w:uiPriority w:val="0"/>
    <w:rPr>
      <w:rFonts w:ascii="宋体" w:hAnsi="Courier New" w:eastAsia="宋体" w:cs="Times New Roman"/>
      <w:szCs w:val="20"/>
    </w:rPr>
  </w:style>
  <w:style w:type="character" w:customStyle="1" w:styleId="27">
    <w:name w:val="纯文本 字符"/>
    <w:basedOn w:val="17"/>
    <w:link w:val="5"/>
    <w:semiHidden/>
    <w:qFormat/>
    <w:uiPriority w:val="99"/>
    <w:rPr>
      <w:rFonts w:ascii="宋体" w:hAnsi="Courier New" w:eastAsia="宋体" w:cs="Courier New"/>
      <w:color w:val="000000"/>
      <w:szCs w:val="21"/>
    </w:rPr>
  </w:style>
  <w:style w:type="character" w:customStyle="1" w:styleId="28">
    <w:name w:val="批注框文本 字符"/>
    <w:basedOn w:val="17"/>
    <w:link w:val="8"/>
    <w:semiHidden/>
    <w:qFormat/>
    <w:uiPriority w:val="99"/>
    <w:rPr>
      <w:rFonts w:ascii="宋体" w:hAnsi="宋体" w:eastAsia="宋体" w:cs="Times New Roman"/>
      <w:color w:val="000000"/>
      <w:sz w:val="18"/>
      <w:szCs w:val="18"/>
    </w:rPr>
  </w:style>
  <w:style w:type="paragraph" w:customStyle="1" w:styleId="29">
    <w:name w:val="内容"/>
    <w:basedOn w:val="1"/>
    <w:link w:val="30"/>
    <w:qFormat/>
    <w:uiPriority w:val="0"/>
    <w:pPr>
      <w:adjustRightInd w:val="0"/>
      <w:snapToGrid w:val="0"/>
      <w:spacing w:line="312" w:lineRule="auto"/>
      <w:ind w:left="0" w:leftChars="0" w:firstLine="240" w:firstLineChars="100"/>
      <w:jc w:val="both"/>
    </w:pPr>
    <w:rPr>
      <w:bCs/>
      <w:color w:val="auto"/>
      <w:kern w:val="0"/>
    </w:rPr>
  </w:style>
  <w:style w:type="character" w:customStyle="1" w:styleId="30">
    <w:name w:val="内容 Char"/>
    <w:basedOn w:val="17"/>
    <w:link w:val="29"/>
    <w:qFormat/>
    <w:uiPriority w:val="0"/>
    <w:rPr>
      <w:rFonts w:ascii="宋体" w:hAnsi="宋体" w:eastAsia="宋体" w:cs="Times New Roman"/>
      <w:bCs/>
      <w:sz w:val="24"/>
      <w:szCs w:val="24"/>
    </w:rPr>
  </w:style>
  <w:style w:type="character" w:customStyle="1" w:styleId="31">
    <w:name w:val="标题 2 字符"/>
    <w:basedOn w:val="17"/>
    <w:link w:val="3"/>
    <w:semiHidden/>
    <w:qFormat/>
    <w:uiPriority w:val="9"/>
    <w:rPr>
      <w:rFonts w:asciiTheme="majorHAnsi" w:hAnsiTheme="majorHAnsi" w:eastAsiaTheme="majorEastAsia" w:cstheme="majorBidi"/>
      <w:b/>
      <w:bCs/>
      <w:color w:val="000000"/>
      <w:kern w:val="2"/>
      <w:sz w:val="32"/>
      <w:szCs w:val="32"/>
    </w:rPr>
  </w:style>
  <w:style w:type="character" w:customStyle="1" w:styleId="32">
    <w:name w:val="keyword"/>
    <w:basedOn w:val="17"/>
    <w:qFormat/>
    <w:uiPriority w:val="0"/>
  </w:style>
  <w:style w:type="paragraph" w:customStyle="1" w:styleId="33">
    <w:name w:val="WPSOffice手动目录 1"/>
    <w:qFormat/>
    <w:uiPriority w:val="0"/>
    <w:pPr>
      <w:ind w:leftChars="0"/>
    </w:pPr>
    <w:rPr>
      <w:rFonts w:asciiTheme="minorHAnsi" w:hAnsiTheme="minorHAnsi" w:eastAsiaTheme="minorEastAsia" w:cstheme="minorBidi"/>
      <w:sz w:val="20"/>
      <w:szCs w:val="20"/>
    </w:rPr>
  </w:style>
  <w:style w:type="paragraph" w:customStyle="1" w:styleId="34">
    <w:name w:val=" Char"/>
    <w:basedOn w:val="1"/>
    <w:qFormat/>
    <w:uiPriority w:val="0"/>
    <w:rPr>
      <w:rFonts w:ascii="Calibri"/>
      <w:szCs w:val="24"/>
    </w:rPr>
  </w:style>
  <w:style w:type="paragraph" w:customStyle="1" w:styleId="35">
    <w:name w:val="图表"/>
    <w:qFormat/>
    <w:uiPriority w:val="0"/>
    <w:pPr>
      <w:jc w:val="center"/>
    </w:pPr>
    <w:rPr>
      <w:rFonts w:ascii="Times New Roman" w:hAnsi="Times New Roman" w:eastAsia="宋体" w:cs="Times New Roman"/>
      <w:sz w:val="18"/>
      <w:szCs w:val="18"/>
      <w:lang w:val="en-US" w:eastAsia="zh-CN" w:bidi="ar-SA"/>
    </w:rPr>
  </w:style>
  <w:style w:type="paragraph" w:customStyle="1" w:styleId="36">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6300</Words>
  <Characters>6887</Characters>
  <Lines>30</Lines>
  <Paragraphs>8</Paragraphs>
  <TotalTime>1</TotalTime>
  <ScaleCrop>false</ScaleCrop>
  <LinksUpToDate>false</LinksUpToDate>
  <CharactersWithSpaces>7038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2026-07-24T07:26:00Z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