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bidi w:val="0"/>
        <w:spacing w:line="500" w:lineRule="exact"/>
        <w:ind w:left="410"/>
        <w:rPr>
          <w:color w:val="auto"/>
        </w:rPr>
      </w:pPr>
      <w:bookmarkStart w:id="40" w:name="_GoBack"/>
      <w:bookmarkEnd w:id="40"/>
      <w:r>
        <w:rPr>
          <w:color w:val="auto"/>
          <w:kern w:val="0"/>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10"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rFonts w:hint="eastAsia" w:ascii="宋体" w:hAnsi="宋体" w:eastAsia="宋体" w:cs="Times New Roman"/>
          <w:b/>
          <w:color w:val="auto"/>
          <w:sz w:val="36"/>
          <w:szCs w:val="36"/>
        </w:rPr>
      </w:pPr>
      <w:bookmarkStart w:id="0" w:name="_Hlk54622811"/>
      <w:r>
        <w:rPr>
          <w:rFonts w:hint="eastAsia" w:ascii="宋体" w:hAnsi="宋体" w:eastAsia="宋体" w:cs="Times New Roman"/>
          <w:b/>
          <w:color w:val="auto"/>
          <w:sz w:val="36"/>
          <w:szCs w:val="36"/>
          <w:lang w:val="en-US" w:eastAsia="zh-CN"/>
        </w:rPr>
        <w:t>开关特性测试仪</w:t>
      </w:r>
    </w:p>
    <w:bookmarkEnd w:id="0"/>
    <w:p>
      <w:pPr>
        <w:keepLines w:val="0"/>
        <w:pageBreakBefore w:val="0"/>
        <w:kinsoku/>
        <w:wordWrap/>
        <w:bidi w:val="0"/>
        <w:spacing w:line="500" w:lineRule="exact"/>
        <w:ind w:left="0" w:leftChars="0"/>
        <w:jc w:val="center"/>
        <w:rPr>
          <w:b/>
          <w:color w:val="auto"/>
          <w:sz w:val="36"/>
          <w:szCs w:val="36"/>
        </w:rPr>
      </w:pPr>
      <w:r>
        <w:rPr>
          <w:rFonts w:hint="eastAsia"/>
          <w:b/>
          <w:color w:val="auto"/>
          <w:sz w:val="36"/>
          <w:szCs w:val="36"/>
        </w:rPr>
        <w:t>技术规范书</w:t>
      </w: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r>
        <w:rPr>
          <w:rFonts w:hint="eastAsia"/>
          <w:b/>
          <w:color w:val="auto"/>
          <w:sz w:val="36"/>
          <w:szCs w:val="36"/>
          <w:lang w:eastAsia="zh-CN"/>
        </w:rPr>
        <w:t>海南电网</w:t>
      </w:r>
      <w:r>
        <w:rPr>
          <w:rFonts w:hint="eastAsia"/>
          <w:b/>
          <w:color w:val="auto"/>
          <w:sz w:val="36"/>
          <w:szCs w:val="36"/>
        </w:rPr>
        <w:t>能源发展有限公司</w:t>
      </w:r>
    </w:p>
    <w:p>
      <w:pPr>
        <w:keepLines w:val="0"/>
        <w:pageBreakBefore w:val="0"/>
        <w:kinsoku/>
        <w:wordWrap/>
        <w:bidi w:val="0"/>
        <w:spacing w:line="500" w:lineRule="exact"/>
        <w:ind w:left="0" w:leftChars="0"/>
        <w:jc w:val="center"/>
        <w:rPr>
          <w:b/>
          <w:color w:val="auto"/>
          <w:sz w:val="36"/>
          <w:szCs w:val="36"/>
        </w:rPr>
      </w:pPr>
      <w:r>
        <w:rPr>
          <w:rFonts w:hint="eastAsia"/>
          <w:b/>
          <w:color w:val="auto"/>
          <w:sz w:val="36"/>
          <w:szCs w:val="36"/>
        </w:rPr>
        <w:t>202</w:t>
      </w:r>
      <w:r>
        <w:rPr>
          <w:rFonts w:hint="eastAsia"/>
          <w:b/>
          <w:color w:val="auto"/>
          <w:sz w:val="36"/>
          <w:szCs w:val="36"/>
          <w:lang w:val="en-US" w:eastAsia="zh-CN"/>
        </w:rPr>
        <w:t>6</w:t>
      </w:r>
      <w:r>
        <w:rPr>
          <w:rFonts w:hint="eastAsia"/>
          <w:b/>
          <w:color w:val="auto"/>
          <w:sz w:val="36"/>
          <w:szCs w:val="36"/>
        </w:rPr>
        <w:t>年</w:t>
      </w:r>
      <w:r>
        <w:rPr>
          <w:rFonts w:hint="eastAsia"/>
          <w:b/>
          <w:color w:val="auto"/>
          <w:sz w:val="36"/>
          <w:szCs w:val="36"/>
          <w:lang w:val="en-US" w:eastAsia="zh-CN"/>
        </w:rPr>
        <w:t>7</w:t>
      </w:r>
      <w:r>
        <w:rPr>
          <w:rFonts w:hint="eastAsia"/>
          <w:b/>
          <w:color w:val="auto"/>
          <w:sz w:val="36"/>
          <w:szCs w:val="36"/>
        </w:rPr>
        <w:t>月</w:t>
      </w:r>
    </w:p>
    <w:p>
      <w:pPr>
        <w:keepLines w:val="0"/>
        <w:pageBreakBefore w:val="0"/>
        <w:kinsoku/>
        <w:wordWrap/>
        <w:bidi w:val="0"/>
        <w:spacing w:line="500" w:lineRule="exact"/>
        <w:ind w:left="410"/>
        <w:rPr>
          <w:color w:val="auto"/>
        </w:rPr>
      </w:pPr>
    </w:p>
    <w:p>
      <w:pPr>
        <w:pStyle w:val="3"/>
        <w:keepLines w:val="0"/>
        <w:pageBreakBefore w:val="0"/>
        <w:kinsoku/>
        <w:wordWrap/>
        <w:bidi w:val="0"/>
        <w:spacing w:line="500" w:lineRule="exact"/>
        <w:ind w:left="410"/>
        <w:rPr>
          <w:b/>
          <w:color w:val="auto"/>
          <w:sz w:val="44"/>
          <w:szCs w:val="44"/>
        </w:rPr>
      </w:pPr>
      <w:r>
        <w:rPr>
          <w:rFonts w:hint="eastAsia"/>
          <w:b/>
          <w:color w:val="auto"/>
          <w:sz w:val="44"/>
          <w:szCs w:val="44"/>
        </w:rPr>
        <w:t xml:space="preserve">    </w:t>
      </w:r>
    </w:p>
    <w:p>
      <w:pPr>
        <w:pStyle w:val="3"/>
        <w:keepLines w:val="0"/>
        <w:pageBreakBefore w:val="0"/>
        <w:kinsoku/>
        <w:wordWrap/>
        <w:bidi w:val="0"/>
        <w:spacing w:line="500" w:lineRule="exact"/>
        <w:ind w:left="410"/>
        <w:rPr>
          <w:rFonts w:hint="eastAsia"/>
          <w:b/>
          <w:color w:val="auto"/>
          <w:sz w:val="44"/>
          <w:szCs w:val="44"/>
        </w:rPr>
      </w:pPr>
      <w:r>
        <w:rPr>
          <w:rFonts w:hint="eastAsia"/>
          <w:b/>
          <w:color w:val="auto"/>
          <w:sz w:val="44"/>
          <w:szCs w:val="44"/>
        </w:rPr>
        <w:t xml:space="preserve">    </w:t>
      </w:r>
    </w:p>
    <w:p>
      <w:pPr>
        <w:keepLines w:val="0"/>
        <w:pageBreakBefore w:val="0"/>
        <w:kinsoku/>
        <w:wordWrap/>
        <w:bidi w:val="0"/>
        <w:spacing w:before="0" w:beforeLines="0" w:after="0" w:afterLines="0" w:line="500" w:lineRule="exact"/>
        <w:ind w:left="0" w:leftChars="0" w:right="0" w:rightChars="0" w:firstLine="0" w:firstLineChars="0"/>
        <w:jc w:val="center"/>
        <w:rPr>
          <w:rFonts w:ascii="宋体" w:hAnsi="宋体" w:eastAsia="宋体" w:cs="Times New Roman"/>
          <w:color w:val="auto"/>
          <w:kern w:val="2"/>
          <w:sz w:val="21"/>
          <w:szCs w:val="24"/>
          <w:lang w:val="en-US" w:eastAsia="zh-CN" w:bidi="ar-SA"/>
        </w:rPr>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pPr>
    </w:p>
    <w:sdt>
      <w:sdtPr>
        <w:rPr>
          <w:rFonts w:ascii="宋体" w:hAnsi="宋体" w:eastAsia="宋体" w:cs="Times New Roman"/>
          <w:color w:val="auto"/>
          <w:kern w:val="2"/>
          <w:sz w:val="21"/>
          <w:szCs w:val="24"/>
          <w:lang w:val="en-US" w:eastAsia="zh-CN" w:bidi="ar-SA"/>
        </w:rPr>
        <w:id w:val="147477774"/>
        <w15:color w:val="DBDBDB"/>
        <w:docPartObj>
          <w:docPartGallery w:val="Table of Contents"/>
          <w:docPartUnique/>
        </w:docPartObj>
      </w:sdtPr>
      <w:sdtEndPr>
        <w:rPr>
          <w:rFonts w:ascii="宋体" w:hAnsi="宋体" w:eastAsia="宋体" w:cs="Times New Roman"/>
          <w:color w:val="auto"/>
          <w:kern w:val="2"/>
          <w:sz w:val="21"/>
          <w:szCs w:val="24"/>
          <w:lang w:val="en-US" w:eastAsia="zh-CN" w:bidi="ar-SA"/>
        </w:rPr>
      </w:sdtEndPr>
      <w:sdtContent>
        <w:p>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color w:val="auto"/>
              <w:sz w:val="28"/>
              <w:szCs w:val="28"/>
            </w:rPr>
          </w:pPr>
          <w:r>
            <w:rPr>
              <w:rFonts w:hint="eastAsia" w:ascii="宋体" w:hAnsi="宋体" w:eastAsia="宋体" w:cs="宋体"/>
              <w:color w:val="auto"/>
              <w:sz w:val="28"/>
              <w:szCs w:val="28"/>
            </w:rPr>
            <w:t>目录</w:t>
          </w:r>
        </w:p>
        <w:p>
          <w:pPr>
            <w:pStyle w:val="10"/>
            <w:tabs>
              <w:tab w:val="right" w:leader="dot" w:pos="9746"/>
            </w:tabs>
            <w:rPr>
              <w:color w:val="auto"/>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TOC \o "1-1" \h \u </w:instrText>
          </w:r>
          <w:r>
            <w:rPr>
              <w:rFonts w:hint="eastAsia" w:ascii="宋体" w:hAnsi="宋体" w:eastAsia="宋体" w:cs="宋体"/>
              <w:color w:val="auto"/>
              <w:sz w:val="28"/>
              <w:szCs w:val="28"/>
            </w:rPr>
            <w:fldChar w:fldCharType="separate"/>
          </w: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_Toc25697 </w:instrText>
          </w:r>
          <w:r>
            <w:rPr>
              <w:rFonts w:hint="eastAsia" w:ascii="宋体" w:hAnsi="宋体" w:eastAsia="宋体" w:cs="宋体"/>
              <w:color w:val="auto"/>
              <w:szCs w:val="28"/>
            </w:rPr>
            <w:fldChar w:fldCharType="separate"/>
          </w:r>
          <w:r>
            <w:rPr>
              <w:rFonts w:hint="eastAsia"/>
              <w:color w:val="auto"/>
            </w:rPr>
            <w:t>1 总则</w:t>
          </w:r>
          <w:r>
            <w:rPr>
              <w:color w:val="auto"/>
            </w:rPr>
            <w:tab/>
          </w:r>
          <w:r>
            <w:rPr>
              <w:color w:val="auto"/>
            </w:rPr>
            <w:fldChar w:fldCharType="begin"/>
          </w:r>
          <w:r>
            <w:rPr>
              <w:color w:val="auto"/>
            </w:rPr>
            <w:instrText xml:space="preserve"> PAGEREF _Toc25697 \h </w:instrText>
          </w:r>
          <w:r>
            <w:rPr>
              <w:color w:val="auto"/>
            </w:rPr>
            <w:fldChar w:fldCharType="separate"/>
          </w:r>
          <w:r>
            <w:rPr>
              <w:color w:val="auto"/>
            </w:rPr>
            <w:t>1</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_Toc3763 </w:instrText>
          </w:r>
          <w:r>
            <w:rPr>
              <w:rFonts w:hint="eastAsia" w:ascii="宋体" w:hAnsi="宋体" w:eastAsia="宋体" w:cs="宋体"/>
              <w:color w:val="auto"/>
              <w:szCs w:val="28"/>
            </w:rPr>
            <w:fldChar w:fldCharType="separate"/>
          </w:r>
          <w:r>
            <w:rPr>
              <w:rFonts w:hint="eastAsia"/>
              <w:color w:val="auto"/>
              <w:lang w:val="en-US" w:eastAsia="zh-CN"/>
            </w:rPr>
            <w:t>2</w:t>
          </w:r>
          <w:r>
            <w:rPr>
              <w:rFonts w:hint="eastAsia"/>
              <w:color w:val="auto"/>
            </w:rPr>
            <w:t>.应遵循的主要标准</w:t>
          </w:r>
          <w:r>
            <w:rPr>
              <w:color w:val="auto"/>
            </w:rPr>
            <w:tab/>
          </w:r>
          <w:r>
            <w:rPr>
              <w:color w:val="auto"/>
            </w:rPr>
            <w:fldChar w:fldCharType="begin"/>
          </w:r>
          <w:r>
            <w:rPr>
              <w:color w:val="auto"/>
            </w:rPr>
            <w:instrText xml:space="preserve"> PAGEREF _Toc3763 \h </w:instrText>
          </w:r>
          <w:r>
            <w:rPr>
              <w:color w:val="auto"/>
            </w:rPr>
            <w:fldChar w:fldCharType="separate"/>
          </w:r>
          <w:r>
            <w:rPr>
              <w:color w:val="auto"/>
            </w:rPr>
            <w:t>2</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_Toc13932 </w:instrText>
          </w:r>
          <w:r>
            <w:rPr>
              <w:rFonts w:hint="eastAsia" w:ascii="宋体" w:hAnsi="宋体" w:eastAsia="宋体" w:cs="宋体"/>
              <w:color w:val="auto"/>
              <w:szCs w:val="28"/>
            </w:rPr>
            <w:fldChar w:fldCharType="separate"/>
          </w:r>
          <w:r>
            <w:rPr>
              <w:rFonts w:hint="eastAsia"/>
              <w:color w:val="auto"/>
              <w:lang w:val="en-US" w:eastAsia="zh-CN"/>
            </w:rPr>
            <w:t>3</w:t>
          </w:r>
          <w:r>
            <w:rPr>
              <w:rFonts w:hint="eastAsia"/>
              <w:color w:val="auto"/>
            </w:rPr>
            <w:t>.使用条件</w:t>
          </w:r>
          <w:r>
            <w:rPr>
              <w:color w:val="auto"/>
            </w:rPr>
            <w:tab/>
          </w:r>
          <w:r>
            <w:rPr>
              <w:color w:val="auto"/>
            </w:rPr>
            <w:fldChar w:fldCharType="begin"/>
          </w:r>
          <w:r>
            <w:rPr>
              <w:color w:val="auto"/>
            </w:rPr>
            <w:instrText xml:space="preserve"> PAGEREF _Toc13932 \h </w:instrText>
          </w:r>
          <w:r>
            <w:rPr>
              <w:color w:val="auto"/>
            </w:rPr>
            <w:fldChar w:fldCharType="separate"/>
          </w:r>
          <w:r>
            <w:rPr>
              <w:color w:val="auto"/>
            </w:rPr>
            <w:t>2</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_Toc22886 </w:instrText>
          </w:r>
          <w:r>
            <w:rPr>
              <w:rFonts w:hint="eastAsia" w:ascii="宋体" w:hAnsi="宋体" w:eastAsia="宋体" w:cs="宋体"/>
              <w:color w:val="auto"/>
              <w:szCs w:val="28"/>
            </w:rPr>
            <w:fldChar w:fldCharType="separate"/>
          </w:r>
          <w:r>
            <w:rPr>
              <w:rFonts w:hint="eastAsia"/>
              <w:color w:val="auto"/>
              <w:lang w:val="en-US" w:eastAsia="zh-CN"/>
            </w:rPr>
            <w:t>4</w:t>
          </w:r>
          <w:r>
            <w:rPr>
              <w:rFonts w:hint="eastAsia"/>
              <w:color w:val="auto"/>
            </w:rPr>
            <w:t>.技术要求</w:t>
          </w:r>
          <w:r>
            <w:rPr>
              <w:color w:val="auto"/>
            </w:rPr>
            <w:tab/>
          </w:r>
          <w:r>
            <w:rPr>
              <w:color w:val="auto"/>
            </w:rPr>
            <w:fldChar w:fldCharType="begin"/>
          </w:r>
          <w:r>
            <w:rPr>
              <w:color w:val="auto"/>
            </w:rPr>
            <w:instrText xml:space="preserve"> PAGEREF _Toc22886 \h </w:instrText>
          </w:r>
          <w:r>
            <w:rPr>
              <w:color w:val="auto"/>
            </w:rPr>
            <w:fldChar w:fldCharType="separate"/>
          </w:r>
          <w:r>
            <w:rPr>
              <w:color w:val="auto"/>
            </w:rPr>
            <w:t>3</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_Toc14198 </w:instrText>
          </w:r>
          <w:r>
            <w:rPr>
              <w:rFonts w:hint="eastAsia" w:ascii="宋体" w:hAnsi="宋体" w:eastAsia="宋体" w:cs="宋体"/>
              <w:color w:val="auto"/>
              <w:szCs w:val="28"/>
            </w:rPr>
            <w:fldChar w:fldCharType="separate"/>
          </w:r>
          <w:r>
            <w:rPr>
              <w:rFonts w:hint="eastAsia"/>
              <w:color w:val="auto"/>
              <w:lang w:val="en-US" w:eastAsia="zh-CN"/>
            </w:rPr>
            <w:t>5</w:t>
          </w:r>
          <w:r>
            <w:rPr>
              <w:color w:val="auto"/>
            </w:rPr>
            <w:t>.</w:t>
          </w:r>
          <w:r>
            <w:rPr>
              <w:rFonts w:cs="宋体"/>
              <w:color w:val="auto"/>
              <w:spacing w:val="1"/>
            </w:rPr>
            <w:t>质量保证和试验</w:t>
          </w:r>
          <w:r>
            <w:rPr>
              <w:color w:val="auto"/>
            </w:rPr>
            <w:tab/>
          </w:r>
          <w:r>
            <w:rPr>
              <w:color w:val="auto"/>
            </w:rPr>
            <w:fldChar w:fldCharType="begin"/>
          </w:r>
          <w:r>
            <w:rPr>
              <w:color w:val="auto"/>
            </w:rPr>
            <w:instrText xml:space="preserve"> PAGEREF _Toc14198 \h </w:instrText>
          </w:r>
          <w:r>
            <w:rPr>
              <w:color w:val="auto"/>
            </w:rPr>
            <w:fldChar w:fldCharType="separate"/>
          </w:r>
          <w:r>
            <w:rPr>
              <w:color w:val="auto"/>
            </w:rPr>
            <w:t>5</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_Toc18433 </w:instrText>
          </w:r>
          <w:r>
            <w:rPr>
              <w:rFonts w:hint="eastAsia" w:ascii="宋体" w:hAnsi="宋体" w:eastAsia="宋体" w:cs="宋体"/>
              <w:color w:val="auto"/>
              <w:szCs w:val="28"/>
            </w:rPr>
            <w:fldChar w:fldCharType="separate"/>
          </w:r>
          <w:r>
            <w:rPr>
              <w:rFonts w:hint="eastAsia"/>
              <w:color w:val="auto"/>
              <w:lang w:eastAsia="zh-CN"/>
            </w:rPr>
            <w:t>6.</w:t>
          </w:r>
          <w:r>
            <w:rPr>
              <w:rFonts w:cs="宋体"/>
              <w:color w:val="auto"/>
              <w:spacing w:val="1"/>
            </w:rPr>
            <w:t>包装、运输和储存</w:t>
          </w:r>
          <w:r>
            <w:rPr>
              <w:color w:val="auto"/>
            </w:rPr>
            <w:tab/>
          </w:r>
          <w:r>
            <w:rPr>
              <w:color w:val="auto"/>
            </w:rPr>
            <w:fldChar w:fldCharType="begin"/>
          </w:r>
          <w:r>
            <w:rPr>
              <w:color w:val="auto"/>
            </w:rPr>
            <w:instrText xml:space="preserve"> PAGEREF _Toc18433 \h </w:instrText>
          </w:r>
          <w:r>
            <w:rPr>
              <w:color w:val="auto"/>
            </w:rPr>
            <w:fldChar w:fldCharType="separate"/>
          </w:r>
          <w:r>
            <w:rPr>
              <w:color w:val="auto"/>
            </w:rPr>
            <w:t>5</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_Toc22301 </w:instrText>
          </w:r>
          <w:r>
            <w:rPr>
              <w:rFonts w:hint="eastAsia" w:ascii="宋体" w:hAnsi="宋体" w:eastAsia="宋体" w:cs="宋体"/>
              <w:color w:val="auto"/>
              <w:szCs w:val="28"/>
            </w:rPr>
            <w:fldChar w:fldCharType="separate"/>
          </w:r>
          <w:r>
            <w:rPr>
              <w:rFonts w:hint="eastAsia"/>
              <w:color w:val="auto"/>
              <w:lang w:eastAsia="zh-CN"/>
            </w:rPr>
            <w:t>7.</w:t>
          </w:r>
          <w:r>
            <w:rPr>
              <w:rFonts w:hint="eastAsia"/>
              <w:color w:val="auto"/>
            </w:rPr>
            <w:t>交货时间</w:t>
          </w:r>
          <w:r>
            <w:rPr>
              <w:rFonts w:hint="eastAsia"/>
              <w:color w:val="auto"/>
              <w:lang w:eastAsia="zh-CN"/>
            </w:rPr>
            <w:t>、</w:t>
          </w:r>
          <w:r>
            <w:rPr>
              <w:rFonts w:hint="eastAsia"/>
              <w:color w:val="auto"/>
              <w:lang w:val="en-US" w:eastAsia="zh-CN"/>
            </w:rPr>
            <w:t>内容及功能验收</w:t>
          </w:r>
          <w:r>
            <w:rPr>
              <w:color w:val="auto"/>
            </w:rPr>
            <w:tab/>
          </w:r>
          <w:r>
            <w:rPr>
              <w:color w:val="auto"/>
            </w:rPr>
            <w:fldChar w:fldCharType="begin"/>
          </w:r>
          <w:r>
            <w:rPr>
              <w:color w:val="auto"/>
            </w:rPr>
            <w:instrText xml:space="preserve"> PAGEREF _Toc22301 \h </w:instrText>
          </w:r>
          <w:r>
            <w:rPr>
              <w:color w:val="auto"/>
            </w:rPr>
            <w:fldChar w:fldCharType="separate"/>
          </w:r>
          <w:r>
            <w:rPr>
              <w:color w:val="auto"/>
            </w:rPr>
            <w:t>5</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_Toc25792 </w:instrText>
          </w:r>
          <w:r>
            <w:rPr>
              <w:rFonts w:hint="eastAsia" w:ascii="宋体" w:hAnsi="宋体" w:eastAsia="宋体" w:cs="宋体"/>
              <w:color w:val="auto"/>
              <w:szCs w:val="28"/>
            </w:rPr>
            <w:fldChar w:fldCharType="separate"/>
          </w:r>
          <w:r>
            <w:rPr>
              <w:rFonts w:hint="eastAsia"/>
              <w:color w:val="auto"/>
              <w:lang w:val="en-US" w:eastAsia="zh-CN"/>
            </w:rPr>
            <w:t>8</w:t>
          </w:r>
          <w:r>
            <w:rPr>
              <w:rFonts w:hint="eastAsia"/>
              <w:color w:val="auto"/>
            </w:rPr>
            <w:t>.供货范围清单</w:t>
          </w:r>
          <w:r>
            <w:rPr>
              <w:color w:val="auto"/>
            </w:rPr>
            <w:tab/>
          </w:r>
          <w:r>
            <w:rPr>
              <w:color w:val="auto"/>
            </w:rPr>
            <w:fldChar w:fldCharType="begin"/>
          </w:r>
          <w:r>
            <w:rPr>
              <w:color w:val="auto"/>
            </w:rPr>
            <w:instrText xml:space="preserve"> PAGEREF _Toc25792 \h </w:instrText>
          </w:r>
          <w:r>
            <w:rPr>
              <w:color w:val="auto"/>
            </w:rPr>
            <w:fldChar w:fldCharType="separate"/>
          </w:r>
          <w:r>
            <w:rPr>
              <w:color w:val="auto"/>
            </w:rPr>
            <w:t>6</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_Toc21346 </w:instrText>
          </w:r>
          <w:r>
            <w:rPr>
              <w:rFonts w:hint="eastAsia" w:ascii="宋体" w:hAnsi="宋体" w:eastAsia="宋体" w:cs="宋体"/>
              <w:color w:val="auto"/>
              <w:szCs w:val="28"/>
            </w:rPr>
            <w:fldChar w:fldCharType="separate"/>
          </w:r>
          <w:r>
            <w:rPr>
              <w:rFonts w:hint="eastAsia"/>
              <w:color w:val="auto"/>
              <w:lang w:eastAsia="zh-CN"/>
            </w:rPr>
            <w:t>9.</w:t>
          </w:r>
          <w:r>
            <w:rPr>
              <w:rFonts w:cs="宋体"/>
              <w:color w:val="auto"/>
              <w:spacing w:val="1"/>
            </w:rPr>
            <w:t>设备的售后服务要求</w:t>
          </w:r>
          <w:r>
            <w:rPr>
              <w:color w:val="auto"/>
            </w:rPr>
            <w:tab/>
          </w:r>
          <w:r>
            <w:rPr>
              <w:color w:val="auto"/>
            </w:rPr>
            <w:fldChar w:fldCharType="begin"/>
          </w:r>
          <w:r>
            <w:rPr>
              <w:color w:val="auto"/>
            </w:rPr>
            <w:instrText xml:space="preserve"> PAGEREF _Toc21346 \h </w:instrText>
          </w:r>
          <w:r>
            <w:rPr>
              <w:color w:val="auto"/>
            </w:rPr>
            <w:fldChar w:fldCharType="separate"/>
          </w:r>
          <w:r>
            <w:rPr>
              <w:color w:val="auto"/>
            </w:rPr>
            <w:t>7</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_Toc10126 </w:instrText>
          </w:r>
          <w:r>
            <w:rPr>
              <w:rFonts w:hint="eastAsia" w:ascii="宋体" w:hAnsi="宋体" w:eastAsia="宋体" w:cs="宋体"/>
              <w:color w:val="auto"/>
              <w:szCs w:val="28"/>
            </w:rPr>
            <w:fldChar w:fldCharType="separate"/>
          </w:r>
          <w:r>
            <w:rPr>
              <w:rFonts w:hint="eastAsia"/>
              <w:color w:val="auto"/>
              <w:spacing w:val="-6"/>
              <w:lang w:eastAsia="zh-CN"/>
            </w:rPr>
            <w:t>10.</w:t>
          </w:r>
          <w:r>
            <w:rPr>
              <w:rFonts w:cs="宋体"/>
              <w:color w:val="auto"/>
            </w:rPr>
            <w:t>验收</w:t>
          </w:r>
          <w:r>
            <w:rPr>
              <w:color w:val="auto"/>
            </w:rPr>
            <w:tab/>
          </w:r>
          <w:r>
            <w:rPr>
              <w:color w:val="auto"/>
            </w:rPr>
            <w:fldChar w:fldCharType="begin"/>
          </w:r>
          <w:r>
            <w:rPr>
              <w:color w:val="auto"/>
            </w:rPr>
            <w:instrText xml:space="preserve"> PAGEREF _Toc10126 \h </w:instrText>
          </w:r>
          <w:r>
            <w:rPr>
              <w:color w:val="auto"/>
            </w:rPr>
            <w:fldChar w:fldCharType="separate"/>
          </w:r>
          <w:r>
            <w:rPr>
              <w:color w:val="auto"/>
            </w:rPr>
            <w:t>8</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_Toc22211 </w:instrText>
          </w:r>
          <w:r>
            <w:rPr>
              <w:rFonts w:hint="eastAsia" w:ascii="宋体" w:hAnsi="宋体" w:eastAsia="宋体" w:cs="宋体"/>
              <w:color w:val="auto"/>
              <w:szCs w:val="28"/>
            </w:rPr>
            <w:fldChar w:fldCharType="separate"/>
          </w:r>
          <w:r>
            <w:rPr>
              <w:color w:val="auto"/>
            </w:rPr>
            <w:t>1</w:t>
          </w:r>
          <w:r>
            <w:rPr>
              <w:rFonts w:hint="eastAsia"/>
              <w:color w:val="auto"/>
              <w:lang w:val="en-US" w:eastAsia="zh-CN"/>
            </w:rPr>
            <w:t>1</w:t>
          </w:r>
          <w:r>
            <w:rPr>
              <w:color w:val="auto"/>
            </w:rPr>
            <w:t>.</w:t>
          </w:r>
          <w:r>
            <w:rPr>
              <w:rFonts w:cs="宋体"/>
              <w:color w:val="auto"/>
              <w:spacing w:val="1"/>
            </w:rPr>
            <w:t>技术差异表</w:t>
          </w:r>
          <w:r>
            <w:rPr>
              <w:color w:val="auto"/>
            </w:rPr>
            <w:tab/>
          </w:r>
          <w:r>
            <w:rPr>
              <w:color w:val="auto"/>
            </w:rPr>
            <w:fldChar w:fldCharType="begin"/>
          </w:r>
          <w:r>
            <w:rPr>
              <w:color w:val="auto"/>
            </w:rPr>
            <w:instrText xml:space="preserve"> PAGEREF _Toc22211 \h </w:instrText>
          </w:r>
          <w:r>
            <w:rPr>
              <w:color w:val="auto"/>
            </w:rPr>
            <w:fldChar w:fldCharType="separate"/>
          </w:r>
          <w:r>
            <w:rPr>
              <w:color w:val="auto"/>
            </w:rPr>
            <w:t>8</w:t>
          </w:r>
          <w:r>
            <w:rPr>
              <w:color w:val="auto"/>
            </w:rPr>
            <w:fldChar w:fldCharType="end"/>
          </w:r>
          <w:r>
            <w:rPr>
              <w:rFonts w:hint="eastAsia" w:ascii="宋体" w:hAnsi="宋体" w:eastAsia="宋体" w:cs="宋体"/>
              <w:color w:val="auto"/>
              <w:szCs w:val="28"/>
            </w:rPr>
            <w:fldChar w:fldCharType="end"/>
          </w:r>
        </w:p>
        <w:p>
          <w:pPr>
            <w:keepLines w:val="0"/>
            <w:pageBreakBefore w:val="0"/>
            <w:kinsoku/>
            <w:wordWrap/>
            <w:bidi w:val="0"/>
            <w:spacing w:line="500" w:lineRule="exact"/>
            <w:rPr>
              <w:color w:val="auto"/>
            </w:rPr>
          </w:pPr>
          <w:r>
            <w:rPr>
              <w:rFonts w:hint="eastAsia" w:ascii="宋体" w:hAnsi="宋体" w:eastAsia="宋体" w:cs="宋体"/>
              <w:color w:val="auto"/>
              <w:szCs w:val="28"/>
            </w:rPr>
            <w:fldChar w:fldCharType="end"/>
          </w:r>
        </w:p>
      </w:sdtContent>
    </w:sdt>
    <w:p>
      <w:pPr>
        <w:pStyle w:val="4"/>
        <w:bidi w:val="0"/>
        <w:rPr>
          <w:rFonts w:hint="eastAsia"/>
          <w:color w:val="auto"/>
        </w:rPr>
        <w:sectPr>
          <w:footerReference r:id="rId7" w:type="default"/>
          <w:pgSz w:w="11906" w:h="16838"/>
          <w:pgMar w:top="1440" w:right="1080" w:bottom="1440" w:left="1080" w:header="737" w:footer="340" w:gutter="0"/>
          <w:pgNumType w:start="1"/>
          <w:cols w:space="425" w:num="1"/>
          <w:docGrid w:type="lines" w:linePitch="326" w:charSpace="0"/>
        </w:sectPr>
      </w:pPr>
      <w:bookmarkStart w:id="1" w:name="_Toc25697"/>
    </w:p>
    <w:p>
      <w:pPr>
        <w:pStyle w:val="4"/>
        <w:bidi w:val="0"/>
        <w:rPr>
          <w:rFonts w:hint="eastAsia"/>
          <w:color w:val="auto"/>
        </w:rPr>
      </w:pPr>
      <w:r>
        <w:rPr>
          <w:rFonts w:hint="eastAsia"/>
          <w:color w:val="auto"/>
        </w:rPr>
        <w:t xml:space="preserve">1 </w:t>
      </w:r>
      <w:bookmarkStart w:id="2" w:name="_Toc397006837"/>
      <w:bookmarkStart w:id="3" w:name="_Toc305941223"/>
      <w:bookmarkStart w:id="4" w:name="_Toc305941518"/>
      <w:r>
        <w:rPr>
          <w:rFonts w:hint="eastAsia"/>
          <w:color w:val="auto"/>
        </w:rPr>
        <w:t>总则</w:t>
      </w:r>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color w:val="auto"/>
          <w:sz w:val="44"/>
          <w:szCs w:val="44"/>
          <w:lang w:eastAsia="zh-CN"/>
        </w:rPr>
      </w:pPr>
      <w:r>
        <w:rPr>
          <w:rFonts w:hint="eastAsia"/>
          <w:color w:val="auto"/>
        </w:rPr>
        <w:t>1.</w:t>
      </w:r>
      <w:r>
        <w:rPr>
          <w:rFonts w:hint="eastAsia"/>
          <w:color w:val="auto"/>
          <w:lang w:eastAsia="zh-CN"/>
        </w:rPr>
        <w:t>1</w:t>
      </w:r>
      <w:r>
        <w:rPr>
          <w:rFonts w:hint="eastAsia"/>
          <w:color w:val="auto"/>
        </w:rPr>
        <w:t xml:space="preserve">  本技术文件适用于</w:t>
      </w:r>
      <w:r>
        <w:rPr>
          <w:rFonts w:hint="eastAsia"/>
          <w:color w:val="auto"/>
          <w:lang w:eastAsia="zh-CN"/>
        </w:rPr>
        <w:t>海南电网</w:t>
      </w:r>
      <w:r>
        <w:rPr>
          <w:rFonts w:hint="eastAsia"/>
          <w:color w:val="auto"/>
        </w:rPr>
        <w:t>能源发展有限公司拟采购的</w:t>
      </w:r>
      <w:r>
        <w:rPr>
          <w:rFonts w:hint="eastAsia"/>
          <w:b/>
          <w:bCs/>
          <w:color w:val="auto"/>
        </w:rPr>
        <w:t>“</w:t>
      </w:r>
      <w:r>
        <w:rPr>
          <w:rFonts w:hint="eastAsia"/>
          <w:b/>
          <w:bCs/>
          <w:color w:val="auto"/>
          <w:lang w:eastAsia="zh-CN"/>
        </w:rPr>
        <w:t>开关特性测试仪</w:t>
      </w:r>
      <w:r>
        <w:rPr>
          <w:rFonts w:hint="eastAsia"/>
          <w:b/>
          <w:bCs/>
          <w:color w:val="auto"/>
        </w:rPr>
        <w:t>”</w:t>
      </w:r>
      <w:r>
        <w:rPr>
          <w:rFonts w:hint="eastAsia"/>
          <w:b/>
          <w:bCs/>
          <w:color w:val="auto"/>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color w:val="auto"/>
        </w:rPr>
      </w:pPr>
      <w:r>
        <w:rPr>
          <w:rFonts w:hint="eastAsia"/>
          <w:color w:val="auto"/>
        </w:rPr>
        <w:t>本规范书提出了该批仪器本体及附属材料的功能设计、结构、性能、试验验收、培训和使用等方面的技术要求。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rPr>
      </w:pPr>
      <w:r>
        <w:rPr>
          <w:rFonts w:hint="eastAsia"/>
          <w:color w:val="auto"/>
        </w:rPr>
        <w:t>1.2  凡本技术文件中未规定，但在相关仪器的行业标准、国家标准或IEC标准中有规定的规范条文，</w:t>
      </w:r>
      <w:r>
        <w:rPr>
          <w:rFonts w:hint="eastAsia"/>
          <w:color w:val="auto"/>
          <w:lang w:eastAsia="zh-CN"/>
        </w:rPr>
        <w:t>投标人</w:t>
      </w:r>
      <w:r>
        <w:rPr>
          <w:rFonts w:hint="eastAsia"/>
          <w:color w:val="auto"/>
        </w:rPr>
        <w:t>应按相应标准的条文进行仪器销售、设计、制造、试验和验收。对国家有关安全、环保等强制性标准，必须满足其要求。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color w:val="auto"/>
        </w:rPr>
      </w:pPr>
      <w:r>
        <w:rPr>
          <w:rFonts w:hint="eastAsia"/>
          <w:color w:val="auto"/>
        </w:rPr>
        <w:t>1.3  如果</w:t>
      </w:r>
      <w:r>
        <w:rPr>
          <w:rFonts w:hint="eastAsia"/>
          <w:color w:val="auto"/>
          <w:lang w:eastAsia="zh-CN"/>
        </w:rPr>
        <w:t>投标人</w:t>
      </w:r>
      <w:r>
        <w:rPr>
          <w:rFonts w:hint="eastAsia"/>
          <w:color w:val="auto"/>
        </w:rPr>
        <w:t>没有以书面形式对本技术文件的条文提出异议，则意味着</w:t>
      </w:r>
      <w:r>
        <w:rPr>
          <w:rFonts w:hint="eastAsia"/>
          <w:color w:val="auto"/>
          <w:lang w:eastAsia="zh-CN"/>
        </w:rPr>
        <w:t>投标人</w:t>
      </w:r>
      <w:r>
        <w:rPr>
          <w:rFonts w:hint="eastAsia"/>
          <w:color w:val="auto"/>
        </w:rPr>
        <w:t>提供的物资完全符合本技术文件的要求。如有任何异议，</w:t>
      </w:r>
      <w:r>
        <w:rPr>
          <w:rFonts w:cs="宋体"/>
          <w:color w:val="auto"/>
          <w:spacing w:val="3"/>
        </w:rPr>
        <w:t>都应在报价文件差异表中加以</w:t>
      </w:r>
      <w:r>
        <w:rPr>
          <w:rFonts w:cs="宋体"/>
          <w:color w:val="auto"/>
        </w:rPr>
        <w:t>详细描述</w:t>
      </w:r>
      <w:r>
        <w:rPr>
          <w:rFonts w:hint="eastAsia" w:cs="宋体"/>
          <w:color w:val="auto"/>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rPr>
      </w:pPr>
      <w:r>
        <w:rPr>
          <w:color w:val="auto"/>
        </w:rPr>
        <w:t>1.4</w:t>
      </w:r>
      <w:r>
        <w:rPr>
          <w:color w:val="auto"/>
          <w:spacing w:val="60"/>
        </w:rPr>
        <w:t xml:space="preserve"> </w:t>
      </w:r>
      <w:r>
        <w:rPr>
          <w:rFonts w:cs="宋体"/>
          <w:color w:val="auto"/>
          <w:spacing w:val="-2"/>
        </w:rPr>
        <w:t>本规范所使用的标准如与</w:t>
      </w:r>
      <w:r>
        <w:rPr>
          <w:rFonts w:hint="eastAsia" w:cs="宋体"/>
          <w:color w:val="auto"/>
          <w:spacing w:val="-2"/>
          <w:lang w:eastAsia="zh-CN"/>
        </w:rPr>
        <w:t>投标人</w:t>
      </w:r>
      <w:r>
        <w:rPr>
          <w:rFonts w:cs="宋体"/>
          <w:color w:val="auto"/>
          <w:spacing w:val="-2"/>
        </w:rPr>
        <w:t>所执行的标准</w:t>
      </w:r>
      <w:r>
        <w:rPr>
          <w:rFonts w:hint="eastAsia" w:cs="宋体"/>
          <w:color w:val="auto"/>
          <w:spacing w:val="-2"/>
        </w:rPr>
        <w:t>不一致</w:t>
      </w:r>
      <w:r>
        <w:rPr>
          <w:rFonts w:cs="宋体"/>
          <w:color w:val="auto"/>
          <w:spacing w:val="-2"/>
        </w:rPr>
        <w:t>时，按较高标准执</w:t>
      </w:r>
      <w:r>
        <w:rPr>
          <w:rFonts w:cs="宋体"/>
          <w:color w:val="auto"/>
        </w:rPr>
        <w:t>行。</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rPr>
      </w:pPr>
      <w:r>
        <w:rPr>
          <w:rFonts w:hint="eastAsia"/>
          <w:color w:val="auto"/>
        </w:rPr>
        <w:t>1.5  本技术文件经</w:t>
      </w:r>
      <w:r>
        <w:rPr>
          <w:rFonts w:hint="eastAsia"/>
          <w:color w:val="auto"/>
          <w:lang w:eastAsia="zh-CN"/>
        </w:rPr>
        <w:t>招标人、投标人</w:t>
      </w:r>
      <w:r>
        <w:rPr>
          <w:rFonts w:hint="eastAsia"/>
          <w:color w:val="auto"/>
        </w:rPr>
        <w:t>确认后作为订货合同的技术附件，与合同正文具有同等的法律效力。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color w:val="auto"/>
        </w:rPr>
      </w:pPr>
      <w:r>
        <w:rPr>
          <w:rFonts w:hint="eastAsia"/>
          <w:color w:val="auto"/>
        </w:rPr>
        <w:t>1.6  本技术文件未尽事宜，由</w:t>
      </w:r>
      <w:r>
        <w:rPr>
          <w:rFonts w:hint="eastAsia"/>
          <w:color w:val="auto"/>
          <w:lang w:eastAsia="zh-CN"/>
        </w:rPr>
        <w:t>招标人、投标人</w:t>
      </w:r>
      <w:r>
        <w:rPr>
          <w:rFonts w:hint="eastAsia"/>
          <w:color w:val="auto"/>
        </w:rPr>
        <w:t>协商确定。</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rPr>
      </w:pPr>
      <w:r>
        <w:rPr>
          <w:rFonts w:hint="eastAsia"/>
          <w:color w:val="auto"/>
        </w:rPr>
        <w:t>1.</w:t>
      </w:r>
      <w:r>
        <w:rPr>
          <w:rFonts w:hint="eastAsia"/>
          <w:color w:val="auto"/>
          <w:lang w:eastAsia="zh-CN"/>
        </w:rPr>
        <w:t>7</w:t>
      </w:r>
      <w:r>
        <w:rPr>
          <w:rFonts w:hint="eastAsia"/>
          <w:color w:val="auto"/>
        </w:rPr>
        <w:t xml:space="preserve">  </w:t>
      </w:r>
      <w:r>
        <w:rPr>
          <w:rFonts w:hint="eastAsia"/>
          <w:color w:val="auto"/>
          <w:lang w:eastAsia="zh-CN"/>
        </w:rPr>
        <w:t>投标人</w:t>
      </w:r>
      <w:r>
        <w:rPr>
          <w:rFonts w:hint="eastAsia"/>
          <w:color w:val="auto"/>
        </w:rPr>
        <w:t>在报价技术文件中应如实反映报价产品与本技术文件的技术差异。如果</w:t>
      </w:r>
      <w:r>
        <w:rPr>
          <w:rFonts w:hint="eastAsia"/>
          <w:color w:val="auto"/>
          <w:lang w:eastAsia="zh-CN"/>
        </w:rPr>
        <w:t>投标人</w:t>
      </w:r>
      <w:r>
        <w:rPr>
          <w:rFonts w:hint="eastAsia"/>
          <w:color w:val="auto"/>
        </w:rPr>
        <w:t>没有提出技术差异，而在执行合同的过程中，采购方发现</w:t>
      </w:r>
      <w:r>
        <w:rPr>
          <w:rFonts w:hint="eastAsia"/>
          <w:color w:val="auto"/>
          <w:lang w:eastAsia="zh-CN"/>
        </w:rPr>
        <w:t>投标人</w:t>
      </w:r>
      <w:r>
        <w:rPr>
          <w:rFonts w:hint="eastAsia"/>
          <w:color w:val="auto"/>
        </w:rPr>
        <w:t>提供的产品与其报价技术文件的条文存在差异</w:t>
      </w:r>
      <w:r>
        <w:rPr>
          <w:rFonts w:hint="eastAsia"/>
          <w:color w:val="auto"/>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rPr>
      </w:pPr>
      <w:r>
        <w:rPr>
          <w:rFonts w:hint="eastAsia"/>
          <w:color w:val="auto"/>
        </w:rPr>
        <w:t xml:space="preserve">1.8  </w:t>
      </w:r>
      <w:r>
        <w:rPr>
          <w:rFonts w:hint="eastAsia"/>
          <w:color w:val="auto"/>
          <w:lang w:eastAsia="zh-CN"/>
        </w:rPr>
        <w:t>投标人</w:t>
      </w:r>
      <w:r>
        <w:rPr>
          <w:rFonts w:hint="eastAsia"/>
          <w:color w:val="auto"/>
        </w:rPr>
        <w:t>应在报价技术部分按本技术文件的要求如实详细的填写报价物资的标准配置表，并按此标准配置进行报价，如发现二者有矛盾之处，将以报价表的配置为准。</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rPr>
      </w:pPr>
      <w:r>
        <w:rPr>
          <w:rFonts w:hint="eastAsia"/>
          <w:color w:val="auto"/>
        </w:rPr>
        <w:t xml:space="preserve">1.9  </w:t>
      </w:r>
      <w:r>
        <w:rPr>
          <w:rFonts w:hint="eastAsia"/>
          <w:color w:val="auto"/>
          <w:lang w:eastAsia="zh-CN"/>
        </w:rPr>
        <w:t>投标人</w:t>
      </w:r>
      <w:r>
        <w:rPr>
          <w:rFonts w:hint="eastAsia"/>
          <w:color w:val="auto"/>
        </w:rPr>
        <w:t>应充分理解本技术文件并按本技术文件的具体条款、格式要求填写报价的技术文件，如发现报价的技术文件条款、格式不符合本技术文件的要求，则认为报价不严肃，在评标时将有不同程度的扣分。</w:t>
      </w:r>
    </w:p>
    <w:p>
      <w:pPr>
        <w:pStyle w:val="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color w:val="auto"/>
        </w:rPr>
      </w:pPr>
      <w:r>
        <w:rPr>
          <w:rFonts w:hint="eastAsia"/>
          <w:b/>
          <w:bCs/>
          <w:color w:val="auto"/>
        </w:rPr>
        <w:t>1.10 本技术文件为采购基本要求，标注“★”的条款为关键条款，作为评标时打分的重点参考。</w:t>
      </w:r>
      <w:bookmarkStart w:id="5" w:name="_Toc305941519"/>
      <w:bookmarkStart w:id="6" w:name="_Toc397006838"/>
      <w:bookmarkStart w:id="7" w:name="_Toc30594122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rPr>
      </w:pPr>
      <w:r>
        <w:rPr>
          <w:rFonts w:hint="eastAsia"/>
          <w:color w:val="auto"/>
        </w:rPr>
        <w:t>1.1</w:t>
      </w:r>
      <w:r>
        <w:rPr>
          <w:rFonts w:hint="eastAsia"/>
          <w:color w:val="auto"/>
          <w:lang w:val="en-US" w:eastAsia="zh-CN"/>
        </w:rPr>
        <w:t>1</w:t>
      </w:r>
      <w:r>
        <w:rPr>
          <w:rFonts w:hint="eastAsia"/>
          <w:color w:val="auto"/>
        </w:rPr>
        <w:t xml:space="preserve"> </w:t>
      </w:r>
      <w:r>
        <w:rPr>
          <w:rFonts w:hint="eastAsia"/>
          <w:color w:val="auto"/>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color w:val="auto"/>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291768528"/>
      <w:bookmarkStart w:id="9" w:name="_Toc290652071"/>
      <w:bookmarkStart w:id="10" w:name="_Toc292221729"/>
      <w:bookmarkStart w:id="11" w:name="_Toc397006840"/>
      <w:bookmarkStart w:id="12" w:name="_Toc305941225"/>
    </w:p>
    <w:bookmarkEnd w:id="8"/>
    <w:bookmarkEnd w:id="9"/>
    <w:bookmarkEnd w:id="10"/>
    <w:bookmarkEnd w:id="11"/>
    <w:bookmarkEnd w:id="12"/>
    <w:p>
      <w:pPr>
        <w:pStyle w:val="4"/>
        <w:bidi w:val="0"/>
        <w:rPr>
          <w:color w:val="auto"/>
        </w:rPr>
      </w:pPr>
      <w:bookmarkStart w:id="13" w:name="_Toc305941520"/>
      <w:bookmarkStart w:id="14" w:name="_Toc305941228"/>
      <w:bookmarkStart w:id="15" w:name="_Toc3763"/>
      <w:bookmarkStart w:id="16" w:name="_Toc397006842"/>
      <w:r>
        <w:rPr>
          <w:rFonts w:hint="eastAsia"/>
          <w:color w:val="auto"/>
          <w:lang w:val="en-US" w:eastAsia="zh-CN"/>
        </w:rPr>
        <w:t>2</w:t>
      </w:r>
      <w:r>
        <w:rPr>
          <w:rFonts w:hint="eastAsia"/>
          <w:color w:val="auto"/>
        </w:rPr>
        <w:t>.应遵循的主要标准</w:t>
      </w:r>
      <w:bookmarkEnd w:id="13"/>
      <w:bookmarkEnd w:id="14"/>
      <w:bookmarkEnd w:id="15"/>
      <w:bookmarkEnd w:id="16"/>
    </w:p>
    <w:p>
      <w:pPr>
        <w:pStyle w:val="19"/>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jc w:val="both"/>
        <w:textAlignment w:val="auto"/>
        <w:rPr>
          <w:color w:val="auto"/>
        </w:rPr>
      </w:pPr>
      <w:r>
        <w:rPr>
          <w:rFonts w:hint="eastAsia"/>
          <w:color w:val="auto"/>
        </w:rPr>
        <w:t xml:space="preserve">除本规范书特殊规定外, </w:t>
      </w:r>
      <w:r>
        <w:rPr>
          <w:rFonts w:hint="eastAsia"/>
          <w:color w:val="auto"/>
          <w:lang w:eastAsia="zh-CN"/>
        </w:rPr>
        <w:t>投标人</w:t>
      </w:r>
      <w:r>
        <w:rPr>
          <w:rFonts w:hint="eastAsia"/>
          <w:color w:val="auto"/>
        </w:rPr>
        <w:t>所提供的仪器均按规定的标准和规程的最新版本进行销售、设计、制造、试验和安装。如果这些标准内容有矛盾时, 应按最高标准的条款执行或按双方商定的标准执行。如果</w:t>
      </w:r>
      <w:r>
        <w:rPr>
          <w:rFonts w:hint="eastAsia"/>
          <w:color w:val="auto"/>
          <w:lang w:eastAsia="zh-CN"/>
        </w:rPr>
        <w:t>投标人</w:t>
      </w:r>
      <w:r>
        <w:rPr>
          <w:rFonts w:hint="eastAsia"/>
          <w:color w:val="auto"/>
        </w:rPr>
        <w:t>选用规范书规定以外的标准时, 则需提交这种替换标准供审查和分析。仅在</w:t>
      </w:r>
      <w:r>
        <w:rPr>
          <w:rFonts w:hint="eastAsia"/>
          <w:color w:val="auto"/>
          <w:lang w:eastAsia="zh-CN"/>
        </w:rPr>
        <w:t>投标人</w:t>
      </w:r>
      <w:r>
        <w:rPr>
          <w:rFonts w:hint="eastAsia"/>
          <w:color w:val="auto"/>
        </w:rPr>
        <w:t>已证明替换标准相当或优于规范书规定的标准, 并从买方处获得书面的认可才能使用。提交供审查的标准应为中文或英文版本。主要引用标准（未注明年号的应采用最新版本）如下：</w:t>
      </w:r>
    </w:p>
    <w:p>
      <w:pPr>
        <w:pStyle w:val="19"/>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color w:val="auto"/>
          <w:highlight w:val="yellow"/>
        </w:rPr>
      </w:pPr>
      <w:r>
        <w:rPr>
          <w:rFonts w:hint="eastAsia" w:ascii="宋体" w:hAnsi="宋体"/>
          <w:color w:val="auto"/>
          <w:szCs w:val="24"/>
          <w:lang w:eastAsia="zh-CN"/>
        </w:rPr>
        <w:t>开关特性测试仪</w:t>
      </w:r>
      <w:r>
        <w:rPr>
          <w:rFonts w:hint="eastAsia"/>
          <w:color w:val="auto"/>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rPr>
      </w:pPr>
      <w:bookmarkStart w:id="17" w:name="_Toc305941229"/>
      <w:bookmarkStart w:id="18" w:name="_Toc397006843"/>
      <w:bookmarkStart w:id="19" w:name="_Toc279769035"/>
      <w:bookmarkStart w:id="20" w:name="_Toc305941521"/>
      <w:bookmarkStart w:id="21" w:name="_Toc13932"/>
      <w:r>
        <w:rPr>
          <w:rFonts w:hint="eastAsia"/>
          <w:color w:val="auto"/>
        </w:rPr>
        <w:tab/>
      </w:r>
      <w:r>
        <w:rPr>
          <w:color w:val="auto"/>
        </w:rPr>
        <w:t>DL/T 846.3-2004</w:t>
      </w:r>
      <w:r>
        <w:rPr>
          <w:rFonts w:hint="eastAsia"/>
          <w:color w:val="auto"/>
        </w:rPr>
        <w:t xml:space="preserve">  </w:t>
      </w:r>
      <w:r>
        <w:rPr>
          <w:color w:val="auto"/>
        </w:rPr>
        <w:t>高电压测试设备通用技术条件 第3部分：高压开关</w:t>
      </w:r>
      <w:r>
        <w:rPr>
          <w:rFonts w:hint="eastAsia"/>
          <w:color w:val="auto"/>
        </w:rPr>
        <w:t xml:space="preserve"> </w:t>
      </w:r>
      <w:r>
        <w:rPr>
          <w:color w:val="auto"/>
        </w:rPr>
        <w:t>综合测试仪</w:t>
      </w:r>
    </w:p>
    <w:p>
      <w:pPr>
        <w:pStyle w:val="2"/>
        <w:keepNext w:val="0"/>
        <w:keepLines w:val="0"/>
        <w:pageBreakBefore w:val="0"/>
        <w:widowControl w:val="0"/>
        <w:kinsoku/>
        <w:wordWrap/>
        <w:overflowPunct/>
        <w:topLinePunct w:val="0"/>
        <w:autoSpaceDE/>
        <w:autoSpaceDN/>
        <w:bidi w:val="0"/>
        <w:adjustRightInd/>
        <w:snapToGrid/>
        <w:spacing w:line="500" w:lineRule="exact"/>
        <w:ind w:left="410" w:leftChars="0" w:firstLine="0" w:firstLineChars="0"/>
        <w:textAlignment w:val="auto"/>
        <w:rPr>
          <w:color w:val="auto"/>
        </w:rPr>
      </w:pPr>
      <w:r>
        <w:rPr>
          <w:rFonts w:hint="eastAsia"/>
          <w:color w:val="auto"/>
        </w:rPr>
        <w:tab/>
      </w:r>
      <w:r>
        <w:rPr>
          <w:color w:val="auto"/>
        </w:rPr>
        <w:t>DL/T 596-2005</w:t>
      </w:r>
      <w:r>
        <w:rPr>
          <w:rFonts w:hint="eastAsia"/>
          <w:color w:val="auto"/>
        </w:rPr>
        <w:t xml:space="preserve">  </w:t>
      </w:r>
      <w:r>
        <w:rPr>
          <w:color w:val="auto"/>
        </w:rPr>
        <w:t>电力设备预防性试验规程</w:t>
      </w:r>
    </w:p>
    <w:p>
      <w:pPr>
        <w:pStyle w:val="2"/>
        <w:keepNext w:val="0"/>
        <w:keepLines w:val="0"/>
        <w:pageBreakBefore w:val="0"/>
        <w:widowControl w:val="0"/>
        <w:kinsoku/>
        <w:wordWrap/>
        <w:overflowPunct/>
        <w:topLinePunct w:val="0"/>
        <w:autoSpaceDE/>
        <w:autoSpaceDN/>
        <w:bidi w:val="0"/>
        <w:adjustRightInd/>
        <w:snapToGrid/>
        <w:spacing w:line="500" w:lineRule="exact"/>
        <w:ind w:left="410" w:leftChars="0" w:firstLine="0" w:firstLineChars="0"/>
        <w:textAlignment w:val="auto"/>
        <w:rPr>
          <w:color w:val="auto"/>
        </w:rPr>
      </w:pPr>
      <w:r>
        <w:rPr>
          <w:color w:val="auto"/>
        </w:rPr>
        <w:t>GB1094.1-2013</w:t>
      </w:r>
      <w:r>
        <w:rPr>
          <w:rFonts w:hint="eastAsia"/>
          <w:color w:val="auto"/>
        </w:rPr>
        <w:t xml:space="preserve">  </w:t>
      </w:r>
      <w:r>
        <w:rPr>
          <w:color w:val="auto"/>
        </w:rPr>
        <w:t>外壳防护等级</w:t>
      </w:r>
    </w:p>
    <w:p>
      <w:pPr>
        <w:pStyle w:val="2"/>
        <w:keepNext w:val="0"/>
        <w:keepLines w:val="0"/>
        <w:pageBreakBefore w:val="0"/>
        <w:widowControl w:val="0"/>
        <w:kinsoku/>
        <w:wordWrap/>
        <w:overflowPunct/>
        <w:topLinePunct w:val="0"/>
        <w:autoSpaceDE/>
        <w:autoSpaceDN/>
        <w:bidi w:val="0"/>
        <w:adjustRightInd/>
        <w:snapToGrid/>
        <w:spacing w:line="500" w:lineRule="exact"/>
        <w:ind w:left="410" w:leftChars="0" w:firstLine="0" w:firstLineChars="0"/>
        <w:textAlignment w:val="auto"/>
        <w:rPr>
          <w:color w:val="auto"/>
        </w:rPr>
      </w:pPr>
      <w:r>
        <w:rPr>
          <w:color w:val="auto"/>
        </w:rPr>
        <w:t>GB/T16927.1^2-2011</w:t>
      </w:r>
      <w:r>
        <w:rPr>
          <w:rFonts w:hint="eastAsia"/>
          <w:color w:val="auto"/>
        </w:rPr>
        <w:t xml:space="preserve">  </w:t>
      </w:r>
      <w:r>
        <w:rPr>
          <w:color w:val="auto"/>
        </w:rPr>
        <w:t>高电压试验技术</w:t>
      </w:r>
    </w:p>
    <w:p>
      <w:pPr>
        <w:pStyle w:val="2"/>
        <w:keepNext w:val="0"/>
        <w:keepLines w:val="0"/>
        <w:pageBreakBefore w:val="0"/>
        <w:widowControl w:val="0"/>
        <w:kinsoku/>
        <w:wordWrap/>
        <w:overflowPunct/>
        <w:topLinePunct w:val="0"/>
        <w:autoSpaceDE/>
        <w:autoSpaceDN/>
        <w:bidi w:val="0"/>
        <w:adjustRightInd/>
        <w:snapToGrid/>
        <w:spacing w:line="500" w:lineRule="exact"/>
        <w:ind w:left="410" w:leftChars="0" w:firstLine="0" w:firstLineChars="0"/>
        <w:textAlignment w:val="auto"/>
        <w:rPr>
          <w:color w:val="auto"/>
        </w:rPr>
      </w:pPr>
      <w:r>
        <w:rPr>
          <w:color w:val="auto"/>
        </w:rPr>
        <w:t>GB4793.1-2007</w:t>
      </w:r>
      <w:r>
        <w:rPr>
          <w:rFonts w:hint="eastAsia"/>
          <w:color w:val="auto"/>
        </w:rPr>
        <w:t xml:space="preserve">  </w:t>
      </w:r>
      <w:r>
        <w:rPr>
          <w:color w:val="auto"/>
        </w:rPr>
        <w:t>测量、控制和实验室用电气设备的安全要求 第1部分：通用要求</w:t>
      </w:r>
    </w:p>
    <w:p>
      <w:pPr>
        <w:pStyle w:val="2"/>
        <w:keepNext w:val="0"/>
        <w:keepLines w:val="0"/>
        <w:pageBreakBefore w:val="0"/>
        <w:widowControl w:val="0"/>
        <w:kinsoku/>
        <w:wordWrap/>
        <w:overflowPunct/>
        <w:topLinePunct w:val="0"/>
        <w:autoSpaceDE/>
        <w:autoSpaceDN/>
        <w:bidi w:val="0"/>
        <w:adjustRightInd/>
        <w:snapToGrid/>
        <w:spacing w:line="500" w:lineRule="exact"/>
        <w:ind w:left="410" w:leftChars="0" w:firstLine="0" w:firstLineChars="0"/>
        <w:textAlignment w:val="auto"/>
        <w:rPr>
          <w:color w:val="auto"/>
        </w:rPr>
      </w:pPr>
      <w:r>
        <w:rPr>
          <w:color w:val="auto"/>
        </w:rPr>
        <w:t>GB191-2008</w:t>
      </w:r>
      <w:r>
        <w:rPr>
          <w:rFonts w:hint="eastAsia"/>
          <w:color w:val="auto"/>
        </w:rPr>
        <w:t xml:space="preserve">  </w:t>
      </w:r>
      <w:r>
        <w:rPr>
          <w:color w:val="auto"/>
        </w:rPr>
        <w:t>包装贮运图示标志</w:t>
      </w:r>
    </w:p>
    <w:p>
      <w:pPr>
        <w:pStyle w:val="2"/>
        <w:keepNext w:val="0"/>
        <w:keepLines w:val="0"/>
        <w:pageBreakBefore w:val="0"/>
        <w:widowControl w:val="0"/>
        <w:kinsoku/>
        <w:wordWrap/>
        <w:overflowPunct/>
        <w:topLinePunct w:val="0"/>
        <w:autoSpaceDE/>
        <w:autoSpaceDN/>
        <w:bidi w:val="0"/>
        <w:adjustRightInd/>
        <w:snapToGrid/>
        <w:spacing w:line="500" w:lineRule="exact"/>
        <w:ind w:left="410" w:leftChars="0" w:firstLine="0" w:firstLineChars="0"/>
        <w:textAlignment w:val="auto"/>
        <w:rPr>
          <w:color w:val="auto"/>
        </w:rPr>
      </w:pPr>
      <w:r>
        <w:rPr>
          <w:color w:val="auto"/>
        </w:rPr>
        <w:t>GB/311.1-2012</w:t>
      </w:r>
      <w:r>
        <w:rPr>
          <w:rFonts w:hint="eastAsia"/>
          <w:color w:val="auto"/>
        </w:rPr>
        <w:t xml:space="preserve">  </w:t>
      </w:r>
      <w:r>
        <w:rPr>
          <w:color w:val="auto"/>
        </w:rPr>
        <w:t>绝缘配合 第1部分：定义、原则和规则</w:t>
      </w:r>
    </w:p>
    <w:p>
      <w:pPr>
        <w:pStyle w:val="4"/>
        <w:bidi w:val="0"/>
        <w:rPr>
          <w:color w:val="auto"/>
        </w:rPr>
      </w:pPr>
      <w:r>
        <w:rPr>
          <w:rFonts w:hint="eastAsia"/>
          <w:color w:val="auto"/>
          <w:lang w:val="en-US" w:eastAsia="zh-CN"/>
        </w:rPr>
        <w:t>3</w:t>
      </w:r>
      <w:r>
        <w:rPr>
          <w:rFonts w:hint="eastAsia"/>
          <w:color w:val="auto"/>
        </w:rPr>
        <w:t>.使用条件</w:t>
      </w:r>
      <w:bookmarkEnd w:id="17"/>
      <w:bookmarkEnd w:id="18"/>
      <w:bookmarkEnd w:id="19"/>
      <w:bookmarkEnd w:id="20"/>
      <w:bookmarkEnd w:id="21"/>
    </w:p>
    <w:p>
      <w:pPr>
        <w:keepLines w:val="0"/>
        <w:pageBreakBefore w:val="0"/>
        <w:kinsoku/>
        <w:wordWrap/>
        <w:bidi w:val="0"/>
        <w:spacing w:line="500" w:lineRule="exact"/>
        <w:ind w:left="410"/>
        <w:rPr>
          <w:color w:val="auto"/>
        </w:rPr>
      </w:pPr>
      <w:bookmarkStart w:id="22" w:name="_Toc279769036"/>
      <w:r>
        <w:rPr>
          <w:rFonts w:hint="eastAsia"/>
          <w:color w:val="auto"/>
        </w:rPr>
        <w:tab/>
      </w:r>
      <w:r>
        <w:rPr>
          <w:rFonts w:hint="eastAsia"/>
          <w:color w:val="auto"/>
        </w:rPr>
        <w:tab/>
      </w:r>
      <w:r>
        <w:rPr>
          <w:rFonts w:hint="eastAsia"/>
          <w:color w:val="auto"/>
        </w:rPr>
        <w:t>本次采购的</w:t>
      </w:r>
      <w:r>
        <w:rPr>
          <w:rFonts w:hint="eastAsia"/>
          <w:color w:val="auto"/>
          <w:lang w:eastAsia="zh-CN"/>
        </w:rPr>
        <w:t>开关特性测试仪</w:t>
      </w:r>
      <w:r>
        <w:rPr>
          <w:rFonts w:hint="eastAsia"/>
          <w:color w:val="auto"/>
        </w:rPr>
        <w:t>，</w:t>
      </w:r>
      <w:r>
        <w:rPr>
          <w:rFonts w:hint="eastAsia"/>
          <w:color w:val="auto"/>
          <w:lang w:eastAsia="zh-CN"/>
        </w:rPr>
        <w:t>投标人</w:t>
      </w:r>
      <w:r>
        <w:rPr>
          <w:rFonts w:hint="eastAsia"/>
          <w:color w:val="auto"/>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pPr>
        <w:keepLines w:val="0"/>
        <w:pageBreakBefore w:val="0"/>
        <w:kinsoku/>
        <w:wordWrap/>
        <w:bidi w:val="0"/>
        <w:spacing w:line="500" w:lineRule="exact"/>
        <w:ind w:left="410" w:firstLine="480" w:firstLineChars="200"/>
        <w:rPr>
          <w:color w:val="auto"/>
        </w:rPr>
      </w:pPr>
      <w:r>
        <w:rPr>
          <w:rFonts w:hint="eastAsia"/>
          <w:color w:val="auto"/>
          <w:lang w:eastAsia="zh-CN"/>
        </w:rPr>
        <w:t>投标人</w:t>
      </w:r>
      <w:r>
        <w:rPr>
          <w:rFonts w:hint="eastAsia"/>
          <w:color w:val="auto"/>
        </w:rPr>
        <w:t>应对正常使用条件之外的特殊使用条件涉及的相关事项，应在报价文件及供货中特别说明。</w:t>
      </w:r>
      <w:r>
        <w:rPr>
          <w:rFonts w:hint="eastAsia" w:cs="宋体"/>
          <w:color w:val="auto"/>
          <w:lang w:eastAsia="zh-CN"/>
        </w:rPr>
        <w:t>投标人</w:t>
      </w:r>
      <w:r>
        <w:rPr>
          <w:rFonts w:hint="eastAsia" w:cs="宋体"/>
          <w:color w:val="auto"/>
        </w:rPr>
        <w:t>可采用更好，更经济的设计和材料，以便本项目采购的设备能持续稳定的运行，但需获得采购人书面的认可才能使用。</w:t>
      </w:r>
    </w:p>
    <w:p>
      <w:pPr>
        <w:keepLines w:val="0"/>
        <w:pageBreakBefore w:val="0"/>
        <w:kinsoku/>
        <w:wordWrap/>
        <w:bidi w:val="0"/>
        <w:spacing w:line="500" w:lineRule="exact"/>
        <w:ind w:left="410"/>
        <w:rPr>
          <w:b w:val="0"/>
          <w:bCs w:val="0"/>
          <w:color w:val="auto"/>
        </w:rPr>
      </w:pPr>
      <w:bookmarkStart w:id="23" w:name="_Toc397006844"/>
      <w:bookmarkStart w:id="24" w:name="_Toc305941230"/>
      <w:r>
        <w:rPr>
          <w:rFonts w:hint="eastAsia"/>
          <w:b w:val="0"/>
          <w:bCs w:val="0"/>
          <w:color w:val="auto"/>
          <w:lang w:val="en-US" w:eastAsia="zh-CN"/>
        </w:rPr>
        <w:t>3</w:t>
      </w:r>
      <w:r>
        <w:rPr>
          <w:rFonts w:hint="eastAsia"/>
          <w:b w:val="0"/>
          <w:bCs w:val="0"/>
          <w:color w:val="auto"/>
        </w:rPr>
        <w:t>.1</w:t>
      </w:r>
      <w:bookmarkStart w:id="25" w:name="_Toc285701796"/>
      <w:bookmarkStart w:id="26" w:name="_Toc285621516"/>
      <w:r>
        <w:rPr>
          <w:rFonts w:hint="eastAsia"/>
          <w:b w:val="0"/>
          <w:bCs w:val="0"/>
          <w:color w:val="auto"/>
        </w:rPr>
        <w:t>正常使用条件</w:t>
      </w:r>
      <w:bookmarkEnd w:id="22"/>
      <w:bookmarkEnd w:id="23"/>
      <w:bookmarkEnd w:id="24"/>
      <w:bookmarkEnd w:id="25"/>
      <w:bookmarkEnd w:id="26"/>
      <w:bookmarkStart w:id="27" w:name="_Toc276492375"/>
      <w:bookmarkStart w:id="28" w:name="_Toc276490903"/>
    </w:p>
    <w:p>
      <w:pPr>
        <w:keepLines w:val="0"/>
        <w:pageBreakBefore w:val="0"/>
        <w:kinsoku/>
        <w:wordWrap/>
        <w:bidi w:val="0"/>
        <w:spacing w:line="500" w:lineRule="exact"/>
        <w:ind w:left="410"/>
        <w:rPr>
          <w:color w:val="auto"/>
        </w:rPr>
      </w:pPr>
      <w:bookmarkStart w:id="29" w:name="_Toc305940419"/>
      <w:r>
        <w:rPr>
          <w:rFonts w:hint="eastAsia"/>
          <w:color w:val="auto"/>
        </w:rPr>
        <w:t>本仪器技术文件所规定的仪器技术条款和参数要求，应适用下列环境条件使用。</w:t>
      </w:r>
      <w:bookmarkEnd w:id="29"/>
    </w:p>
    <w:p>
      <w:pPr>
        <w:ind w:left="410"/>
        <w:rPr>
          <w:color w:val="auto"/>
        </w:rPr>
      </w:pPr>
      <w:bookmarkStart w:id="30" w:name="_Toc397006845"/>
      <w:r>
        <w:rPr>
          <w:rFonts w:hint="eastAsia"/>
          <w:color w:val="auto"/>
        </w:rPr>
        <w:t>环境温度：</w:t>
      </w:r>
      <w:r>
        <w:rPr>
          <w:rFonts w:hint="eastAsia"/>
          <w:color w:val="auto"/>
          <w:lang w:val="zh-CN"/>
        </w:rPr>
        <w:t>-10～50℃</w:t>
      </w:r>
    </w:p>
    <w:p>
      <w:pPr>
        <w:ind w:left="410"/>
        <w:rPr>
          <w:rFonts w:hint="eastAsia"/>
          <w:color w:val="auto"/>
        </w:rPr>
      </w:pPr>
      <w:r>
        <w:rPr>
          <w:rFonts w:hint="eastAsia"/>
          <w:color w:val="auto"/>
        </w:rPr>
        <w:t>环境湿度：</w:t>
      </w:r>
      <w:r>
        <w:rPr>
          <w:rFonts w:hint="eastAsia"/>
          <w:color w:val="auto"/>
          <w:szCs w:val="21"/>
          <w:lang w:val="zh-CN"/>
        </w:rPr>
        <w:t>≤90</w:t>
      </w:r>
      <w:r>
        <w:rPr>
          <w:color w:val="auto"/>
          <w:szCs w:val="21"/>
          <w:lang w:val="zh-CN"/>
        </w:rPr>
        <w:t>%</w:t>
      </w:r>
      <w:r>
        <w:rPr>
          <w:rFonts w:hint="eastAsia"/>
          <w:color w:val="auto"/>
          <w:szCs w:val="21"/>
          <w:lang w:val="zh-CN"/>
        </w:rPr>
        <w:t>RH</w:t>
      </w:r>
    </w:p>
    <w:p>
      <w:pPr>
        <w:ind w:left="410"/>
        <w:rPr>
          <w:color w:val="auto"/>
        </w:rPr>
      </w:pPr>
      <w:r>
        <w:rPr>
          <w:rFonts w:hint="eastAsia"/>
          <w:color w:val="auto"/>
        </w:rPr>
        <w:t>使用地点：室内、室外</w:t>
      </w:r>
    </w:p>
    <w:p>
      <w:pPr>
        <w:ind w:left="410"/>
        <w:rPr>
          <w:rFonts w:hint="eastAsia"/>
          <w:color w:val="auto"/>
        </w:rPr>
      </w:pPr>
      <w:r>
        <w:rPr>
          <w:rFonts w:hint="eastAsia"/>
          <w:color w:val="auto"/>
        </w:rPr>
        <w:t>工作电源：198～264V AC，47～63Hz</w:t>
      </w:r>
    </w:p>
    <w:p>
      <w:pPr>
        <w:keepLines w:val="0"/>
        <w:pageBreakBefore w:val="0"/>
        <w:kinsoku/>
        <w:wordWrap/>
        <w:bidi w:val="0"/>
        <w:spacing w:line="500" w:lineRule="exact"/>
        <w:ind w:left="410"/>
        <w:rPr>
          <w:color w:val="auto"/>
        </w:rPr>
      </w:pPr>
      <w:r>
        <w:rPr>
          <w:rFonts w:hint="eastAsia"/>
          <w:color w:val="auto"/>
          <w:lang w:val="en-US" w:eastAsia="zh-CN"/>
        </w:rPr>
        <w:t>3</w:t>
      </w:r>
      <w:r>
        <w:rPr>
          <w:rFonts w:hint="eastAsia"/>
          <w:color w:val="auto"/>
        </w:rPr>
        <w:t>.2特殊使用条件要求（如有）</w:t>
      </w:r>
      <w:bookmarkEnd w:id="30"/>
    </w:p>
    <w:bookmarkEnd w:id="27"/>
    <w:bookmarkEnd w:id="28"/>
    <w:p>
      <w:pPr>
        <w:keepLines w:val="0"/>
        <w:pageBreakBefore w:val="0"/>
        <w:kinsoku/>
        <w:wordWrap/>
        <w:bidi w:val="0"/>
        <w:spacing w:line="500" w:lineRule="exact"/>
        <w:ind w:left="410"/>
        <w:rPr>
          <w:rFonts w:hint="eastAsia"/>
          <w:color w:val="auto"/>
          <w:lang w:val="en-US" w:eastAsia="zh-CN"/>
        </w:rPr>
      </w:pPr>
      <w:r>
        <w:rPr>
          <w:rFonts w:hint="eastAsia"/>
          <w:color w:val="auto"/>
          <w:lang w:val="en-US" w:eastAsia="zh-CN"/>
        </w:rPr>
        <w:tab/>
      </w:r>
      <w:r>
        <w:rPr>
          <w:rFonts w:hint="eastAsia"/>
          <w:color w:val="auto"/>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pPr>
        <w:pStyle w:val="4"/>
        <w:bidi w:val="0"/>
        <w:rPr>
          <w:rFonts w:hint="eastAsia" w:ascii="宋体" w:hAnsi="宋体" w:eastAsia="宋体" w:cs="Times New Roman"/>
          <w:b w:val="0"/>
          <w:color w:val="auto"/>
          <w:kern w:val="2"/>
          <w:sz w:val="24"/>
          <w:szCs w:val="24"/>
          <w:lang w:val="en-US" w:eastAsia="zh-CN" w:bidi="ar-SA"/>
        </w:rPr>
      </w:pPr>
      <w:bookmarkStart w:id="31" w:name="_Toc22886"/>
      <w:r>
        <w:rPr>
          <w:rFonts w:hint="eastAsia"/>
          <w:color w:val="auto"/>
          <w:lang w:val="en-US" w:eastAsia="zh-CN"/>
        </w:rPr>
        <w:t>4</w:t>
      </w:r>
      <w:r>
        <w:rPr>
          <w:rFonts w:hint="eastAsia"/>
          <w:color w:val="auto"/>
        </w:rPr>
        <w:t>.技术要求</w:t>
      </w:r>
      <w:bookmarkEnd w:id="31"/>
    </w:p>
    <w:p>
      <w:pPr>
        <w:keepLines w:val="0"/>
        <w:pageBreakBefore w:val="0"/>
        <w:kinsoku/>
        <w:wordWrap/>
        <w:bidi w:val="0"/>
        <w:spacing w:line="500" w:lineRule="exact"/>
        <w:ind w:left="410"/>
        <w:rPr>
          <w:color w:val="auto"/>
        </w:rPr>
      </w:pPr>
      <w:r>
        <w:rPr>
          <w:rFonts w:hint="eastAsia"/>
          <w:color w:val="auto"/>
          <w:lang w:val="en-US" w:eastAsia="zh-CN"/>
        </w:rPr>
        <w:t>4</w:t>
      </w:r>
      <w:r>
        <w:rPr>
          <w:rFonts w:hint="eastAsia"/>
          <w:color w:val="auto"/>
        </w:rPr>
        <w:t>.1</w:t>
      </w:r>
      <w:r>
        <w:rPr>
          <w:rFonts w:hint="eastAsia"/>
          <w:color w:val="auto"/>
          <w:lang w:eastAsia="zh-CN"/>
        </w:rPr>
        <w:t>开关特性测试仪</w:t>
      </w:r>
      <w:r>
        <w:rPr>
          <w:rFonts w:hint="eastAsia"/>
          <w:color w:val="auto"/>
          <w:shd w:val="clear" w:color="auto" w:fill="FFFFFF"/>
        </w:rPr>
        <w:t>功能</w:t>
      </w:r>
      <w:r>
        <w:rPr>
          <w:rFonts w:hint="eastAsia"/>
          <w:color w:val="auto"/>
        </w:rPr>
        <w:t>要求</w:t>
      </w:r>
    </w:p>
    <w:p>
      <w:pPr>
        <w:ind w:left="410"/>
        <w:rPr>
          <w:rFonts w:hint="default" w:eastAsia="宋体"/>
          <w:b/>
          <w:bCs/>
          <w:color w:val="auto"/>
          <w:highlight w:val="none"/>
          <w:lang w:val="en-US" w:eastAsia="zh-CN"/>
        </w:rPr>
      </w:pPr>
      <w:r>
        <w:rPr>
          <w:rFonts w:hint="eastAsia"/>
          <w:color w:val="auto"/>
          <w:szCs w:val="20"/>
        </w:rPr>
        <w:t>★</w:t>
      </w:r>
      <w:r>
        <w:rPr>
          <w:rFonts w:hint="eastAsia"/>
          <w:color w:val="auto"/>
          <w:lang w:eastAsia="zh-CN"/>
        </w:rPr>
        <w:t>（</w:t>
      </w:r>
      <w:r>
        <w:rPr>
          <w:rFonts w:hint="eastAsia"/>
          <w:color w:val="auto"/>
        </w:rPr>
        <w:t>1</w:t>
      </w:r>
      <w:r>
        <w:rPr>
          <w:rFonts w:hint="eastAsia"/>
          <w:color w:val="auto"/>
          <w:lang w:eastAsia="zh-CN"/>
        </w:rPr>
        <w:t>）</w:t>
      </w:r>
      <w:r>
        <w:rPr>
          <w:rFonts w:hint="eastAsia"/>
          <w:color w:val="auto"/>
        </w:rPr>
        <w:t>测试各类高压断路器，隔离开关、接触器的机械和电气特性。</w:t>
      </w:r>
      <w:r>
        <w:rPr>
          <w:rFonts w:hint="eastAsia"/>
          <w:b/>
          <w:bCs/>
          <w:color w:val="auto"/>
          <w:highlight w:val="none"/>
          <w:lang w:val="en-US" w:eastAsia="zh-CN"/>
        </w:rPr>
        <w:t>具备扩展双端接地测试功能。</w:t>
      </w:r>
    </w:p>
    <w:p>
      <w:pPr>
        <w:ind w:left="410"/>
        <w:rPr>
          <w:rFonts w:hint="eastAsia"/>
          <w:color w:val="auto"/>
        </w:rPr>
      </w:pPr>
      <w:r>
        <w:rPr>
          <w:rFonts w:hint="eastAsia"/>
          <w:color w:val="auto"/>
          <w:szCs w:val="20"/>
        </w:rPr>
        <w:t>★</w:t>
      </w:r>
      <w:r>
        <w:rPr>
          <w:rFonts w:hint="eastAsia"/>
          <w:color w:val="auto"/>
          <w:lang w:eastAsia="zh-CN"/>
        </w:rPr>
        <w:t>（</w:t>
      </w:r>
      <w:r>
        <w:rPr>
          <w:rFonts w:hint="eastAsia"/>
          <w:color w:val="auto"/>
        </w:rPr>
        <w:t>2</w:t>
      </w:r>
      <w:r>
        <w:rPr>
          <w:rFonts w:hint="eastAsia"/>
          <w:color w:val="auto"/>
          <w:lang w:eastAsia="zh-CN"/>
        </w:rPr>
        <w:t>）</w:t>
      </w:r>
      <w:r>
        <w:rPr>
          <w:rFonts w:hint="eastAsia"/>
          <w:color w:val="auto"/>
        </w:rPr>
        <w:t>测试6个触头或3个主触头与辅助触头的合闸、分闸、不同期、弹跳、配合等时间参数。</w:t>
      </w:r>
    </w:p>
    <w:p>
      <w:pPr>
        <w:ind w:left="410"/>
        <w:rPr>
          <w:rFonts w:hint="eastAsia"/>
          <w:color w:val="auto"/>
        </w:rPr>
      </w:pPr>
      <w:r>
        <w:rPr>
          <w:rFonts w:hint="eastAsia"/>
          <w:color w:val="auto"/>
        </w:rPr>
        <w:t>★</w:t>
      </w:r>
      <w:r>
        <w:rPr>
          <w:rFonts w:hint="eastAsia"/>
          <w:color w:val="auto"/>
          <w:lang w:eastAsia="zh-CN"/>
        </w:rPr>
        <w:t>（</w:t>
      </w:r>
      <w:r>
        <w:rPr>
          <w:rFonts w:hint="eastAsia"/>
          <w:color w:val="auto"/>
        </w:rPr>
        <w:t>3</w:t>
      </w:r>
      <w:r>
        <w:rPr>
          <w:rFonts w:hint="eastAsia"/>
          <w:color w:val="auto"/>
          <w:lang w:eastAsia="zh-CN"/>
        </w:rPr>
        <w:t>）</w:t>
      </w:r>
      <w:r>
        <w:rPr>
          <w:rFonts w:hint="eastAsia"/>
          <w:color w:val="auto"/>
        </w:rPr>
        <w:t>面板应设6个触头状态指示灯，便于判断合、分闸状态或接线是否正确。</w:t>
      </w:r>
    </w:p>
    <w:p>
      <w:pPr>
        <w:ind w:left="410"/>
        <w:rPr>
          <w:rFonts w:hint="eastAsia"/>
          <w:color w:val="auto"/>
          <w:highlight w:val="none"/>
        </w:rPr>
      </w:pPr>
      <w:r>
        <w:rPr>
          <w:rFonts w:hint="eastAsia"/>
          <w:color w:val="auto"/>
        </w:rPr>
        <w:t>★</w:t>
      </w:r>
      <w:r>
        <w:rPr>
          <w:rFonts w:hint="eastAsia"/>
          <w:color w:val="auto"/>
          <w:lang w:eastAsia="zh-CN"/>
        </w:rPr>
        <w:t>（</w:t>
      </w:r>
      <w:r>
        <w:rPr>
          <w:rFonts w:hint="eastAsia"/>
          <w:color w:val="auto"/>
        </w:rPr>
        <w:t>4</w:t>
      </w:r>
      <w:r>
        <w:rPr>
          <w:rFonts w:hint="eastAsia"/>
          <w:color w:val="auto"/>
          <w:lang w:eastAsia="zh-CN"/>
        </w:rPr>
        <w:t>）</w:t>
      </w:r>
      <w:r>
        <w:rPr>
          <w:rFonts w:hint="eastAsia"/>
          <w:color w:val="auto"/>
        </w:rPr>
        <w:t>设有一个模拟量行程输入通道。使用电位器式传感器测量开关的行程、超程、反弹幅度、过冲时间、过冲量、速度。设有通信接口，</w:t>
      </w:r>
      <w:r>
        <w:rPr>
          <w:rFonts w:hint="eastAsia"/>
          <w:b/>
          <w:bCs/>
          <w:color w:val="auto"/>
          <w:highlight w:val="none"/>
        </w:rPr>
        <w:t>可测ABB开关配支架及传感器。</w:t>
      </w:r>
    </w:p>
    <w:p>
      <w:pPr>
        <w:spacing w:line="360" w:lineRule="exact"/>
        <w:ind w:left="617" w:leftChars="207" w:hanging="120" w:hangingChars="50"/>
        <w:rPr>
          <w:rFonts w:hint="eastAsia"/>
          <w:color w:val="auto"/>
        </w:rPr>
      </w:pPr>
      <w:r>
        <w:rPr>
          <w:rFonts w:hint="eastAsia"/>
          <w:color w:val="auto"/>
        </w:rPr>
        <w:t>★</w:t>
      </w:r>
      <w:r>
        <w:rPr>
          <w:rFonts w:hint="eastAsia" w:cs="宋体"/>
          <w:color w:val="auto"/>
          <w:kern w:val="0"/>
          <w:lang w:eastAsia="zh-CN"/>
        </w:rPr>
        <w:t>（</w:t>
      </w:r>
      <w:r>
        <w:rPr>
          <w:rFonts w:hint="eastAsia" w:cs="宋体"/>
          <w:color w:val="auto"/>
          <w:kern w:val="0"/>
        </w:rPr>
        <w:t>5</w:t>
      </w:r>
      <w:r>
        <w:rPr>
          <w:rFonts w:hint="eastAsia" w:cs="宋体"/>
          <w:color w:val="auto"/>
          <w:kern w:val="0"/>
          <w:lang w:eastAsia="zh-CN"/>
        </w:rPr>
        <w:t>）</w:t>
      </w:r>
      <w:r>
        <w:rPr>
          <w:rFonts w:hint="eastAsia" w:cs="宋体"/>
          <w:color w:val="auto"/>
          <w:kern w:val="0"/>
        </w:rPr>
        <w:t>可使用另配的陀螺仪传感器，无需安装支架，方便快捷进行速度测量。</w:t>
      </w:r>
    </w:p>
    <w:p>
      <w:pPr>
        <w:ind w:left="410"/>
        <w:rPr>
          <w:rFonts w:hint="eastAsia"/>
          <w:color w:val="auto"/>
        </w:rPr>
      </w:pPr>
      <w:r>
        <w:rPr>
          <w:rFonts w:hint="eastAsia"/>
          <w:color w:val="auto"/>
          <w:lang w:eastAsia="zh-CN"/>
        </w:rPr>
        <w:t>（</w:t>
      </w:r>
      <w:r>
        <w:rPr>
          <w:rFonts w:hint="eastAsia"/>
          <w:color w:val="auto"/>
        </w:rPr>
        <w:t>6</w:t>
      </w:r>
      <w:r>
        <w:rPr>
          <w:rFonts w:hint="eastAsia"/>
          <w:color w:val="auto"/>
          <w:lang w:eastAsia="zh-CN"/>
        </w:rPr>
        <w:t>）</w:t>
      </w:r>
      <w:r>
        <w:rPr>
          <w:rFonts w:hint="eastAsia"/>
          <w:color w:val="auto"/>
        </w:rPr>
        <w:t>进行合闸、分闸、分合分、合分、分合控制。</w:t>
      </w:r>
    </w:p>
    <w:p>
      <w:pPr>
        <w:ind w:left="410"/>
        <w:rPr>
          <w:rFonts w:hint="eastAsia"/>
          <w:color w:val="auto"/>
        </w:rPr>
      </w:pPr>
      <w:r>
        <w:rPr>
          <w:rFonts w:hint="eastAsia"/>
          <w:color w:val="auto"/>
        </w:rPr>
        <w:t>★</w:t>
      </w:r>
      <w:r>
        <w:rPr>
          <w:rFonts w:hint="eastAsia"/>
          <w:color w:val="auto"/>
          <w:lang w:eastAsia="zh-CN"/>
        </w:rPr>
        <w:t>（</w:t>
      </w:r>
      <w:r>
        <w:rPr>
          <w:rFonts w:hint="eastAsia"/>
          <w:color w:val="auto"/>
        </w:rPr>
        <w:t>7</w:t>
      </w:r>
      <w:r>
        <w:rPr>
          <w:rFonts w:hint="eastAsia"/>
          <w:color w:val="auto"/>
          <w:lang w:eastAsia="zh-CN"/>
        </w:rPr>
        <w:t>）</w:t>
      </w:r>
      <w:r>
        <w:rPr>
          <w:rFonts w:hint="eastAsia"/>
          <w:color w:val="auto"/>
        </w:rPr>
        <w:t>能够测试手动操作断路器的机械特性。</w:t>
      </w:r>
    </w:p>
    <w:p>
      <w:pPr>
        <w:ind w:left="410"/>
        <w:rPr>
          <w:rFonts w:hint="eastAsia"/>
          <w:color w:val="auto"/>
        </w:rPr>
      </w:pPr>
      <w:r>
        <w:rPr>
          <w:rFonts w:hint="eastAsia"/>
          <w:color w:val="auto"/>
          <w:lang w:eastAsia="zh-CN"/>
        </w:rPr>
        <w:t>（</w:t>
      </w:r>
      <w:r>
        <w:rPr>
          <w:rFonts w:hint="eastAsia"/>
          <w:color w:val="auto"/>
        </w:rPr>
        <w:t>8</w:t>
      </w:r>
      <w:r>
        <w:rPr>
          <w:rFonts w:hint="eastAsia"/>
          <w:color w:val="auto"/>
          <w:lang w:eastAsia="zh-CN"/>
        </w:rPr>
        <w:t>）</w:t>
      </w:r>
      <w:r>
        <w:rPr>
          <w:rFonts w:hint="eastAsia"/>
          <w:color w:val="auto"/>
        </w:rPr>
        <w:t>编辑储存50或以上个各种速度定义的开关型号。</w:t>
      </w:r>
    </w:p>
    <w:p>
      <w:pPr>
        <w:ind w:left="410"/>
        <w:rPr>
          <w:rFonts w:hint="eastAsia"/>
          <w:color w:val="auto"/>
        </w:rPr>
      </w:pPr>
      <w:r>
        <w:rPr>
          <w:rFonts w:hint="eastAsia"/>
          <w:color w:val="auto"/>
        </w:rPr>
        <w:t>★</w:t>
      </w:r>
      <w:r>
        <w:rPr>
          <w:rFonts w:hint="eastAsia"/>
          <w:color w:val="auto"/>
          <w:lang w:eastAsia="zh-CN"/>
        </w:rPr>
        <w:t>（</w:t>
      </w:r>
      <w:r>
        <w:rPr>
          <w:rFonts w:hint="eastAsia"/>
          <w:color w:val="auto"/>
        </w:rPr>
        <w:t>9</w:t>
      </w:r>
      <w:r>
        <w:rPr>
          <w:rFonts w:hint="eastAsia"/>
          <w:color w:val="auto"/>
          <w:lang w:eastAsia="zh-CN"/>
        </w:rPr>
        <w:t>）</w:t>
      </w:r>
      <w:r>
        <w:rPr>
          <w:rFonts w:hint="eastAsia"/>
          <w:color w:val="auto"/>
        </w:rPr>
        <w:t>具有试验结束后，改变速度定义重计算功能。</w:t>
      </w:r>
      <w:r>
        <w:rPr>
          <w:color w:val="auto"/>
        </w:rPr>
        <w:tab/>
      </w:r>
      <w:r>
        <w:rPr>
          <w:color w:val="auto"/>
        </w:rPr>
        <w:tab/>
      </w:r>
    </w:p>
    <w:p>
      <w:pPr>
        <w:ind w:left="410"/>
        <w:rPr>
          <w:rFonts w:hint="eastAsia"/>
          <w:color w:val="auto"/>
        </w:rPr>
      </w:pPr>
      <w:r>
        <w:rPr>
          <w:rFonts w:hint="eastAsia"/>
          <w:color w:val="auto"/>
          <w:szCs w:val="20"/>
        </w:rPr>
        <w:t>★</w:t>
      </w:r>
      <w:r>
        <w:rPr>
          <w:rFonts w:hint="eastAsia"/>
          <w:color w:val="auto"/>
          <w:lang w:eastAsia="zh-CN"/>
        </w:rPr>
        <w:t>（</w:t>
      </w:r>
      <w:r>
        <w:rPr>
          <w:rFonts w:hint="eastAsia"/>
          <w:color w:val="auto"/>
        </w:rPr>
        <w:t>10</w:t>
      </w:r>
      <w:r>
        <w:rPr>
          <w:rFonts w:hint="eastAsia"/>
          <w:color w:val="auto"/>
          <w:lang w:eastAsia="zh-CN"/>
        </w:rPr>
        <w:t>）</w:t>
      </w:r>
      <w:r>
        <w:rPr>
          <w:rFonts w:hint="eastAsia"/>
          <w:color w:val="auto"/>
        </w:rPr>
        <w:t>内置大功率可调直流电源，具有手动调压旋钮、合闸按钮、分闸按钮，可快速进行开关合分闸和动作电压测试。</w:t>
      </w:r>
    </w:p>
    <w:p>
      <w:pPr>
        <w:ind w:left="410"/>
        <w:rPr>
          <w:rFonts w:hint="eastAsia"/>
          <w:color w:val="auto"/>
        </w:rPr>
      </w:pPr>
      <w:r>
        <w:rPr>
          <w:rFonts w:hint="eastAsia"/>
          <w:color w:val="auto"/>
          <w:szCs w:val="20"/>
        </w:rPr>
        <w:t>★</w:t>
      </w:r>
      <w:r>
        <w:rPr>
          <w:rFonts w:hint="eastAsia"/>
          <w:color w:val="auto"/>
          <w:lang w:eastAsia="zh-CN"/>
        </w:rPr>
        <w:t>（</w:t>
      </w:r>
      <w:r>
        <w:rPr>
          <w:rFonts w:hint="eastAsia"/>
          <w:color w:val="auto"/>
        </w:rPr>
        <w:t>11</w:t>
      </w:r>
      <w:r>
        <w:rPr>
          <w:rFonts w:hint="eastAsia"/>
          <w:color w:val="auto"/>
          <w:lang w:eastAsia="zh-CN"/>
        </w:rPr>
        <w:t>）</w:t>
      </w:r>
      <w:r>
        <w:rPr>
          <w:rFonts w:hint="eastAsia"/>
          <w:color w:val="auto"/>
        </w:rPr>
        <w:t>内置交直流两用电流传感器测量合闸、分闸线圈电流。</w:t>
      </w:r>
    </w:p>
    <w:p>
      <w:pPr>
        <w:ind w:left="410"/>
        <w:rPr>
          <w:rFonts w:hint="eastAsia"/>
          <w:color w:val="auto"/>
        </w:rPr>
      </w:pPr>
      <w:r>
        <w:rPr>
          <w:rFonts w:hint="eastAsia"/>
          <w:color w:val="auto"/>
          <w:lang w:eastAsia="zh-CN"/>
        </w:rPr>
        <w:t>（</w:t>
      </w:r>
      <w:r>
        <w:rPr>
          <w:rFonts w:hint="eastAsia"/>
          <w:color w:val="auto"/>
        </w:rPr>
        <w:t>12</w:t>
      </w:r>
      <w:r>
        <w:rPr>
          <w:rFonts w:hint="eastAsia"/>
          <w:color w:val="auto"/>
          <w:lang w:eastAsia="zh-CN"/>
        </w:rPr>
        <w:t>）</w:t>
      </w:r>
      <w:r>
        <w:rPr>
          <w:rFonts w:hint="eastAsia"/>
          <w:b/>
          <w:bCs/>
          <w:color w:val="auto"/>
          <w:highlight w:val="none"/>
        </w:rPr>
        <w:t>内置连续输出的直流电源用于电机储能。</w:t>
      </w:r>
    </w:p>
    <w:p>
      <w:pPr>
        <w:ind w:left="410"/>
        <w:rPr>
          <w:rFonts w:hint="eastAsia"/>
          <w:color w:val="auto"/>
        </w:rPr>
      </w:pPr>
      <w:r>
        <w:rPr>
          <w:rFonts w:hint="eastAsia"/>
          <w:color w:val="auto"/>
          <w:lang w:eastAsia="zh-CN"/>
        </w:rPr>
        <w:t>（</w:t>
      </w:r>
      <w:r>
        <w:rPr>
          <w:rFonts w:hint="eastAsia"/>
          <w:color w:val="auto"/>
        </w:rPr>
        <w:t>13</w:t>
      </w:r>
      <w:r>
        <w:rPr>
          <w:rFonts w:hint="eastAsia"/>
          <w:color w:val="auto"/>
          <w:lang w:eastAsia="zh-CN"/>
        </w:rPr>
        <w:t>）</w:t>
      </w:r>
      <w:r>
        <w:rPr>
          <w:rFonts w:hint="eastAsia"/>
          <w:color w:val="auto"/>
        </w:rPr>
        <w:t>输出控制采用电子开关，控制精度高、寿命长。</w:t>
      </w:r>
    </w:p>
    <w:p>
      <w:pPr>
        <w:ind w:left="410"/>
        <w:rPr>
          <w:rFonts w:hint="eastAsia" w:eastAsia="宋体"/>
          <w:color w:val="auto"/>
          <w:lang w:eastAsia="zh-CN"/>
        </w:rPr>
      </w:pPr>
      <w:r>
        <w:rPr>
          <w:rFonts w:hint="eastAsia"/>
          <w:color w:val="auto"/>
          <w:lang w:eastAsia="zh-CN"/>
        </w:rPr>
        <w:t>（</w:t>
      </w:r>
      <w:r>
        <w:rPr>
          <w:rFonts w:hint="eastAsia"/>
          <w:color w:val="auto"/>
        </w:rPr>
        <w:t>14</w:t>
      </w:r>
      <w:r>
        <w:rPr>
          <w:rFonts w:hint="eastAsia"/>
          <w:color w:val="auto"/>
          <w:lang w:eastAsia="zh-CN"/>
        </w:rPr>
        <w:t>）</w:t>
      </w:r>
      <w:r>
        <w:rPr>
          <w:rFonts w:hint="eastAsia"/>
          <w:color w:val="auto"/>
        </w:rPr>
        <w:t>仪器内可储存至少500组测试数据，失电不丢失数据。</w:t>
      </w:r>
      <w:r>
        <w:rPr>
          <w:rFonts w:hint="eastAsia"/>
          <w:color w:val="auto"/>
          <w:lang w:eastAsia="zh-CN"/>
        </w:rPr>
        <w:t>）</w:t>
      </w:r>
    </w:p>
    <w:p>
      <w:pPr>
        <w:ind w:left="410"/>
        <w:rPr>
          <w:rFonts w:hint="eastAsia"/>
          <w:color w:val="auto"/>
        </w:rPr>
      </w:pPr>
      <w:r>
        <w:rPr>
          <w:rFonts w:hint="eastAsia"/>
          <w:color w:val="auto"/>
          <w:lang w:eastAsia="zh-CN"/>
        </w:rPr>
        <w:t>（</w:t>
      </w:r>
      <w:r>
        <w:rPr>
          <w:rFonts w:hint="eastAsia"/>
          <w:color w:val="auto"/>
        </w:rPr>
        <w:t>15</w:t>
      </w:r>
      <w:r>
        <w:rPr>
          <w:rFonts w:hint="eastAsia"/>
          <w:color w:val="auto"/>
          <w:lang w:eastAsia="zh-CN"/>
        </w:rPr>
        <w:t>）</w:t>
      </w:r>
      <w:r>
        <w:rPr>
          <w:rFonts w:hint="eastAsia"/>
          <w:color w:val="auto"/>
        </w:rPr>
        <w:t>储存的测试数据可转存至U盘。</w:t>
      </w:r>
    </w:p>
    <w:p>
      <w:pPr>
        <w:ind w:left="410"/>
        <w:rPr>
          <w:rFonts w:hint="eastAsia"/>
          <w:color w:val="auto"/>
        </w:rPr>
      </w:pPr>
      <w:r>
        <w:rPr>
          <w:rFonts w:hint="eastAsia"/>
          <w:color w:val="auto"/>
          <w:lang w:eastAsia="zh-CN"/>
        </w:rPr>
        <w:t>（</w:t>
      </w:r>
      <w:r>
        <w:rPr>
          <w:rFonts w:hint="eastAsia"/>
          <w:color w:val="auto"/>
        </w:rPr>
        <w:t>16</w:t>
      </w:r>
      <w:r>
        <w:rPr>
          <w:rFonts w:hint="eastAsia"/>
          <w:color w:val="auto"/>
          <w:lang w:eastAsia="zh-CN"/>
        </w:rPr>
        <w:t>）</w:t>
      </w:r>
      <w:r>
        <w:rPr>
          <w:rFonts w:hint="eastAsia"/>
          <w:color w:val="auto"/>
        </w:rPr>
        <w:t>可使用U盘可对仪器内软件进行升级。</w:t>
      </w:r>
    </w:p>
    <w:p>
      <w:pPr>
        <w:ind w:left="410"/>
        <w:rPr>
          <w:rFonts w:hint="eastAsia"/>
          <w:color w:val="auto"/>
        </w:rPr>
      </w:pPr>
      <w:r>
        <w:rPr>
          <w:rFonts w:hint="eastAsia"/>
          <w:color w:val="auto"/>
          <w:lang w:eastAsia="zh-CN"/>
        </w:rPr>
        <w:t>（</w:t>
      </w:r>
      <w:r>
        <w:rPr>
          <w:rFonts w:hint="eastAsia"/>
          <w:color w:val="auto"/>
        </w:rPr>
        <w:t>17</w:t>
      </w:r>
      <w:r>
        <w:rPr>
          <w:rFonts w:hint="eastAsia"/>
          <w:color w:val="auto"/>
          <w:lang w:eastAsia="zh-CN"/>
        </w:rPr>
        <w:t>）</w:t>
      </w:r>
      <w:r>
        <w:rPr>
          <w:rFonts w:hint="eastAsia"/>
          <w:color w:val="auto"/>
        </w:rPr>
        <w:t>室内外均可清晰显示的液晶屏上显示操作界面、测试数据、触头波形、行程线、电流曲线。</w:t>
      </w:r>
    </w:p>
    <w:p>
      <w:pPr>
        <w:ind w:left="410"/>
        <w:rPr>
          <w:rFonts w:hint="eastAsia"/>
          <w:color w:val="auto"/>
        </w:rPr>
      </w:pPr>
      <w:r>
        <w:rPr>
          <w:rFonts w:hint="eastAsia"/>
          <w:color w:val="auto"/>
          <w:szCs w:val="20"/>
        </w:rPr>
        <w:t>★</w:t>
      </w:r>
      <w:r>
        <w:rPr>
          <w:rFonts w:hint="eastAsia"/>
          <w:color w:val="auto"/>
          <w:lang w:eastAsia="zh-CN"/>
        </w:rPr>
        <w:t>（</w:t>
      </w:r>
      <w:r>
        <w:rPr>
          <w:rFonts w:hint="eastAsia"/>
          <w:color w:val="auto"/>
        </w:rPr>
        <w:t>18</w:t>
      </w:r>
      <w:r>
        <w:rPr>
          <w:rFonts w:hint="eastAsia"/>
          <w:color w:val="auto"/>
          <w:lang w:eastAsia="zh-CN"/>
        </w:rPr>
        <w:t>）</w:t>
      </w:r>
      <w:r>
        <w:rPr>
          <w:rFonts w:hint="eastAsia"/>
          <w:color w:val="auto"/>
        </w:rPr>
        <w:t>使用高速热敏打印机可打印测试数据、触头波形、行程曲线、电流曲线。</w:t>
      </w:r>
    </w:p>
    <w:p>
      <w:pPr>
        <w:ind w:left="410"/>
        <w:rPr>
          <w:rFonts w:hint="eastAsia"/>
          <w:color w:val="auto"/>
        </w:rPr>
      </w:pPr>
      <w:r>
        <w:rPr>
          <w:rFonts w:hint="eastAsia"/>
          <w:color w:val="auto"/>
          <w:lang w:eastAsia="zh-CN"/>
        </w:rPr>
        <w:t>（</w:t>
      </w:r>
      <w:r>
        <w:rPr>
          <w:rFonts w:hint="eastAsia"/>
          <w:color w:val="auto"/>
        </w:rPr>
        <w:t>19</w:t>
      </w:r>
      <w:r>
        <w:rPr>
          <w:rFonts w:hint="eastAsia"/>
          <w:color w:val="auto"/>
          <w:lang w:eastAsia="zh-CN"/>
        </w:rPr>
        <w:t>）</w:t>
      </w:r>
      <w:r>
        <w:rPr>
          <w:rFonts w:hint="eastAsia"/>
          <w:color w:val="auto"/>
        </w:rPr>
        <w:t>具有最高可进行10000次自动操作试验功能。</w:t>
      </w:r>
    </w:p>
    <w:p>
      <w:pPr>
        <w:ind w:left="410"/>
        <w:rPr>
          <w:rFonts w:hint="eastAsia"/>
          <w:color w:val="auto"/>
        </w:rPr>
      </w:pPr>
      <w:r>
        <w:rPr>
          <w:rFonts w:hint="eastAsia"/>
          <w:color w:val="auto"/>
          <w:lang w:eastAsia="zh-CN"/>
        </w:rPr>
        <w:t>（</w:t>
      </w:r>
      <w:r>
        <w:rPr>
          <w:rFonts w:hint="eastAsia"/>
          <w:color w:val="auto"/>
        </w:rPr>
        <w:t>20</w:t>
      </w:r>
      <w:r>
        <w:rPr>
          <w:rFonts w:hint="eastAsia"/>
          <w:color w:val="auto"/>
          <w:lang w:eastAsia="zh-CN"/>
        </w:rPr>
        <w:t>）</w:t>
      </w:r>
      <w:r>
        <w:rPr>
          <w:rFonts w:hint="eastAsia"/>
          <w:color w:val="auto"/>
        </w:rPr>
        <w:t>可使用USB通信线连接计算机进行操作。</w:t>
      </w:r>
    </w:p>
    <w:p>
      <w:pPr>
        <w:spacing w:line="360" w:lineRule="exact"/>
        <w:ind w:left="410"/>
        <w:rPr>
          <w:b/>
          <w:bCs/>
          <w:color w:val="auto"/>
          <w:highlight w:val="none"/>
        </w:rPr>
      </w:pPr>
      <w:r>
        <w:rPr>
          <w:rFonts w:hint="eastAsia"/>
          <w:color w:val="auto"/>
          <w:szCs w:val="20"/>
        </w:rPr>
        <w:t>★</w:t>
      </w:r>
      <w:r>
        <w:rPr>
          <w:rFonts w:hint="eastAsia"/>
          <w:color w:val="auto"/>
          <w:lang w:eastAsia="zh-CN"/>
        </w:rPr>
        <w:t>（</w:t>
      </w:r>
      <w:r>
        <w:rPr>
          <w:rFonts w:hint="eastAsia"/>
          <w:color w:val="auto"/>
        </w:rPr>
        <w:t>21</w:t>
      </w:r>
      <w:r>
        <w:rPr>
          <w:rFonts w:hint="eastAsia"/>
          <w:color w:val="auto"/>
          <w:lang w:eastAsia="zh-CN"/>
        </w:rPr>
        <w:t>）</w:t>
      </w:r>
      <w:r>
        <w:rPr>
          <w:rFonts w:hint="eastAsia"/>
          <w:color w:val="auto"/>
        </w:rPr>
        <w:t>测试数据可在计算机上打开分析、生成包络线和测试报告。</w:t>
      </w:r>
      <w:r>
        <w:rPr>
          <w:rFonts w:hint="eastAsia"/>
          <w:b/>
          <w:bCs/>
          <w:color w:val="auto"/>
          <w:highlight w:val="none"/>
        </w:rPr>
        <w:t>具备防拒动测试分析功能。</w:t>
      </w:r>
    </w:p>
    <w:p>
      <w:pPr>
        <w:spacing w:line="360" w:lineRule="exact"/>
        <w:ind w:left="890" w:hanging="480" w:hangingChars="200"/>
        <w:rPr>
          <w:rFonts w:hint="eastAsia"/>
          <w:b/>
          <w:color w:val="auto"/>
          <w:sz w:val="24"/>
          <w:szCs w:val="24"/>
        </w:rPr>
      </w:pPr>
      <w:r>
        <w:rPr>
          <w:rFonts w:hint="eastAsia"/>
          <w:color w:val="auto"/>
          <w:lang w:eastAsia="zh-CN"/>
        </w:rPr>
        <w:t>（</w:t>
      </w:r>
      <w:r>
        <w:rPr>
          <w:rFonts w:hint="eastAsia"/>
          <w:color w:val="auto"/>
          <w:sz w:val="24"/>
          <w:szCs w:val="24"/>
        </w:rPr>
        <w:t>22</w:t>
      </w:r>
      <w:r>
        <w:rPr>
          <w:rFonts w:hint="eastAsia"/>
          <w:color w:val="auto"/>
          <w:sz w:val="24"/>
          <w:szCs w:val="24"/>
          <w:lang w:eastAsia="zh-CN"/>
        </w:rPr>
        <w:t>）</w:t>
      </w:r>
      <w:r>
        <w:rPr>
          <w:rFonts w:hint="eastAsia"/>
          <w:color w:val="auto"/>
          <w:sz w:val="24"/>
          <w:szCs w:val="24"/>
        </w:rPr>
        <w:t>简体中文、英文操作界面任意切换。</w:t>
      </w:r>
    </w:p>
    <w:p>
      <w:pPr>
        <w:spacing w:line="360" w:lineRule="exact"/>
        <w:ind w:left="890" w:hanging="480" w:hangingChars="200"/>
        <w:rPr>
          <w:b/>
          <w:color w:val="auto"/>
        </w:rPr>
      </w:pPr>
      <w:r>
        <w:rPr>
          <w:rFonts w:hint="eastAsia"/>
          <w:color w:val="auto"/>
          <w:sz w:val="24"/>
          <w:szCs w:val="24"/>
        </w:rPr>
        <w:t>★</w:t>
      </w:r>
      <w:r>
        <w:rPr>
          <w:rFonts w:hint="eastAsia"/>
          <w:color w:val="auto"/>
          <w:lang w:eastAsia="zh-CN"/>
        </w:rPr>
        <w:t>（</w:t>
      </w:r>
      <w:r>
        <w:rPr>
          <w:rFonts w:hint="eastAsia"/>
          <w:color w:val="auto"/>
        </w:rPr>
        <w:t>23</w:t>
      </w:r>
      <w:r>
        <w:rPr>
          <w:rFonts w:hint="eastAsia"/>
          <w:color w:val="auto"/>
          <w:lang w:eastAsia="zh-CN"/>
        </w:rPr>
        <w:t>）</w:t>
      </w:r>
      <w:r>
        <w:rPr>
          <w:rFonts w:hint="eastAsia"/>
          <w:color w:val="auto"/>
        </w:rPr>
        <w:t>可通过另配的支持蓝牙2.0以上设备进行联机测试，并提取仪器内部试验数据。</w:t>
      </w:r>
    </w:p>
    <w:p>
      <w:pPr>
        <w:spacing w:line="360" w:lineRule="exact"/>
        <w:ind w:left="0" w:leftChars="0" w:firstLine="480" w:firstLineChars="200"/>
        <w:rPr>
          <w:color w:val="auto"/>
        </w:rPr>
      </w:pPr>
      <w:r>
        <w:rPr>
          <w:rFonts w:hint="eastAsia"/>
          <w:color w:val="auto"/>
          <w:lang w:eastAsia="zh-CN"/>
        </w:rPr>
        <w:t>（</w:t>
      </w:r>
      <w:r>
        <w:rPr>
          <w:rFonts w:hint="eastAsia"/>
          <w:color w:val="auto"/>
        </w:rPr>
        <w:t>24</w:t>
      </w:r>
      <w:r>
        <w:rPr>
          <w:rFonts w:hint="eastAsia"/>
          <w:color w:val="auto"/>
          <w:lang w:eastAsia="zh-CN"/>
        </w:rPr>
        <w:t>）</w:t>
      </w:r>
      <w:r>
        <w:rPr>
          <w:rFonts w:hint="eastAsia"/>
          <w:color w:val="auto"/>
        </w:rPr>
        <w:t>提供开放的蓝牙通信协议，支持移动设备的二次开发。</w:t>
      </w:r>
    </w:p>
    <w:p>
      <w:pPr>
        <w:keepLines w:val="0"/>
        <w:pageBreakBefore w:val="0"/>
        <w:kinsoku/>
        <w:wordWrap/>
        <w:bidi w:val="0"/>
        <w:snapToGrid w:val="0"/>
        <w:spacing w:line="500" w:lineRule="exact"/>
        <w:ind w:left="0" w:leftChars="0" w:firstLine="0" w:firstLineChars="0"/>
        <w:jc w:val="both"/>
        <w:rPr>
          <w:rFonts w:asciiTheme="minorEastAsia" w:hAnsiTheme="minorEastAsia" w:eastAsiaTheme="minorEastAsia"/>
          <w:color w:val="auto"/>
          <w:highlight w:val="yellow"/>
        </w:rPr>
      </w:pPr>
    </w:p>
    <w:p>
      <w:pPr>
        <w:keepLines w:val="0"/>
        <w:pageBreakBefore w:val="0"/>
        <w:kinsoku/>
        <w:wordWrap/>
        <w:bidi w:val="0"/>
        <w:spacing w:line="500" w:lineRule="exact"/>
        <w:ind w:left="410"/>
        <w:rPr>
          <w:rFonts w:hint="eastAsia"/>
          <w:color w:val="auto"/>
          <w:shd w:val="clear" w:color="auto" w:fill="FFFFFF"/>
        </w:rPr>
      </w:pPr>
      <w:r>
        <w:rPr>
          <w:rFonts w:hint="eastAsia" w:asciiTheme="minorEastAsia" w:hAnsiTheme="minorEastAsia" w:eastAsiaTheme="minorEastAsia"/>
          <w:color w:val="auto"/>
          <w:lang w:val="en-US" w:eastAsia="zh-CN"/>
        </w:rPr>
        <w:t>4</w:t>
      </w:r>
      <w:r>
        <w:rPr>
          <w:rFonts w:hint="eastAsia" w:asciiTheme="minorEastAsia" w:hAnsiTheme="minorEastAsia" w:eastAsiaTheme="minorEastAsia"/>
          <w:color w:val="auto"/>
        </w:rPr>
        <w:t xml:space="preserve">.2 </w:t>
      </w:r>
      <w:r>
        <w:rPr>
          <w:rFonts w:hint="eastAsia" w:eastAsiaTheme="minorEastAsia"/>
          <w:color w:val="auto"/>
          <w:lang w:eastAsia="zh-CN"/>
        </w:rPr>
        <w:t>开关特性测试仪</w:t>
      </w:r>
      <w:r>
        <w:rPr>
          <w:rFonts w:hint="eastAsia"/>
          <w:color w:val="auto"/>
          <w:shd w:val="clear" w:color="auto" w:fill="FFFFFF"/>
        </w:rPr>
        <w:t>技术指标</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3"/>
        <w:gridCol w:w="2550"/>
        <w:gridCol w:w="3318"/>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Pr>
          <w:p>
            <w:pPr>
              <w:pStyle w:val="2"/>
              <w:rPr>
                <w:rFonts w:hint="eastAsia" w:eastAsia="宋体"/>
                <w:vertAlign w:val="baseline"/>
                <w:lang w:val="en-US" w:eastAsia="zh-CN"/>
              </w:rPr>
            </w:pPr>
            <w:r>
              <w:rPr>
                <w:rFonts w:hint="eastAsia"/>
                <w:vertAlign w:val="baseline"/>
                <w:lang w:val="en-US" w:eastAsia="zh-CN"/>
              </w:rPr>
              <w:t>序号</w:t>
            </w:r>
          </w:p>
        </w:tc>
        <w:tc>
          <w:tcPr>
            <w:tcW w:w="2550" w:type="dxa"/>
          </w:tcPr>
          <w:p>
            <w:pPr>
              <w:pStyle w:val="2"/>
              <w:rPr>
                <w:rFonts w:hint="default" w:eastAsia="宋体"/>
                <w:vertAlign w:val="baseline"/>
                <w:lang w:val="en-US" w:eastAsia="zh-CN"/>
              </w:rPr>
            </w:pPr>
            <w:r>
              <w:rPr>
                <w:rFonts w:hint="eastAsia"/>
                <w:vertAlign w:val="baseline"/>
                <w:lang w:val="en-US" w:eastAsia="zh-CN"/>
              </w:rPr>
              <w:t>性能参数</w:t>
            </w:r>
          </w:p>
        </w:tc>
        <w:tc>
          <w:tcPr>
            <w:tcW w:w="3318" w:type="dxa"/>
          </w:tcPr>
          <w:p>
            <w:pPr>
              <w:pStyle w:val="2"/>
              <w:rPr>
                <w:rFonts w:hint="default" w:eastAsia="宋体"/>
                <w:vertAlign w:val="baseline"/>
                <w:lang w:val="en-US" w:eastAsia="zh-CN"/>
              </w:rPr>
            </w:pPr>
            <w:r>
              <w:rPr>
                <w:rFonts w:hint="eastAsia"/>
                <w:vertAlign w:val="baseline"/>
                <w:lang w:val="en-US" w:eastAsia="zh-CN"/>
              </w:rPr>
              <w:t>招标人要求值</w:t>
            </w:r>
          </w:p>
        </w:tc>
        <w:tc>
          <w:tcPr>
            <w:tcW w:w="2491" w:type="dxa"/>
          </w:tcPr>
          <w:p>
            <w:pPr>
              <w:pStyle w:val="2"/>
              <w:rPr>
                <w:rFonts w:hint="default" w:eastAsia="宋体"/>
                <w:vertAlign w:val="baseline"/>
                <w:lang w:val="en-US" w:eastAsia="zh-CN"/>
              </w:rPr>
            </w:pPr>
            <w:r>
              <w:rPr>
                <w:rFonts w:hint="eastAsia"/>
                <w:vertAlign w:val="baseline"/>
                <w:lang w:val="en-US" w:eastAsia="zh-CN"/>
              </w:rPr>
              <w:t>投标人响应值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Pr>
          <w:p>
            <w:pPr>
              <w:pStyle w:val="2"/>
              <w:rPr>
                <w:rFonts w:hint="eastAsia" w:eastAsia="宋体"/>
                <w:vertAlign w:val="baseline"/>
                <w:lang w:val="en-US" w:eastAsia="zh-CN"/>
              </w:rPr>
            </w:pPr>
            <w:r>
              <w:rPr>
                <w:rFonts w:hint="eastAsia"/>
                <w:vertAlign w:val="baseline"/>
                <w:lang w:val="en-US" w:eastAsia="zh-CN"/>
              </w:rPr>
              <w:t>1</w:t>
            </w:r>
          </w:p>
        </w:tc>
        <w:tc>
          <w:tcPr>
            <w:tcW w:w="2550" w:type="dxa"/>
          </w:tcPr>
          <w:p>
            <w:pPr>
              <w:pStyle w:val="2"/>
              <w:ind w:left="0" w:leftChars="0" w:firstLine="240" w:firstLineChars="100"/>
              <w:rPr>
                <w:rFonts w:hint="eastAsia"/>
                <w:vertAlign w:val="baseline"/>
              </w:rPr>
            </w:pPr>
            <w:r>
              <w:rPr>
                <w:rFonts w:hint="eastAsia"/>
                <w:color w:val="auto"/>
              </w:rPr>
              <w:t>★时间测量范围</w:t>
            </w:r>
          </w:p>
        </w:tc>
        <w:tc>
          <w:tcPr>
            <w:tcW w:w="3318" w:type="dxa"/>
          </w:tcPr>
          <w:p>
            <w:pPr>
              <w:ind w:left="0" w:leftChars="0" w:firstLine="0" w:firstLineChars="0"/>
              <w:rPr>
                <w:color w:val="auto"/>
              </w:rPr>
            </w:pPr>
            <w:r>
              <w:rPr>
                <w:rFonts w:hint="eastAsia"/>
                <w:color w:val="auto"/>
              </w:rPr>
              <w:t>1～20000ms。准确度：±（0.05%t+0.1）ms</w:t>
            </w:r>
          </w:p>
          <w:p>
            <w:pPr>
              <w:pStyle w:val="2"/>
              <w:ind w:left="0" w:leftChars="0" w:firstLine="0" w:firstLineChars="0"/>
              <w:rPr>
                <w:rFonts w:hint="eastAsia"/>
                <w:vertAlign w:val="baseline"/>
              </w:rPr>
            </w:pPr>
            <w:r>
              <w:rPr>
                <w:rFonts w:hint="eastAsia"/>
                <w:color w:val="auto"/>
              </w:rPr>
              <w:t>1～2</w:t>
            </w:r>
            <w:r>
              <w:rPr>
                <w:color w:val="auto"/>
              </w:rPr>
              <w:t>000</w:t>
            </w:r>
            <w:r>
              <w:rPr>
                <w:rFonts w:hint="eastAsia"/>
                <w:color w:val="auto"/>
              </w:rPr>
              <w:t>ms,分辨力0.1ms；2000～2</w:t>
            </w:r>
            <w:r>
              <w:rPr>
                <w:color w:val="auto"/>
              </w:rPr>
              <w:t>000</w:t>
            </w:r>
            <w:r>
              <w:rPr>
                <w:rFonts w:hint="eastAsia"/>
                <w:color w:val="auto"/>
              </w:rPr>
              <w:t>0ms,分辨力1ms</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Pr>
          <w:p>
            <w:pPr>
              <w:pStyle w:val="2"/>
              <w:rPr>
                <w:rFonts w:hint="eastAsia" w:eastAsia="宋体"/>
                <w:vertAlign w:val="baseline"/>
                <w:lang w:val="en-US" w:eastAsia="zh-CN"/>
              </w:rPr>
            </w:pPr>
            <w:r>
              <w:rPr>
                <w:rFonts w:hint="eastAsia"/>
                <w:vertAlign w:val="baseline"/>
                <w:lang w:val="en-US" w:eastAsia="zh-CN"/>
              </w:rPr>
              <w:t>2</w:t>
            </w:r>
          </w:p>
        </w:tc>
        <w:tc>
          <w:tcPr>
            <w:tcW w:w="2550" w:type="dxa"/>
          </w:tcPr>
          <w:p>
            <w:pPr>
              <w:pStyle w:val="2"/>
              <w:ind w:left="0" w:leftChars="0" w:firstLine="0" w:firstLineChars="0"/>
              <w:rPr>
                <w:rFonts w:hint="eastAsia"/>
                <w:vertAlign w:val="baseline"/>
              </w:rPr>
            </w:pPr>
            <w:r>
              <w:rPr>
                <w:rFonts w:hint="eastAsia"/>
                <w:color w:val="auto"/>
              </w:rPr>
              <w:t>模拟输入测量范围</w:t>
            </w:r>
          </w:p>
        </w:tc>
        <w:tc>
          <w:tcPr>
            <w:tcW w:w="3318" w:type="dxa"/>
          </w:tcPr>
          <w:p>
            <w:pPr>
              <w:spacing w:line="360" w:lineRule="exact"/>
              <w:ind w:left="650" w:leftChars="271" w:firstLine="120" w:firstLineChars="50"/>
              <w:rPr>
                <w:rFonts w:hint="eastAsia"/>
                <w:vertAlign w:val="baseline"/>
              </w:rPr>
            </w:pPr>
            <w:r>
              <w:rPr>
                <w:rFonts w:hint="eastAsia"/>
                <w:color w:val="auto"/>
              </w:rPr>
              <w:t>0～5V</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Pr>
          <w:p>
            <w:pPr>
              <w:pStyle w:val="2"/>
              <w:rPr>
                <w:rFonts w:hint="eastAsia" w:eastAsia="宋体"/>
                <w:vertAlign w:val="baseline"/>
                <w:lang w:val="en-US" w:eastAsia="zh-CN"/>
              </w:rPr>
            </w:pPr>
            <w:r>
              <w:rPr>
                <w:rFonts w:hint="eastAsia"/>
                <w:vertAlign w:val="baseline"/>
                <w:lang w:val="en-US" w:eastAsia="zh-CN"/>
              </w:rPr>
              <w:t>3</w:t>
            </w:r>
          </w:p>
        </w:tc>
        <w:tc>
          <w:tcPr>
            <w:tcW w:w="2550" w:type="dxa"/>
          </w:tcPr>
          <w:p>
            <w:pPr>
              <w:pStyle w:val="2"/>
              <w:ind w:left="0" w:leftChars="0" w:firstLine="240" w:firstLineChars="100"/>
              <w:rPr>
                <w:rFonts w:hint="eastAsia"/>
                <w:vertAlign w:val="baseline"/>
              </w:rPr>
            </w:pPr>
            <w:r>
              <w:rPr>
                <w:rFonts w:hint="eastAsia"/>
                <w:color w:val="auto"/>
              </w:rPr>
              <w:t>传感器电阻范围</w:t>
            </w:r>
          </w:p>
        </w:tc>
        <w:tc>
          <w:tcPr>
            <w:tcW w:w="3318" w:type="dxa"/>
          </w:tcPr>
          <w:p>
            <w:pPr>
              <w:pStyle w:val="2"/>
              <w:ind w:left="0" w:leftChars="0" w:firstLine="480" w:firstLineChars="200"/>
              <w:rPr>
                <w:rFonts w:hint="eastAsia"/>
                <w:vertAlign w:val="baseline"/>
              </w:rPr>
            </w:pPr>
            <w:r>
              <w:rPr>
                <w:rFonts w:hint="eastAsia"/>
                <w:color w:val="auto"/>
              </w:rPr>
              <w:t>50Ω～5kΩ</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Pr>
          <w:p>
            <w:pPr>
              <w:pStyle w:val="2"/>
              <w:rPr>
                <w:rFonts w:hint="eastAsia" w:eastAsia="宋体"/>
                <w:vertAlign w:val="baseline"/>
                <w:lang w:val="en-US" w:eastAsia="zh-CN"/>
              </w:rPr>
            </w:pPr>
            <w:r>
              <w:rPr>
                <w:rFonts w:hint="eastAsia"/>
                <w:vertAlign w:val="baseline"/>
                <w:lang w:val="en-US" w:eastAsia="zh-CN"/>
              </w:rPr>
              <w:t>4</w:t>
            </w:r>
          </w:p>
        </w:tc>
        <w:tc>
          <w:tcPr>
            <w:tcW w:w="2550" w:type="dxa"/>
          </w:tcPr>
          <w:p>
            <w:pPr>
              <w:pStyle w:val="2"/>
              <w:ind w:left="0" w:leftChars="0" w:firstLine="0" w:firstLineChars="0"/>
              <w:rPr>
                <w:rFonts w:hint="eastAsia"/>
                <w:vertAlign w:val="baseline"/>
              </w:rPr>
            </w:pPr>
            <w:r>
              <w:rPr>
                <w:rFonts w:hint="eastAsia"/>
                <w:color w:val="auto"/>
              </w:rPr>
              <w:t>行程测量范围取决于传感器长度</w:t>
            </w:r>
          </w:p>
        </w:tc>
        <w:tc>
          <w:tcPr>
            <w:tcW w:w="3318" w:type="dxa"/>
          </w:tcPr>
          <w:p>
            <w:pPr>
              <w:pStyle w:val="2"/>
              <w:ind w:left="0" w:leftChars="0" w:firstLine="0" w:firstLineChars="0"/>
              <w:rPr>
                <w:rFonts w:hint="eastAsia"/>
                <w:vertAlign w:val="baseline"/>
              </w:rPr>
            </w:pPr>
            <w:r>
              <w:rPr>
                <w:rFonts w:hint="eastAsia"/>
                <w:color w:val="auto"/>
              </w:rPr>
              <w:t>最高1000mm。最小分辨力0.1mm</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Pr>
          <w:p>
            <w:pPr>
              <w:pStyle w:val="2"/>
              <w:rPr>
                <w:rFonts w:hint="eastAsia" w:eastAsia="宋体"/>
                <w:vertAlign w:val="baseline"/>
                <w:lang w:val="en-US" w:eastAsia="zh-CN"/>
              </w:rPr>
            </w:pPr>
            <w:r>
              <w:rPr>
                <w:rFonts w:hint="eastAsia"/>
                <w:vertAlign w:val="baseline"/>
                <w:lang w:val="en-US" w:eastAsia="zh-CN"/>
              </w:rPr>
              <w:t>5</w:t>
            </w:r>
          </w:p>
        </w:tc>
        <w:tc>
          <w:tcPr>
            <w:tcW w:w="2550" w:type="dxa"/>
          </w:tcPr>
          <w:p>
            <w:pPr>
              <w:pStyle w:val="2"/>
              <w:ind w:left="0" w:leftChars="0" w:firstLine="0" w:firstLineChars="0"/>
              <w:rPr>
                <w:rFonts w:hint="eastAsia"/>
                <w:vertAlign w:val="baseline"/>
              </w:rPr>
            </w:pPr>
            <w:r>
              <w:rPr>
                <w:rFonts w:hint="eastAsia"/>
                <w:color w:val="auto"/>
              </w:rPr>
              <w:t>★行程测量准确度</w:t>
            </w:r>
          </w:p>
        </w:tc>
        <w:tc>
          <w:tcPr>
            <w:tcW w:w="3318" w:type="dxa"/>
          </w:tcPr>
          <w:p>
            <w:pPr>
              <w:spacing w:line="360" w:lineRule="exact"/>
              <w:ind w:left="0" w:leftChars="0" w:firstLine="0" w:firstLineChars="0"/>
              <w:rPr>
                <w:rFonts w:hint="eastAsia"/>
                <w:vertAlign w:val="baseline"/>
              </w:rPr>
            </w:pPr>
            <w:r>
              <w:rPr>
                <w:rFonts w:hint="eastAsia"/>
                <w:color w:val="auto"/>
              </w:rPr>
              <w:t>±（0.5%L+0.2）mm</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Pr>
          <w:p>
            <w:pPr>
              <w:pStyle w:val="2"/>
              <w:rPr>
                <w:rFonts w:hint="eastAsia" w:eastAsia="宋体"/>
                <w:vertAlign w:val="baseline"/>
                <w:lang w:val="en-US" w:eastAsia="zh-CN"/>
              </w:rPr>
            </w:pPr>
            <w:r>
              <w:rPr>
                <w:rFonts w:hint="eastAsia"/>
                <w:vertAlign w:val="baseline"/>
                <w:lang w:val="en-US" w:eastAsia="zh-CN"/>
              </w:rPr>
              <w:t>6</w:t>
            </w:r>
          </w:p>
        </w:tc>
        <w:tc>
          <w:tcPr>
            <w:tcW w:w="2550" w:type="dxa"/>
          </w:tcPr>
          <w:p>
            <w:pPr>
              <w:pStyle w:val="2"/>
              <w:ind w:left="0" w:leftChars="0" w:firstLine="0" w:firstLineChars="0"/>
              <w:rPr>
                <w:rFonts w:hint="eastAsia"/>
                <w:vertAlign w:val="baseline"/>
              </w:rPr>
            </w:pPr>
            <w:r>
              <w:rPr>
                <w:rFonts w:hint="eastAsia"/>
                <w:color w:val="auto"/>
              </w:rPr>
              <w:t>★速度测量范围</w:t>
            </w:r>
          </w:p>
        </w:tc>
        <w:tc>
          <w:tcPr>
            <w:tcW w:w="3318" w:type="dxa"/>
          </w:tcPr>
          <w:p>
            <w:pPr>
              <w:spacing w:line="360" w:lineRule="exact"/>
              <w:ind w:left="0" w:leftChars="0" w:firstLine="0" w:firstLineChars="0"/>
              <w:rPr>
                <w:rFonts w:hint="eastAsia"/>
                <w:vertAlign w:val="baseline"/>
              </w:rPr>
            </w:pPr>
            <w:r>
              <w:rPr>
                <w:rFonts w:hint="eastAsia"/>
                <w:color w:val="auto"/>
              </w:rPr>
              <w:t>0～20m/s，分辨力0.01m/s</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Pr>
          <w:p>
            <w:pPr>
              <w:pStyle w:val="2"/>
              <w:rPr>
                <w:rFonts w:hint="eastAsia" w:eastAsia="宋体"/>
                <w:vertAlign w:val="baseline"/>
                <w:lang w:val="en-US" w:eastAsia="zh-CN"/>
              </w:rPr>
            </w:pPr>
            <w:r>
              <w:rPr>
                <w:rFonts w:hint="eastAsia"/>
                <w:vertAlign w:val="baseline"/>
                <w:lang w:val="en-US" w:eastAsia="zh-CN"/>
              </w:rPr>
              <w:t>7</w:t>
            </w:r>
          </w:p>
        </w:tc>
        <w:tc>
          <w:tcPr>
            <w:tcW w:w="2550" w:type="dxa"/>
          </w:tcPr>
          <w:p>
            <w:pPr>
              <w:pStyle w:val="2"/>
              <w:ind w:left="0" w:leftChars="0" w:firstLine="0" w:firstLineChars="0"/>
              <w:rPr>
                <w:rFonts w:hint="eastAsia"/>
                <w:vertAlign w:val="baseline"/>
              </w:rPr>
            </w:pPr>
            <w:r>
              <w:rPr>
                <w:rFonts w:hint="eastAsia"/>
                <w:color w:val="auto"/>
              </w:rPr>
              <w:t>★</w:t>
            </w:r>
            <w:r>
              <w:rPr>
                <w:rFonts w:hint="eastAsia"/>
                <w:color w:val="auto"/>
                <w:lang w:val="en-US" w:eastAsia="zh-CN"/>
              </w:rPr>
              <w:t>交</w:t>
            </w:r>
            <w:r>
              <w:rPr>
                <w:rFonts w:hint="eastAsia"/>
                <w:color w:val="auto"/>
              </w:rPr>
              <w:t>直流电源输出</w:t>
            </w:r>
          </w:p>
        </w:tc>
        <w:tc>
          <w:tcPr>
            <w:tcW w:w="3318" w:type="dxa"/>
          </w:tcPr>
          <w:p>
            <w:pPr>
              <w:pStyle w:val="2"/>
              <w:ind w:left="0" w:leftChars="0" w:firstLine="0" w:firstLineChars="0"/>
              <w:rPr>
                <w:rFonts w:hint="eastAsia"/>
                <w:vertAlign w:val="baseline"/>
              </w:rPr>
            </w:pPr>
            <w:r>
              <w:rPr>
                <w:rFonts w:hint="eastAsia"/>
                <w:color w:val="auto"/>
              </w:rPr>
              <w:t>10～270V/</w:t>
            </w:r>
            <w:r>
              <w:rPr>
                <w:color w:val="auto"/>
              </w:rPr>
              <w:t>10</w:t>
            </w:r>
            <w:r>
              <w:rPr>
                <w:rFonts w:hint="eastAsia"/>
                <w:color w:val="auto"/>
              </w:rPr>
              <w:t>A，瞬时20A，功率3kW</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Pr>
          <w:p>
            <w:pPr>
              <w:pStyle w:val="2"/>
              <w:rPr>
                <w:rFonts w:hint="eastAsia" w:eastAsia="宋体"/>
                <w:vertAlign w:val="baseline"/>
                <w:lang w:val="en-US" w:eastAsia="zh-CN"/>
              </w:rPr>
            </w:pPr>
            <w:r>
              <w:rPr>
                <w:rFonts w:hint="eastAsia"/>
                <w:vertAlign w:val="baseline"/>
                <w:lang w:val="en-US" w:eastAsia="zh-CN"/>
              </w:rPr>
              <w:t>8</w:t>
            </w:r>
          </w:p>
        </w:tc>
        <w:tc>
          <w:tcPr>
            <w:tcW w:w="2550" w:type="dxa"/>
          </w:tcPr>
          <w:p>
            <w:pPr>
              <w:pStyle w:val="2"/>
              <w:ind w:left="0" w:leftChars="0" w:firstLine="0" w:firstLineChars="0"/>
              <w:rPr>
                <w:rFonts w:hint="eastAsia"/>
                <w:vertAlign w:val="baseline"/>
              </w:rPr>
            </w:pPr>
            <w:r>
              <w:rPr>
                <w:rFonts w:hint="eastAsia"/>
                <w:color w:val="auto"/>
              </w:rPr>
              <w:t>直流电压表测量范围</w:t>
            </w:r>
          </w:p>
        </w:tc>
        <w:tc>
          <w:tcPr>
            <w:tcW w:w="3318" w:type="dxa"/>
          </w:tcPr>
          <w:p>
            <w:pPr>
              <w:spacing w:line="360" w:lineRule="exact"/>
              <w:ind w:left="0" w:leftChars="0" w:firstLine="0" w:firstLineChars="0"/>
              <w:rPr>
                <w:rFonts w:hint="eastAsia"/>
                <w:vertAlign w:val="baseline"/>
              </w:rPr>
            </w:pPr>
            <w:r>
              <w:rPr>
                <w:rFonts w:hint="eastAsia"/>
                <w:color w:val="auto"/>
              </w:rPr>
              <w:t>0～300V DC，准确度：±（0.5%U+1）V</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Pr>
          <w:p>
            <w:pPr>
              <w:pStyle w:val="2"/>
              <w:rPr>
                <w:rFonts w:hint="eastAsia" w:eastAsia="宋体"/>
                <w:vertAlign w:val="baseline"/>
                <w:lang w:val="en-US" w:eastAsia="zh-CN"/>
              </w:rPr>
            </w:pPr>
            <w:r>
              <w:rPr>
                <w:rFonts w:hint="eastAsia"/>
                <w:vertAlign w:val="baseline"/>
                <w:lang w:val="en-US" w:eastAsia="zh-CN"/>
              </w:rPr>
              <w:t>9</w:t>
            </w:r>
          </w:p>
        </w:tc>
        <w:tc>
          <w:tcPr>
            <w:tcW w:w="2550" w:type="dxa"/>
          </w:tcPr>
          <w:p>
            <w:pPr>
              <w:pStyle w:val="2"/>
              <w:ind w:left="0" w:leftChars="0" w:firstLine="240" w:firstLineChars="100"/>
              <w:rPr>
                <w:rFonts w:hint="eastAsia"/>
                <w:vertAlign w:val="baseline"/>
              </w:rPr>
            </w:pPr>
            <w:r>
              <w:rPr>
                <w:rFonts w:hint="eastAsia"/>
                <w:color w:val="auto"/>
              </w:rPr>
              <w:t>线圈电流测量</w:t>
            </w:r>
          </w:p>
        </w:tc>
        <w:tc>
          <w:tcPr>
            <w:tcW w:w="3318" w:type="dxa"/>
          </w:tcPr>
          <w:p>
            <w:pPr>
              <w:pStyle w:val="2"/>
              <w:ind w:left="0" w:leftChars="0" w:firstLine="0" w:firstLineChars="0"/>
              <w:rPr>
                <w:rFonts w:hint="eastAsia"/>
                <w:vertAlign w:val="baseline"/>
              </w:rPr>
            </w:pPr>
            <w:r>
              <w:rPr>
                <w:rFonts w:hint="eastAsia"/>
                <w:color w:val="auto"/>
              </w:rPr>
              <w:t>0～3/30A DC/AC，最小分辨力0.01A</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Pr>
          <w:p>
            <w:pPr>
              <w:pStyle w:val="2"/>
              <w:rPr>
                <w:rFonts w:hint="default" w:eastAsia="宋体"/>
                <w:vertAlign w:val="baseline"/>
                <w:lang w:val="en-US" w:eastAsia="zh-CN"/>
              </w:rPr>
            </w:pPr>
            <w:r>
              <w:rPr>
                <w:rFonts w:hint="eastAsia"/>
                <w:vertAlign w:val="baseline"/>
                <w:lang w:val="en-US" w:eastAsia="zh-CN"/>
              </w:rPr>
              <w:t>10</w:t>
            </w:r>
          </w:p>
        </w:tc>
        <w:tc>
          <w:tcPr>
            <w:tcW w:w="2550" w:type="dxa"/>
          </w:tcPr>
          <w:p>
            <w:pPr>
              <w:pStyle w:val="2"/>
              <w:ind w:left="0" w:leftChars="0" w:firstLine="240" w:firstLineChars="100"/>
              <w:rPr>
                <w:rFonts w:hint="eastAsia"/>
                <w:vertAlign w:val="baseline"/>
              </w:rPr>
            </w:pPr>
            <w:r>
              <w:rPr>
                <w:rFonts w:hint="eastAsia"/>
                <w:color w:val="auto"/>
              </w:rPr>
              <w:t>触发启动电压</w:t>
            </w:r>
          </w:p>
        </w:tc>
        <w:tc>
          <w:tcPr>
            <w:tcW w:w="3318" w:type="dxa"/>
          </w:tcPr>
          <w:p>
            <w:pPr>
              <w:pStyle w:val="2"/>
              <w:rPr>
                <w:rFonts w:hint="eastAsia"/>
                <w:vertAlign w:val="baseline"/>
              </w:rPr>
            </w:pPr>
            <w:r>
              <w:rPr>
                <w:rFonts w:hint="eastAsia"/>
                <w:color w:val="auto"/>
              </w:rPr>
              <w:t>≥30V</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Pr>
          <w:p>
            <w:pPr>
              <w:pStyle w:val="2"/>
              <w:rPr>
                <w:rFonts w:hint="default" w:eastAsia="宋体"/>
                <w:vertAlign w:val="baseline"/>
                <w:lang w:val="en-US" w:eastAsia="zh-CN"/>
              </w:rPr>
            </w:pPr>
            <w:r>
              <w:rPr>
                <w:rFonts w:hint="eastAsia"/>
                <w:vertAlign w:val="baseline"/>
                <w:lang w:val="en-US" w:eastAsia="zh-CN"/>
              </w:rPr>
              <w:t>11</w:t>
            </w:r>
          </w:p>
        </w:tc>
        <w:tc>
          <w:tcPr>
            <w:tcW w:w="2550" w:type="dxa"/>
          </w:tcPr>
          <w:p>
            <w:pPr>
              <w:pStyle w:val="2"/>
              <w:ind w:left="0" w:leftChars="0" w:firstLine="240" w:firstLineChars="100"/>
              <w:rPr>
                <w:rFonts w:hint="eastAsia"/>
                <w:vertAlign w:val="baseline"/>
              </w:rPr>
            </w:pPr>
            <w:r>
              <w:rPr>
                <w:rFonts w:hint="eastAsia"/>
                <w:color w:val="auto"/>
              </w:rPr>
              <w:t>★输出控制功率</w:t>
            </w:r>
          </w:p>
        </w:tc>
        <w:tc>
          <w:tcPr>
            <w:tcW w:w="3318" w:type="dxa"/>
          </w:tcPr>
          <w:p>
            <w:pPr>
              <w:pStyle w:val="2"/>
              <w:ind w:left="0" w:leftChars="0" w:firstLine="0" w:firstLineChars="0"/>
              <w:rPr>
                <w:rFonts w:hint="eastAsia"/>
                <w:vertAlign w:val="baseline"/>
              </w:rPr>
            </w:pPr>
            <w:r>
              <w:rPr>
                <w:color w:val="auto"/>
              </w:rPr>
              <w:t>300V</w:t>
            </w:r>
            <w:r>
              <w:rPr>
                <w:rFonts w:hint="eastAsia"/>
                <w:color w:val="auto"/>
              </w:rPr>
              <w:t xml:space="preserve"> </w:t>
            </w:r>
            <w:r>
              <w:rPr>
                <w:color w:val="auto"/>
              </w:rPr>
              <w:t>DC/AC 30A</w:t>
            </w:r>
            <w:r>
              <w:rPr>
                <w:rFonts w:hint="eastAsia"/>
                <w:color w:val="auto"/>
              </w:rPr>
              <w:t xml:space="preserve"> </w:t>
            </w:r>
            <w:r>
              <w:rPr>
                <w:color w:val="auto"/>
              </w:rPr>
              <w:t>DC/</w:t>
            </w:r>
            <w:r>
              <w:rPr>
                <w:rFonts w:hint="eastAsia"/>
                <w:color w:val="auto"/>
              </w:rPr>
              <w:t>A</w:t>
            </w:r>
            <w:r>
              <w:rPr>
                <w:color w:val="auto"/>
              </w:rPr>
              <w:t>C</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Pr>
          <w:p>
            <w:pPr>
              <w:pStyle w:val="2"/>
              <w:rPr>
                <w:rFonts w:hint="default" w:eastAsia="宋体"/>
                <w:vertAlign w:val="baseline"/>
                <w:lang w:val="en-US" w:eastAsia="zh-CN"/>
              </w:rPr>
            </w:pPr>
            <w:r>
              <w:rPr>
                <w:rFonts w:hint="eastAsia"/>
                <w:vertAlign w:val="baseline"/>
                <w:lang w:val="en-US" w:eastAsia="zh-CN"/>
              </w:rPr>
              <w:t>12</w:t>
            </w:r>
          </w:p>
        </w:tc>
        <w:tc>
          <w:tcPr>
            <w:tcW w:w="2550" w:type="dxa"/>
          </w:tcPr>
          <w:p>
            <w:pPr>
              <w:pStyle w:val="2"/>
              <w:ind w:left="0" w:leftChars="0" w:firstLine="480" w:firstLineChars="200"/>
              <w:rPr>
                <w:rFonts w:hint="eastAsia"/>
                <w:vertAlign w:val="baseline"/>
              </w:rPr>
            </w:pPr>
            <w:r>
              <w:rPr>
                <w:rFonts w:hint="eastAsia"/>
                <w:color w:val="auto"/>
              </w:rPr>
              <w:t>工作电源</w:t>
            </w:r>
          </w:p>
        </w:tc>
        <w:tc>
          <w:tcPr>
            <w:tcW w:w="3318" w:type="dxa"/>
          </w:tcPr>
          <w:p>
            <w:pPr>
              <w:pStyle w:val="2"/>
              <w:ind w:left="0" w:leftChars="0" w:firstLine="0" w:firstLineChars="0"/>
              <w:rPr>
                <w:rFonts w:hint="eastAsia"/>
                <w:vertAlign w:val="baseline"/>
              </w:rPr>
            </w:pPr>
            <w:r>
              <w:rPr>
                <w:rFonts w:hint="eastAsia"/>
                <w:color w:val="auto"/>
              </w:rPr>
              <w:t>198～264V AC，47～63Hz</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Pr>
          <w:p>
            <w:pPr>
              <w:pStyle w:val="2"/>
              <w:rPr>
                <w:rFonts w:hint="default" w:eastAsia="宋体"/>
                <w:vertAlign w:val="baseline"/>
                <w:lang w:val="en-US" w:eastAsia="zh-CN"/>
              </w:rPr>
            </w:pPr>
            <w:r>
              <w:rPr>
                <w:rFonts w:hint="eastAsia"/>
                <w:vertAlign w:val="baseline"/>
                <w:lang w:val="en-US" w:eastAsia="zh-CN"/>
              </w:rPr>
              <w:t>13</w:t>
            </w:r>
          </w:p>
        </w:tc>
        <w:tc>
          <w:tcPr>
            <w:tcW w:w="2550" w:type="dxa"/>
          </w:tcPr>
          <w:p>
            <w:pPr>
              <w:pStyle w:val="2"/>
              <w:rPr>
                <w:rFonts w:hint="eastAsia"/>
                <w:vertAlign w:val="baseline"/>
              </w:rPr>
            </w:pPr>
            <w:r>
              <w:rPr>
                <w:rFonts w:hint="eastAsia"/>
                <w:color w:val="auto"/>
              </w:rPr>
              <w:t>★重量</w:t>
            </w:r>
          </w:p>
        </w:tc>
        <w:tc>
          <w:tcPr>
            <w:tcW w:w="3318" w:type="dxa"/>
          </w:tcPr>
          <w:p>
            <w:pPr>
              <w:spacing w:line="360" w:lineRule="exact"/>
              <w:ind w:left="530" w:hanging="120" w:hangingChars="50"/>
              <w:rPr>
                <w:rFonts w:hint="eastAsia"/>
                <w:vertAlign w:val="baseline"/>
              </w:rPr>
            </w:pPr>
            <w:r>
              <w:rPr>
                <w:rFonts w:hint="eastAsia"/>
                <w:color w:val="auto"/>
              </w:rPr>
              <w:t>≤9kg</w:t>
            </w:r>
          </w:p>
        </w:tc>
        <w:tc>
          <w:tcPr>
            <w:tcW w:w="2491" w:type="dxa"/>
          </w:tcPr>
          <w:p>
            <w:pPr>
              <w:pStyle w:val="2"/>
              <w:rPr>
                <w:rFonts w:hint="eastAsia"/>
                <w:vertAlign w:val="baseline"/>
              </w:rPr>
            </w:pPr>
          </w:p>
        </w:tc>
      </w:tr>
    </w:tbl>
    <w:p>
      <w:pPr>
        <w:pStyle w:val="4"/>
        <w:bidi w:val="0"/>
        <w:rPr>
          <w:rFonts w:cs="宋体"/>
          <w:color w:val="auto"/>
          <w:spacing w:val="1"/>
        </w:rPr>
      </w:pPr>
      <w:bookmarkStart w:id="32" w:name="_Toc14198"/>
      <w:r>
        <w:rPr>
          <w:rFonts w:hint="eastAsia"/>
          <w:color w:val="auto"/>
          <w:lang w:val="en-US" w:eastAsia="zh-CN"/>
        </w:rPr>
        <w:t>5</w:t>
      </w:r>
      <w:r>
        <w:rPr>
          <w:color w:val="auto"/>
        </w:rPr>
        <w:t>.</w:t>
      </w:r>
      <w:r>
        <w:rPr>
          <w:rFonts w:cs="宋体"/>
          <w:color w:val="auto"/>
          <w:spacing w:val="1"/>
        </w:rPr>
        <w:t>质量保证和试验</w:t>
      </w:r>
      <w:bookmarkEnd w:id="32"/>
    </w:p>
    <w:p>
      <w:pPr>
        <w:keepLines w:val="0"/>
        <w:pageBreakBefore w:val="0"/>
        <w:kinsoku/>
        <w:wordWrap/>
        <w:bidi w:val="0"/>
        <w:spacing w:line="500" w:lineRule="exact"/>
        <w:ind w:left="410"/>
        <w:rPr>
          <w:b/>
          <w:bCs/>
          <w:color w:val="auto"/>
        </w:rPr>
      </w:pPr>
      <w:r>
        <w:rPr>
          <w:rFonts w:hint="eastAsia"/>
          <w:color w:val="auto"/>
          <w:lang w:eastAsia="zh-CN"/>
        </w:rPr>
        <w:t>5.</w:t>
      </w:r>
      <w:r>
        <w:rPr>
          <w:color w:val="auto"/>
        </w:rPr>
        <w:t xml:space="preserve">1 </w:t>
      </w:r>
      <w:r>
        <w:rPr>
          <w:rFonts w:hint="eastAsia" w:cs="宋体"/>
          <w:color w:val="auto"/>
          <w:spacing w:val="-2"/>
          <w:lang w:eastAsia="zh-CN"/>
        </w:rPr>
        <w:t>投标人</w:t>
      </w:r>
      <w:r>
        <w:rPr>
          <w:rFonts w:cs="宋体"/>
          <w:color w:val="auto"/>
          <w:spacing w:val="-2"/>
        </w:rPr>
        <w:t>提供的设备试验标准应符合国标、行标及</w:t>
      </w:r>
      <w:r>
        <w:rPr>
          <w:color w:val="auto"/>
          <w:spacing w:val="2"/>
        </w:rPr>
        <w:t xml:space="preserve"> </w:t>
      </w:r>
      <w:r>
        <w:rPr>
          <w:color w:val="auto"/>
        </w:rPr>
        <w:t>IEC</w:t>
      </w:r>
      <w:r>
        <w:rPr>
          <w:color w:val="auto"/>
          <w:spacing w:val="1"/>
        </w:rPr>
        <w:t xml:space="preserve"> </w:t>
      </w:r>
      <w:r>
        <w:rPr>
          <w:rFonts w:cs="宋体"/>
          <w:color w:val="auto"/>
        </w:rPr>
        <w:t>的有关规</w:t>
      </w:r>
      <w:r>
        <w:rPr>
          <w:rFonts w:cs="宋体"/>
          <w:color w:val="auto"/>
          <w:spacing w:val="1"/>
        </w:rPr>
        <w:t>范，</w:t>
      </w:r>
      <w:r>
        <w:rPr>
          <w:rFonts w:cs="宋体"/>
          <w:b/>
          <w:bCs/>
          <w:color w:val="auto"/>
          <w:spacing w:val="1"/>
        </w:rPr>
        <w:t>并提供中国合格评定国家认可委员会</w:t>
      </w:r>
      <w:r>
        <w:rPr>
          <w:rFonts w:hint="eastAsia" w:cs="宋体"/>
          <w:b/>
          <w:bCs/>
          <w:color w:val="auto"/>
          <w:spacing w:val="1"/>
        </w:rPr>
        <w:t>(CNAS)</w:t>
      </w:r>
      <w:r>
        <w:rPr>
          <w:rFonts w:cs="宋体"/>
          <w:b/>
          <w:bCs/>
          <w:color w:val="auto"/>
          <w:spacing w:val="1"/>
        </w:rPr>
        <w:t>认可的校准机构出具的检定</w:t>
      </w:r>
      <w:r>
        <w:rPr>
          <w:b/>
          <w:bCs/>
          <w:color w:val="auto"/>
          <w:spacing w:val="3"/>
        </w:rPr>
        <w:t>/</w:t>
      </w:r>
      <w:r>
        <w:rPr>
          <w:rFonts w:cs="宋体"/>
          <w:b/>
          <w:bCs/>
          <w:color w:val="auto"/>
          <w:spacing w:val="1"/>
        </w:rPr>
        <w:t>校准报告、</w:t>
      </w:r>
      <w:r>
        <w:rPr>
          <w:rFonts w:cs="宋体"/>
          <w:b/>
          <w:bCs/>
          <w:color w:val="auto"/>
        </w:rPr>
        <w:t>出厂试验报告及产品合格证；</w:t>
      </w:r>
    </w:p>
    <w:p>
      <w:pPr>
        <w:keepLines w:val="0"/>
        <w:pageBreakBefore w:val="0"/>
        <w:kinsoku/>
        <w:wordWrap/>
        <w:bidi w:val="0"/>
        <w:spacing w:line="500" w:lineRule="exact"/>
        <w:ind w:left="410"/>
        <w:rPr>
          <w:color w:val="auto"/>
        </w:rPr>
      </w:pPr>
      <w:r>
        <w:rPr>
          <w:rFonts w:hint="eastAsia"/>
          <w:color w:val="auto"/>
          <w:lang w:eastAsia="zh-CN"/>
        </w:rPr>
        <w:t>5.</w:t>
      </w:r>
      <w:r>
        <w:rPr>
          <w:color w:val="auto"/>
        </w:rPr>
        <w:t>2</w:t>
      </w:r>
      <w:r>
        <w:rPr>
          <w:color w:val="auto"/>
          <w:spacing w:val="60"/>
        </w:rPr>
        <w:t xml:space="preserve"> </w:t>
      </w:r>
      <w:r>
        <w:rPr>
          <w:rFonts w:hint="eastAsia" w:cs="宋体"/>
          <w:color w:val="auto"/>
          <w:lang w:eastAsia="zh-CN"/>
        </w:rPr>
        <w:t>投标人</w:t>
      </w:r>
      <w:r>
        <w:rPr>
          <w:rFonts w:cs="宋体"/>
          <w:color w:val="auto"/>
        </w:rPr>
        <w:t>所生产的该装置所选用的主要元器件均为目前</w:t>
      </w:r>
      <w:r>
        <w:rPr>
          <w:rFonts w:hint="eastAsia" w:cs="宋体"/>
          <w:color w:val="auto"/>
        </w:rPr>
        <w:t>国内</w:t>
      </w:r>
      <w:r>
        <w:rPr>
          <w:rFonts w:cs="宋体"/>
          <w:color w:val="auto"/>
        </w:rPr>
        <w:t>先进的器件；所有的材料供应商都具有良好的质量保证体系，确保材料的质量。</w:t>
      </w:r>
    </w:p>
    <w:p>
      <w:pPr>
        <w:keepLines w:val="0"/>
        <w:pageBreakBefore w:val="0"/>
        <w:kinsoku/>
        <w:wordWrap/>
        <w:bidi w:val="0"/>
        <w:spacing w:line="500" w:lineRule="exact"/>
        <w:ind w:left="410"/>
        <w:rPr>
          <w:color w:val="auto"/>
        </w:rPr>
      </w:pPr>
      <w:r>
        <w:rPr>
          <w:rFonts w:hint="eastAsia"/>
          <w:color w:val="auto"/>
          <w:lang w:eastAsia="zh-CN"/>
        </w:rPr>
        <w:t>5.</w:t>
      </w:r>
      <w:r>
        <w:rPr>
          <w:color w:val="auto"/>
        </w:rPr>
        <w:t>3</w:t>
      </w:r>
      <w:r>
        <w:rPr>
          <w:color w:val="auto"/>
          <w:spacing w:val="60"/>
        </w:rPr>
        <w:t xml:space="preserve"> </w:t>
      </w:r>
      <w:r>
        <w:rPr>
          <w:rFonts w:cs="宋体"/>
          <w:color w:val="auto"/>
          <w:spacing w:val="-2"/>
        </w:rPr>
        <w:t>所有产品在生产过程的各个环节都得到有效的检验和控制，出厂前均通</w:t>
      </w:r>
      <w:r>
        <w:rPr>
          <w:rFonts w:cs="宋体"/>
          <w:color w:val="auto"/>
          <w:spacing w:val="3"/>
        </w:rPr>
        <w:t>过严格的出厂试验。</w:t>
      </w:r>
      <w:r>
        <w:rPr>
          <w:rFonts w:hint="eastAsia" w:cs="宋体"/>
          <w:color w:val="auto"/>
          <w:spacing w:val="3"/>
          <w:lang w:eastAsia="zh-CN"/>
        </w:rPr>
        <w:t>投标人</w:t>
      </w:r>
      <w:r>
        <w:rPr>
          <w:rFonts w:cs="宋体"/>
          <w:color w:val="auto"/>
          <w:spacing w:val="3"/>
        </w:rPr>
        <w:t>须配备有完善的检验器具和设备，考核设备各项功能</w:t>
      </w:r>
      <w:r>
        <w:rPr>
          <w:rFonts w:cs="宋体"/>
          <w:color w:val="auto"/>
        </w:rPr>
        <w:t>指标和保护功能等。</w:t>
      </w:r>
    </w:p>
    <w:p>
      <w:pPr>
        <w:keepLines w:val="0"/>
        <w:pageBreakBefore w:val="0"/>
        <w:kinsoku/>
        <w:wordWrap/>
        <w:bidi w:val="0"/>
        <w:spacing w:line="500" w:lineRule="exact"/>
        <w:ind w:left="410"/>
        <w:rPr>
          <w:color w:val="auto"/>
        </w:rPr>
      </w:pPr>
      <w:r>
        <w:rPr>
          <w:rFonts w:hint="eastAsia"/>
          <w:color w:val="auto"/>
          <w:lang w:eastAsia="zh-CN"/>
        </w:rPr>
        <w:t>5.</w:t>
      </w:r>
      <w:r>
        <w:rPr>
          <w:color w:val="auto"/>
        </w:rPr>
        <w:t>4</w:t>
      </w:r>
      <w:r>
        <w:rPr>
          <w:color w:val="auto"/>
          <w:spacing w:val="60"/>
        </w:rPr>
        <w:t xml:space="preserve"> </w:t>
      </w:r>
      <w:r>
        <w:rPr>
          <w:rFonts w:hint="eastAsia" w:cs="宋体"/>
          <w:color w:val="auto"/>
          <w:lang w:eastAsia="zh-CN"/>
        </w:rPr>
        <w:t>投标人</w:t>
      </w:r>
      <w:r>
        <w:rPr>
          <w:rFonts w:cs="宋体"/>
          <w:color w:val="auto"/>
        </w:rPr>
        <w:t>保证制造过程中的所有工艺、材料试验等均符合采购文件的规定。若采购方根据运行经验要求提供某种外购零部件，采购方须积极配合。</w:t>
      </w:r>
    </w:p>
    <w:p>
      <w:pPr>
        <w:pStyle w:val="4"/>
        <w:bidi w:val="0"/>
        <w:rPr>
          <w:color w:val="auto"/>
        </w:rPr>
      </w:pPr>
      <w:bookmarkStart w:id="33" w:name="_Toc18433"/>
      <w:r>
        <w:rPr>
          <w:rFonts w:hint="eastAsia"/>
          <w:color w:val="auto"/>
          <w:lang w:eastAsia="zh-CN"/>
        </w:rPr>
        <w:t>6.</w:t>
      </w:r>
      <w:r>
        <w:rPr>
          <w:rFonts w:cs="宋体"/>
          <w:color w:val="auto"/>
          <w:spacing w:val="1"/>
        </w:rPr>
        <w:t>包装、运输和储存</w:t>
      </w:r>
      <w:bookmarkEnd w:id="33"/>
    </w:p>
    <w:p>
      <w:pPr>
        <w:keepLines w:val="0"/>
        <w:pageBreakBefore w:val="0"/>
        <w:kinsoku/>
        <w:wordWrap/>
        <w:bidi w:val="0"/>
        <w:spacing w:line="500" w:lineRule="exact"/>
        <w:ind w:left="410"/>
        <w:rPr>
          <w:color w:val="auto"/>
        </w:rPr>
      </w:pPr>
      <w:r>
        <w:rPr>
          <w:rFonts w:hint="eastAsia"/>
          <w:color w:val="auto"/>
          <w:lang w:eastAsia="zh-CN"/>
        </w:rPr>
        <w:t>6.</w:t>
      </w:r>
      <w:r>
        <w:rPr>
          <w:color w:val="auto"/>
        </w:rPr>
        <w:t xml:space="preserve">1 </w:t>
      </w:r>
      <w:r>
        <w:rPr>
          <w:rFonts w:cs="宋体"/>
          <w:color w:val="auto"/>
        </w:rPr>
        <w:t>包装</w:t>
      </w:r>
    </w:p>
    <w:p>
      <w:pPr>
        <w:keepLines w:val="0"/>
        <w:pageBreakBefore w:val="0"/>
        <w:kinsoku/>
        <w:wordWrap/>
        <w:bidi w:val="0"/>
        <w:spacing w:line="500" w:lineRule="exact"/>
        <w:ind w:left="410" w:firstLine="492" w:firstLineChars="200"/>
        <w:rPr>
          <w:color w:val="auto"/>
        </w:rPr>
      </w:pPr>
      <w:r>
        <w:rPr>
          <w:rFonts w:cs="宋体"/>
          <w:color w:val="auto"/>
          <w:spacing w:val="3"/>
        </w:rPr>
        <w:t>主机、附件和资料应全部装入包装箱内，包装箱应采用纸或木箱。装箱时在</w:t>
      </w:r>
      <w:r>
        <w:rPr>
          <w:rFonts w:cs="宋体"/>
          <w:color w:val="auto"/>
        </w:rPr>
        <w:t>箱内必须附有装箱清单，包装箱侧面应注明设备名称、规格，两端面应注明轻放、</w:t>
      </w:r>
      <w:r>
        <w:rPr>
          <w:rFonts w:cs="宋体"/>
          <w:color w:val="auto"/>
          <w:spacing w:val="3"/>
        </w:rPr>
        <w:t>防雨，各种包装应能确保设备在运输过程中不致遭到损坏、丢失、变形、受潮和</w:t>
      </w:r>
      <w:r>
        <w:rPr>
          <w:rFonts w:cs="宋体"/>
          <w:color w:val="auto"/>
        </w:rPr>
        <w:t>腐蚀。</w:t>
      </w:r>
    </w:p>
    <w:p>
      <w:pPr>
        <w:keepLines w:val="0"/>
        <w:pageBreakBefore w:val="0"/>
        <w:kinsoku/>
        <w:wordWrap/>
        <w:bidi w:val="0"/>
        <w:spacing w:line="500" w:lineRule="exact"/>
        <w:ind w:left="410"/>
        <w:rPr>
          <w:color w:val="auto"/>
        </w:rPr>
      </w:pPr>
      <w:r>
        <w:rPr>
          <w:rFonts w:hint="eastAsia"/>
          <w:color w:val="auto"/>
          <w:lang w:eastAsia="zh-CN"/>
        </w:rPr>
        <w:t>6.</w:t>
      </w:r>
      <w:r>
        <w:rPr>
          <w:color w:val="auto"/>
        </w:rPr>
        <w:t xml:space="preserve">2 </w:t>
      </w:r>
      <w:r>
        <w:rPr>
          <w:rFonts w:cs="宋体"/>
          <w:color w:val="auto"/>
        </w:rPr>
        <w:t>运输</w:t>
      </w:r>
    </w:p>
    <w:p>
      <w:pPr>
        <w:keepLines w:val="0"/>
        <w:pageBreakBefore w:val="0"/>
        <w:kinsoku/>
        <w:wordWrap/>
        <w:bidi w:val="0"/>
        <w:spacing w:line="500" w:lineRule="exact"/>
        <w:ind w:left="410" w:firstLine="492" w:firstLineChars="200"/>
        <w:rPr>
          <w:color w:val="auto"/>
        </w:rPr>
      </w:pPr>
      <w:r>
        <w:rPr>
          <w:rFonts w:cs="宋体"/>
          <w:color w:val="auto"/>
          <w:spacing w:val="3"/>
        </w:rPr>
        <w:t>应采取有效的预防措施防止在运输过程中振动给设备造成的影响和损伤，运输过程中的包装应符合运输部门的有关规定，设备及附件经妥善包装或装箱后，</w:t>
      </w:r>
      <w:r>
        <w:rPr>
          <w:rFonts w:cs="宋体"/>
          <w:color w:val="auto"/>
        </w:rPr>
        <w:t>在运输过程中尚应采取其它防护措施，以免散失损坏或被盗。</w:t>
      </w:r>
    </w:p>
    <w:p>
      <w:pPr>
        <w:keepLines w:val="0"/>
        <w:pageBreakBefore w:val="0"/>
        <w:kinsoku/>
        <w:wordWrap/>
        <w:bidi w:val="0"/>
        <w:spacing w:line="500" w:lineRule="exact"/>
        <w:ind w:left="410"/>
        <w:rPr>
          <w:color w:val="auto"/>
        </w:rPr>
      </w:pPr>
      <w:r>
        <w:rPr>
          <w:rFonts w:hint="eastAsia"/>
          <w:color w:val="auto"/>
          <w:lang w:eastAsia="zh-CN"/>
        </w:rPr>
        <w:t>6.</w:t>
      </w:r>
      <w:r>
        <w:rPr>
          <w:color w:val="auto"/>
        </w:rPr>
        <w:t xml:space="preserve">3 </w:t>
      </w:r>
      <w:r>
        <w:rPr>
          <w:rFonts w:cs="宋体"/>
          <w:color w:val="auto"/>
        </w:rPr>
        <w:t>储存</w:t>
      </w:r>
    </w:p>
    <w:p>
      <w:pPr>
        <w:keepLines w:val="0"/>
        <w:pageBreakBefore w:val="0"/>
        <w:kinsoku/>
        <w:wordWrap/>
        <w:bidi w:val="0"/>
        <w:spacing w:line="500" w:lineRule="exact"/>
        <w:ind w:left="410" w:firstLine="492" w:firstLineChars="200"/>
        <w:rPr>
          <w:color w:val="auto"/>
        </w:rPr>
      </w:pPr>
      <w:r>
        <w:rPr>
          <w:rFonts w:cs="宋体"/>
          <w:color w:val="auto"/>
          <w:spacing w:val="3"/>
        </w:rPr>
        <w:t>设备及附件应采用防潮包装，并存放在正常环境温度、干燥的室内保管，以</w:t>
      </w:r>
      <w:r>
        <w:rPr>
          <w:rFonts w:cs="宋体"/>
          <w:color w:val="auto"/>
        </w:rPr>
        <w:t>防止储存过程中密封破坏而受潮。</w:t>
      </w:r>
    </w:p>
    <w:p>
      <w:pPr>
        <w:pStyle w:val="4"/>
        <w:bidi w:val="0"/>
        <w:rPr>
          <w:rFonts w:hint="default"/>
          <w:color w:val="auto"/>
          <w:lang w:val="en-US" w:eastAsia="zh-CN"/>
        </w:rPr>
      </w:pPr>
      <w:bookmarkStart w:id="34" w:name="_Toc22301"/>
      <w:r>
        <w:rPr>
          <w:rFonts w:hint="eastAsia"/>
          <w:color w:val="auto"/>
          <w:lang w:eastAsia="zh-CN"/>
        </w:rPr>
        <w:t>7.</w:t>
      </w:r>
      <w:r>
        <w:rPr>
          <w:rFonts w:hint="eastAsia"/>
          <w:color w:val="auto"/>
        </w:rPr>
        <w:t>交货时间</w:t>
      </w:r>
      <w:r>
        <w:rPr>
          <w:rFonts w:hint="eastAsia"/>
          <w:color w:val="auto"/>
          <w:lang w:eastAsia="zh-CN"/>
        </w:rPr>
        <w:t>、</w:t>
      </w:r>
      <w:r>
        <w:rPr>
          <w:rFonts w:hint="eastAsia"/>
          <w:color w:val="auto"/>
          <w:lang w:val="en-US" w:eastAsia="zh-CN"/>
        </w:rPr>
        <w:t>内容及功能验收</w:t>
      </w:r>
      <w:bookmarkEnd w:id="34"/>
    </w:p>
    <w:p>
      <w:pPr>
        <w:keepLines w:val="0"/>
        <w:pageBreakBefore w:val="0"/>
        <w:kinsoku/>
        <w:wordWrap/>
        <w:bidi w:val="0"/>
        <w:spacing w:line="500" w:lineRule="exact"/>
        <w:ind w:left="410"/>
        <w:rPr>
          <w:rFonts w:hint="eastAsia"/>
          <w:color w:val="auto"/>
          <w:lang w:val="en-US" w:eastAsia="zh-CN"/>
        </w:rPr>
      </w:pPr>
      <w:r>
        <w:rPr>
          <w:rFonts w:hint="eastAsia" w:cs="Times New Roman"/>
          <w:color w:val="auto"/>
          <w:sz w:val="24"/>
          <w:szCs w:val="24"/>
          <w:highlight w:val="none"/>
          <w:lang w:val="en-US" w:eastAsia="zh-CN"/>
        </w:rPr>
        <w:t xml:space="preserve">7.1 </w:t>
      </w:r>
      <w:r>
        <w:rPr>
          <w:rFonts w:hint="eastAsia"/>
          <w:color w:val="auto"/>
          <w:lang w:val="en-US" w:eastAsia="zh-CN"/>
        </w:rPr>
        <w:t>功能验收</w:t>
      </w:r>
    </w:p>
    <w:p>
      <w:pPr>
        <w:keepLines w:val="0"/>
        <w:pageBreakBefore w:val="0"/>
        <w:kinsoku/>
        <w:wordWrap/>
        <w:bidi w:val="0"/>
        <w:spacing w:line="500" w:lineRule="exact"/>
        <w:ind w:left="410"/>
        <w:rPr>
          <w:rFonts w:hint="default"/>
          <w:color w:val="auto"/>
          <w:lang w:val="en-US" w:eastAsia="zh-CN"/>
        </w:rPr>
      </w:pPr>
      <w:r>
        <w:rPr>
          <w:rFonts w:hint="eastAsia" w:ascii="宋体" w:hAnsi="宋体" w:eastAsia="宋体" w:cs="Times New Roman"/>
          <w:color w:val="auto"/>
          <w:sz w:val="24"/>
          <w:szCs w:val="24"/>
          <w:highlight w:val="none"/>
        </w:rPr>
        <w:t>本标书采购设备</w:t>
      </w:r>
      <w:r>
        <w:rPr>
          <w:rFonts w:ascii="宋体" w:hAnsi="宋体" w:eastAsia="宋体" w:cs="Times New Roman"/>
          <w:color w:val="auto"/>
          <w:sz w:val="24"/>
          <w:szCs w:val="24"/>
          <w:highlight w:val="none"/>
        </w:rPr>
        <w:t>应进行现场交接试验</w:t>
      </w:r>
      <w:r>
        <w:rPr>
          <w:rFonts w:hint="eastAsia" w:ascii="宋体" w:hAnsi="宋体" w:eastAsia="宋体" w:cs="Times New Roman"/>
          <w:color w:val="auto"/>
          <w:sz w:val="24"/>
          <w:szCs w:val="24"/>
          <w:highlight w:val="none"/>
        </w:rPr>
        <w:t>和功能</w:t>
      </w:r>
      <w:r>
        <w:rPr>
          <w:rFonts w:hint="eastAsia" w:ascii="宋体" w:hAnsi="宋体" w:eastAsia="宋体" w:cs="Times New Roman"/>
          <w:color w:val="auto"/>
          <w:sz w:val="24"/>
          <w:szCs w:val="24"/>
          <w:highlight w:val="none"/>
          <w:lang w:val="en-US" w:eastAsia="zh-CN"/>
        </w:rPr>
        <w:t>性</w:t>
      </w:r>
      <w:r>
        <w:rPr>
          <w:rFonts w:hint="eastAsia" w:ascii="宋体" w:hAnsi="宋体" w:eastAsia="宋体" w:cs="Times New Roman"/>
          <w:color w:val="auto"/>
          <w:sz w:val="24"/>
          <w:szCs w:val="24"/>
          <w:highlight w:val="none"/>
        </w:rPr>
        <w:t>验收</w:t>
      </w:r>
      <w:r>
        <w:rPr>
          <w:rFonts w:ascii="宋体" w:hAnsi="宋体" w:eastAsia="宋体" w:cs="Times New Roman"/>
          <w:color w:val="auto"/>
          <w:sz w:val="24"/>
          <w:szCs w:val="24"/>
          <w:highlight w:val="none"/>
        </w:rPr>
        <w:t>。交接试验</w:t>
      </w:r>
      <w:r>
        <w:rPr>
          <w:rFonts w:hint="eastAsia" w:ascii="宋体" w:hAnsi="宋体" w:eastAsia="宋体" w:cs="Times New Roman"/>
          <w:color w:val="auto"/>
          <w:sz w:val="24"/>
          <w:szCs w:val="24"/>
          <w:highlight w:val="none"/>
        </w:rPr>
        <w:t>和功能验收</w:t>
      </w:r>
      <w:r>
        <w:rPr>
          <w:rFonts w:ascii="宋体" w:hAnsi="宋体" w:eastAsia="宋体" w:cs="Times New Roman"/>
          <w:color w:val="auto"/>
          <w:sz w:val="24"/>
          <w:szCs w:val="24"/>
          <w:highlight w:val="none"/>
        </w:rPr>
        <w:t>是为了确认</w:t>
      </w:r>
      <w:r>
        <w:rPr>
          <w:rFonts w:hint="eastAsia" w:ascii="宋体" w:hAnsi="宋体" w:eastAsia="宋体" w:cs="Times New Roman"/>
          <w:color w:val="auto"/>
          <w:sz w:val="24"/>
          <w:szCs w:val="24"/>
          <w:highlight w:val="none"/>
        </w:rPr>
        <w:t>设备</w:t>
      </w:r>
      <w:r>
        <w:rPr>
          <w:rFonts w:ascii="宋体" w:hAnsi="宋体" w:eastAsia="宋体" w:cs="Times New Roman"/>
          <w:color w:val="auto"/>
          <w:sz w:val="24"/>
          <w:szCs w:val="24"/>
          <w:highlight w:val="none"/>
        </w:rPr>
        <w:t>经过运输、储存、现场安装或调整等过程后是否存在损坏、各个单元的兼容性、装配是否正确</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功能是否符合技术要求</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本标书采购现场交接试验和设备功能验收应</w:t>
      </w:r>
      <w:r>
        <w:rPr>
          <w:rFonts w:hint="eastAsia" w:ascii="宋体" w:hAnsi="宋体" w:eastAsia="宋体" w:cs="Times New Roman"/>
          <w:color w:val="auto"/>
          <w:sz w:val="24"/>
          <w:szCs w:val="24"/>
          <w:highlight w:val="none"/>
          <w:lang w:val="en-US" w:eastAsia="zh-CN"/>
        </w:rPr>
        <w:t>严格</w:t>
      </w:r>
      <w:r>
        <w:rPr>
          <w:rFonts w:hint="eastAsia" w:ascii="宋体" w:hAnsi="宋体" w:eastAsia="宋体" w:cs="Times New Roman"/>
          <w:color w:val="auto"/>
          <w:sz w:val="24"/>
          <w:szCs w:val="24"/>
          <w:highlight w:val="none"/>
        </w:rPr>
        <w:t>按</w:t>
      </w:r>
      <w:r>
        <w:rPr>
          <w:rFonts w:hint="eastAsia" w:ascii="宋体" w:hAnsi="宋体" w:eastAsia="宋体" w:cs="Times New Roman"/>
          <w:color w:val="auto"/>
          <w:sz w:val="24"/>
          <w:szCs w:val="24"/>
          <w:highlight w:val="none"/>
          <w:lang w:val="en-US" w:eastAsia="zh-CN"/>
        </w:rPr>
        <w:t>功能及技术参数</w:t>
      </w:r>
      <w:r>
        <w:rPr>
          <w:rFonts w:hint="eastAsia" w:ascii="宋体" w:hAnsi="宋体" w:eastAsia="宋体" w:cs="Times New Roman"/>
          <w:color w:val="auto"/>
          <w:sz w:val="24"/>
          <w:szCs w:val="24"/>
          <w:highlight w:val="none"/>
        </w:rPr>
        <w:t>要求执行</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b/>
          <w:bCs/>
          <w:color w:val="auto"/>
          <w:sz w:val="24"/>
          <w:szCs w:val="24"/>
          <w:highlight w:val="none"/>
          <w:lang w:val="en-US" w:eastAsia="zh-CN"/>
        </w:rPr>
        <w:t>如实际供货产品与招标采购所需功能及技术参数不符，视为虚假中标，</w:t>
      </w:r>
      <w:r>
        <w:rPr>
          <w:rFonts w:hint="eastAsia" w:cs="Times New Roman"/>
          <w:b/>
          <w:bCs/>
          <w:color w:val="auto"/>
          <w:sz w:val="24"/>
          <w:szCs w:val="24"/>
          <w:highlight w:val="none"/>
          <w:lang w:val="en-US" w:eastAsia="zh-CN"/>
        </w:rPr>
        <w:t>有权进行</w:t>
      </w:r>
      <w:r>
        <w:rPr>
          <w:rFonts w:hint="eastAsia" w:ascii="宋体" w:hAnsi="宋体" w:eastAsia="宋体" w:cs="Times New Roman"/>
          <w:b/>
          <w:bCs/>
          <w:color w:val="auto"/>
          <w:sz w:val="24"/>
          <w:szCs w:val="24"/>
          <w:highlight w:val="none"/>
          <w:lang w:val="en-US" w:eastAsia="zh-CN"/>
        </w:rPr>
        <w:t>退货处理</w:t>
      </w:r>
      <w:r>
        <w:rPr>
          <w:rFonts w:hint="eastAsia" w:cs="Times New Roman"/>
          <w:b/>
          <w:bCs/>
          <w:color w:val="auto"/>
          <w:sz w:val="24"/>
          <w:szCs w:val="24"/>
          <w:highlight w:val="none"/>
          <w:lang w:val="en-US" w:eastAsia="zh-CN"/>
        </w:rPr>
        <w:t>，</w:t>
      </w:r>
      <w:r>
        <w:rPr>
          <w:rFonts w:hint="eastAsia" w:ascii="宋体" w:hAnsi="宋体" w:eastAsia="宋体" w:cs="Times New Roman"/>
          <w:b/>
          <w:bCs/>
          <w:color w:val="auto"/>
          <w:sz w:val="24"/>
          <w:szCs w:val="24"/>
          <w:highlight w:val="none"/>
          <w:lang w:val="en-US" w:eastAsia="zh-CN"/>
        </w:rPr>
        <w:t>并</w:t>
      </w:r>
      <w:r>
        <w:rPr>
          <w:rFonts w:hint="eastAsia"/>
          <w:b/>
          <w:bCs/>
          <w:color w:val="auto"/>
          <w:lang w:val="en-US" w:eastAsia="zh-CN"/>
        </w:rPr>
        <w:t>按照《中国南方电网有限责任公司供应商不良行为处理管理细则》进行处理，同时纳入履约评价。</w:t>
      </w:r>
    </w:p>
    <w:p>
      <w:pPr>
        <w:keepLines w:val="0"/>
        <w:pageBreakBefore w:val="0"/>
        <w:kinsoku/>
        <w:wordWrap/>
        <w:bidi w:val="0"/>
        <w:spacing w:line="500" w:lineRule="exact"/>
        <w:ind w:left="410"/>
        <w:rPr>
          <w:rFonts w:hint="eastAsia"/>
          <w:color w:val="auto"/>
        </w:rPr>
      </w:pPr>
      <w:r>
        <w:rPr>
          <w:rFonts w:hint="eastAsia"/>
          <w:color w:val="auto"/>
          <w:lang w:eastAsia="zh-CN"/>
        </w:rPr>
        <w:t>7.</w:t>
      </w:r>
      <w:r>
        <w:rPr>
          <w:rFonts w:hint="eastAsia"/>
          <w:color w:val="auto"/>
        </w:rPr>
        <w:t>2 交货期：合同签订后</w:t>
      </w:r>
      <w:r>
        <w:rPr>
          <w:rFonts w:hint="eastAsia"/>
          <w:color w:val="auto"/>
          <w:lang w:val="en-US" w:eastAsia="zh-CN"/>
        </w:rPr>
        <w:t>15</w:t>
      </w:r>
      <w:r>
        <w:rPr>
          <w:rFonts w:hint="eastAsia"/>
          <w:color w:val="auto"/>
        </w:rPr>
        <w:t>天内。</w:t>
      </w:r>
    </w:p>
    <w:p>
      <w:pPr>
        <w:keepLines w:val="0"/>
        <w:pageBreakBefore w:val="0"/>
        <w:kinsoku/>
        <w:wordWrap/>
        <w:bidi w:val="0"/>
        <w:spacing w:line="500" w:lineRule="exact"/>
        <w:ind w:left="410"/>
        <w:rPr>
          <w:rFonts w:hint="eastAsia" w:ascii="宋体" w:hAnsi="宋体" w:eastAsia="宋体"/>
          <w:color w:val="auto"/>
          <w:sz w:val="24"/>
        </w:rPr>
      </w:pPr>
      <w:r>
        <w:rPr>
          <w:rFonts w:hint="eastAsia"/>
          <w:color w:val="auto"/>
          <w:sz w:val="24"/>
          <w:lang w:val="en-US" w:eastAsia="zh-CN"/>
        </w:rPr>
        <w:t>7.3 交货资料：</w:t>
      </w:r>
      <w:r>
        <w:rPr>
          <w:rFonts w:hint="eastAsia" w:ascii="宋体" w:hAnsi="宋体" w:eastAsia="宋体"/>
          <w:color w:val="auto"/>
          <w:sz w:val="24"/>
        </w:rPr>
        <w:t>随产品提供的技术资料应完整无缺，并为中文版本。</w:t>
      </w:r>
    </w:p>
    <w:p>
      <w:pPr>
        <w:pStyle w:val="31"/>
        <w:ind w:firstLine="0" w:firstLineChars="0"/>
        <w:rPr>
          <w:rFonts w:hint="eastAsia" w:ascii="宋体" w:hAnsi="宋体" w:eastAsia="宋体"/>
          <w:color w:val="auto"/>
          <w:sz w:val="24"/>
        </w:rPr>
      </w:pPr>
      <w:r>
        <w:rPr>
          <w:rFonts w:hint="eastAsia" w:ascii="宋体" w:hAnsi="宋体" w:eastAsia="宋体"/>
          <w:b w:val="0"/>
          <w:bCs w:val="0"/>
          <w:color w:val="auto"/>
          <w:sz w:val="24"/>
        </w:rPr>
        <w:t>①装箱资料应包括：</w:t>
      </w:r>
      <w:r>
        <w:rPr>
          <w:rFonts w:hint="eastAsia" w:ascii="宋体" w:hAnsi="宋体" w:eastAsia="宋体"/>
          <w:color w:val="auto"/>
          <w:sz w:val="24"/>
        </w:rPr>
        <w:t>仪器清单，出厂合格证，说明书，</w:t>
      </w:r>
      <w:r>
        <w:rPr>
          <w:rFonts w:hint="eastAsia" w:cs="宋体"/>
          <w:color w:val="auto"/>
          <w:spacing w:val="1"/>
          <w:lang w:val="en-US" w:eastAsia="zh-CN"/>
        </w:rPr>
        <w:t>第三方校准</w:t>
      </w:r>
      <w:r>
        <w:rPr>
          <w:rFonts w:cs="宋体"/>
          <w:color w:val="auto"/>
          <w:spacing w:val="1"/>
        </w:rPr>
        <w:t>报告</w:t>
      </w:r>
      <w:r>
        <w:rPr>
          <w:rFonts w:hint="eastAsia" w:ascii="宋体" w:hAnsi="宋体" w:eastAsia="宋体"/>
          <w:color w:val="auto"/>
          <w:sz w:val="24"/>
        </w:rPr>
        <w:t>报告。</w:t>
      </w:r>
    </w:p>
    <w:p>
      <w:pPr>
        <w:pStyle w:val="31"/>
        <w:ind w:firstLine="0" w:firstLineChars="0"/>
        <w:rPr>
          <w:rFonts w:hint="eastAsia" w:ascii="宋体" w:hAnsi="宋体" w:eastAsia="宋体"/>
          <w:color w:val="auto"/>
          <w:sz w:val="24"/>
        </w:rPr>
      </w:pPr>
      <w:r>
        <w:rPr>
          <w:rFonts w:hint="eastAsia" w:ascii="宋体" w:hAnsi="宋体" w:eastAsia="宋体"/>
          <w:color w:val="auto"/>
          <w:sz w:val="24"/>
        </w:rPr>
        <w:t>②使用说明书、技术说明书以及配套产品资料等各4份，另提供电子版全套资料1份。</w:t>
      </w:r>
    </w:p>
    <w:p>
      <w:pPr>
        <w:keepLines w:val="0"/>
        <w:pageBreakBefore w:val="0"/>
        <w:kinsoku/>
        <w:wordWrap/>
        <w:bidi w:val="0"/>
        <w:spacing w:line="500" w:lineRule="exact"/>
        <w:ind w:left="410"/>
        <w:rPr>
          <w:color w:val="auto"/>
        </w:rPr>
      </w:pPr>
      <w:r>
        <w:rPr>
          <w:rFonts w:hint="eastAsia" w:cs="宋体"/>
          <w:b/>
          <w:bCs/>
          <w:color w:val="auto"/>
          <w:lang w:val="en-US" w:eastAsia="zh-CN"/>
        </w:rPr>
        <w:t>其中设备</w:t>
      </w:r>
      <w:r>
        <w:rPr>
          <w:rFonts w:hint="eastAsia" w:cs="宋体"/>
          <w:b/>
          <w:bCs/>
          <w:color w:val="auto"/>
          <w:spacing w:val="1"/>
          <w:lang w:val="en-US" w:eastAsia="zh-CN"/>
        </w:rPr>
        <w:t>校准</w:t>
      </w:r>
      <w:r>
        <w:rPr>
          <w:rFonts w:cs="宋体"/>
          <w:b/>
          <w:bCs/>
          <w:color w:val="auto"/>
          <w:spacing w:val="1"/>
        </w:rPr>
        <w:t>报告</w:t>
      </w:r>
      <w:r>
        <w:rPr>
          <w:rFonts w:hint="eastAsia" w:cs="宋体"/>
          <w:b/>
          <w:bCs/>
          <w:color w:val="auto"/>
          <w:spacing w:val="1"/>
          <w:lang w:val="en-US" w:eastAsia="zh-CN"/>
        </w:rPr>
        <w:t>需经</w:t>
      </w:r>
      <w:r>
        <w:rPr>
          <w:rFonts w:cs="宋体"/>
          <w:b/>
          <w:bCs/>
          <w:color w:val="auto"/>
          <w:spacing w:val="1"/>
        </w:rPr>
        <w:t>中国合格评定国家认可委员会</w:t>
      </w:r>
      <w:r>
        <w:rPr>
          <w:rFonts w:hint="eastAsia" w:cs="宋体"/>
          <w:b/>
          <w:bCs/>
          <w:color w:val="auto"/>
          <w:spacing w:val="1"/>
        </w:rPr>
        <w:t>(CNAS)</w:t>
      </w:r>
      <w:r>
        <w:rPr>
          <w:rFonts w:cs="宋体"/>
          <w:b/>
          <w:bCs/>
          <w:color w:val="auto"/>
          <w:spacing w:val="1"/>
        </w:rPr>
        <w:t>认可的校准机构出具</w:t>
      </w:r>
      <w:r>
        <w:rPr>
          <w:rFonts w:hint="eastAsia" w:cs="宋体"/>
          <w:b/>
          <w:bCs/>
          <w:color w:val="auto"/>
          <w:spacing w:val="1"/>
          <w:lang w:eastAsia="zh-CN"/>
        </w:rPr>
        <w:t>。</w:t>
      </w:r>
    </w:p>
    <w:p>
      <w:pPr>
        <w:pStyle w:val="4"/>
        <w:bidi w:val="0"/>
        <w:rPr>
          <w:color w:val="auto"/>
        </w:rPr>
      </w:pPr>
      <w:bookmarkStart w:id="35" w:name="_Toc25792"/>
      <w:r>
        <w:rPr>
          <w:rFonts w:hint="eastAsia"/>
          <w:color w:val="auto"/>
          <w:lang w:val="en-US" w:eastAsia="zh-CN"/>
        </w:rPr>
        <w:t>8</w:t>
      </w:r>
      <w:r>
        <w:rPr>
          <w:rFonts w:hint="eastAsia"/>
          <w:color w:val="auto"/>
        </w:rPr>
        <w:t>.供货范围清单</w:t>
      </w:r>
      <w:bookmarkEnd w:id="35"/>
    </w:p>
    <w:tbl>
      <w:tblPr>
        <w:tblStyle w:val="12"/>
        <w:tblW w:w="4852" w:type="pct"/>
        <w:tblInd w:w="25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fixed"/>
        <w:tblCellMar>
          <w:top w:w="0" w:type="dxa"/>
          <w:left w:w="108" w:type="dxa"/>
          <w:bottom w:w="0" w:type="dxa"/>
          <w:right w:w="108" w:type="dxa"/>
        </w:tblCellMar>
      </w:tblPr>
      <w:tblGrid>
        <w:gridCol w:w="1088"/>
        <w:gridCol w:w="3501"/>
        <w:gridCol w:w="1617"/>
        <w:gridCol w:w="1133"/>
        <w:gridCol w:w="800"/>
        <w:gridCol w:w="152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both"/>
              <w:rPr>
                <w:color w:val="auto"/>
              </w:rPr>
            </w:pPr>
            <w:r>
              <w:rPr>
                <w:rFonts w:hint="eastAsia"/>
                <w:color w:val="auto"/>
              </w:rPr>
              <w:t>序号</w:t>
            </w:r>
          </w:p>
        </w:tc>
        <w:tc>
          <w:tcPr>
            <w:tcW w:w="1810" w:type="pct"/>
            <w:vMerge w:val="restart"/>
            <w:tcBorders>
              <w:top w:val="single" w:color="auto" w:sz="4" w:space="0"/>
              <w:left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color w:val="auto"/>
              </w:rPr>
            </w:pPr>
            <w:r>
              <w:rPr>
                <w:rFonts w:hint="eastAsia"/>
                <w:color w:val="auto"/>
              </w:rPr>
              <w:t>物资名称</w:t>
            </w:r>
          </w:p>
        </w:tc>
        <w:tc>
          <w:tcPr>
            <w:tcW w:w="2626" w:type="pct"/>
            <w:gridSpan w:val="4"/>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color w:val="auto"/>
              </w:rPr>
            </w:pPr>
            <w:r>
              <w:rPr>
                <w:rFonts w:hint="eastAsia"/>
                <w:color w:val="auto"/>
              </w:rPr>
              <w:t>配置要求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17" w:hRule="atLeast"/>
          <w:tblHeader/>
        </w:trPr>
        <w:tc>
          <w:tcPr>
            <w:tcW w:w="56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color w:val="auto"/>
              </w:rPr>
            </w:pPr>
          </w:p>
        </w:tc>
        <w:tc>
          <w:tcPr>
            <w:tcW w:w="1810" w:type="pct"/>
            <w:vMerge w:val="continue"/>
            <w:tcBorders>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color w:val="auto"/>
              </w:rPr>
            </w:pPr>
          </w:p>
        </w:tc>
        <w:tc>
          <w:tcPr>
            <w:tcW w:w="836"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both"/>
              <w:rPr>
                <w:color w:val="auto"/>
              </w:rPr>
            </w:pPr>
            <w:r>
              <w:rPr>
                <w:rFonts w:hint="eastAsia"/>
                <w:color w:val="auto"/>
              </w:rPr>
              <w:t>规格型号</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auto"/>
              </w:rPr>
            </w:pPr>
            <w:r>
              <w:rPr>
                <w:rFonts w:hint="eastAsia"/>
                <w:color w:val="auto"/>
              </w:rPr>
              <w:t>单位</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auto"/>
              </w:rPr>
            </w:pPr>
            <w:r>
              <w:rPr>
                <w:rFonts w:hint="eastAsia"/>
                <w:color w:val="auto"/>
              </w:rPr>
              <w:t>数量</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rPr>
                <w:color w:val="auto"/>
              </w:rPr>
            </w:pPr>
            <w:r>
              <w:rPr>
                <w:rFonts w:hint="eastAsia"/>
                <w:color w:val="auto"/>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color w:val="auto"/>
              </w:rPr>
            </w:pPr>
            <w:r>
              <w:rPr>
                <w:rFonts w:hint="eastAsia"/>
                <w:color w:val="auto"/>
              </w:rPr>
              <w:t>1</w:t>
            </w:r>
          </w:p>
        </w:tc>
        <w:tc>
          <w:tcPr>
            <w:tcW w:w="181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topLinePunct/>
              <w:bidi w:val="0"/>
              <w:snapToGrid w:val="0"/>
              <w:spacing w:line="500" w:lineRule="exact"/>
              <w:ind w:left="0" w:leftChars="0"/>
              <w:rPr>
                <w:rFonts w:ascii="Arial" w:hAnsi="Arial"/>
                <w:color w:val="auto"/>
              </w:rPr>
            </w:pPr>
            <w:r>
              <w:rPr>
                <w:rFonts w:hint="eastAsia"/>
                <w:color w:val="auto"/>
                <w:kern w:val="0"/>
                <w:lang w:eastAsia="zh-CN"/>
              </w:rPr>
              <w:t>开关特性测试仪</w:t>
            </w:r>
            <w:r>
              <w:rPr>
                <w:rFonts w:hint="eastAsia" w:ascii="Arial" w:hAnsi="Arial"/>
                <w:color w:val="auto"/>
              </w:rPr>
              <w:t>主机</w:t>
            </w:r>
          </w:p>
        </w:tc>
        <w:tc>
          <w:tcPr>
            <w:tcW w:w="836"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color w:val="auto"/>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auto"/>
              </w:rPr>
            </w:pPr>
            <w:r>
              <w:rPr>
                <w:rFonts w:hint="eastAsia"/>
                <w:color w:val="auto"/>
              </w:rPr>
              <w:t>台</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auto"/>
              </w:rPr>
            </w:pPr>
            <w:r>
              <w:rPr>
                <w:rFonts w:hint="eastAsia"/>
                <w:color w:val="auto"/>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color w:val="auto"/>
              </w:rPr>
            </w:pPr>
            <w:r>
              <w:rPr>
                <w:rFonts w:hint="eastAsia"/>
                <w:color w:val="auto"/>
              </w:rPr>
              <w:t>2</w:t>
            </w:r>
          </w:p>
        </w:tc>
        <w:tc>
          <w:tcPr>
            <w:tcW w:w="181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topLinePunct/>
              <w:bidi w:val="0"/>
              <w:snapToGrid w:val="0"/>
              <w:spacing w:line="500" w:lineRule="exact"/>
              <w:ind w:left="0" w:leftChars="0"/>
              <w:rPr>
                <w:rFonts w:ascii="Arial" w:hAnsi="Arial"/>
                <w:color w:val="auto"/>
              </w:rPr>
            </w:pPr>
            <w:r>
              <w:rPr>
                <w:rFonts w:hint="eastAsia"/>
                <w:color w:val="auto"/>
                <w:kern w:val="0"/>
                <w:lang w:eastAsia="zh-CN"/>
              </w:rPr>
              <w:t>开关特性测试仪</w:t>
            </w:r>
            <w:r>
              <w:rPr>
                <w:rFonts w:hint="eastAsia" w:ascii="Arial" w:hAnsi="Arial"/>
                <w:color w:val="auto"/>
              </w:rPr>
              <w:t>专用测试线</w:t>
            </w:r>
          </w:p>
        </w:tc>
        <w:tc>
          <w:tcPr>
            <w:tcW w:w="836"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color w:val="auto"/>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auto"/>
              </w:rPr>
            </w:pPr>
            <w:r>
              <w:rPr>
                <w:rFonts w:hint="eastAsia"/>
                <w:color w:val="auto"/>
              </w:rPr>
              <w:t>套</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auto"/>
              </w:rPr>
            </w:pPr>
            <w:r>
              <w:rPr>
                <w:rFonts w:hint="eastAsia"/>
                <w:color w:val="auto"/>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color w:val="auto"/>
              </w:rPr>
            </w:pPr>
            <w:r>
              <w:rPr>
                <w:color w:val="auto"/>
              </w:rPr>
              <w:t>3</w:t>
            </w:r>
          </w:p>
        </w:tc>
        <w:tc>
          <w:tcPr>
            <w:tcW w:w="181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topLinePunct/>
              <w:bidi w:val="0"/>
              <w:snapToGrid w:val="0"/>
              <w:spacing w:line="500" w:lineRule="exact"/>
              <w:ind w:left="0" w:leftChars="0"/>
              <w:rPr>
                <w:rFonts w:ascii="Arial" w:hAnsi="Arial"/>
                <w:color w:val="auto"/>
              </w:rPr>
            </w:pPr>
            <w:r>
              <w:rPr>
                <w:rFonts w:hint="eastAsia"/>
                <w:color w:val="auto"/>
                <w:kern w:val="0"/>
                <w:lang w:eastAsia="zh-CN"/>
              </w:rPr>
              <w:t>开关特性测试仪</w:t>
            </w:r>
            <w:r>
              <w:rPr>
                <w:rFonts w:hint="eastAsia" w:ascii="Arial" w:hAnsi="Arial"/>
                <w:color w:val="auto"/>
              </w:rPr>
              <w:t>专用机箱</w:t>
            </w:r>
          </w:p>
        </w:tc>
        <w:tc>
          <w:tcPr>
            <w:tcW w:w="836"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color w:val="auto"/>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auto"/>
              </w:rPr>
            </w:pPr>
            <w:r>
              <w:rPr>
                <w:rFonts w:hint="eastAsia"/>
                <w:color w:val="auto"/>
              </w:rPr>
              <w:t>个</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auto"/>
              </w:rPr>
            </w:pPr>
            <w:r>
              <w:rPr>
                <w:rFonts w:hint="eastAsia"/>
                <w:color w:val="auto"/>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color w:val="auto"/>
              </w:rPr>
            </w:pPr>
          </w:p>
        </w:tc>
      </w:tr>
    </w:tbl>
    <w:p>
      <w:pPr>
        <w:pStyle w:val="19"/>
        <w:keepLines w:val="0"/>
        <w:pageBreakBefore w:val="0"/>
        <w:kinsoku/>
        <w:wordWrap/>
        <w:bidi w:val="0"/>
        <w:spacing w:line="500" w:lineRule="exact"/>
        <w:ind w:left="0" w:leftChars="0" w:firstLine="480" w:firstLineChars="200"/>
        <w:rPr>
          <w:color w:val="auto"/>
        </w:rPr>
      </w:pPr>
      <w:r>
        <w:rPr>
          <w:rFonts w:hint="eastAsia"/>
          <w:color w:val="auto"/>
        </w:rPr>
        <w:t>备品备件及专用工具：</w:t>
      </w:r>
    </w:p>
    <w:p>
      <w:pPr>
        <w:pStyle w:val="19"/>
        <w:keepLines w:val="0"/>
        <w:pageBreakBefore w:val="0"/>
        <w:kinsoku/>
        <w:wordWrap/>
        <w:bidi w:val="0"/>
        <w:spacing w:line="500" w:lineRule="exact"/>
        <w:ind w:left="410" w:firstLine="480"/>
        <w:rPr>
          <w:rFonts w:hint="eastAsia"/>
          <w:color w:val="auto"/>
        </w:rPr>
      </w:pPr>
      <w:r>
        <w:rPr>
          <w:rFonts w:hint="eastAsia"/>
          <w:color w:val="auto"/>
          <w:lang w:eastAsia="zh-CN"/>
        </w:rPr>
        <w:t>投标人</w:t>
      </w:r>
      <w:r>
        <w:rPr>
          <w:rFonts w:hint="eastAsia"/>
          <w:color w:val="auto"/>
        </w:rPr>
        <w:t>应向采购方提供必备的备品备件、专用工具和仪器仪表清单见下表, 要求提供的备品备件、专用工具和仪器仪表应是新品, 与仪器同型号、同工艺。需单独购买的配件在下表中列明。</w:t>
      </w:r>
      <w:bookmarkStart w:id="36" w:name="_Toc397006841"/>
    </w:p>
    <w:p>
      <w:pPr>
        <w:pStyle w:val="19"/>
        <w:keepLines w:val="0"/>
        <w:pageBreakBefore w:val="0"/>
        <w:kinsoku/>
        <w:wordWrap/>
        <w:bidi w:val="0"/>
        <w:spacing w:line="500" w:lineRule="exact"/>
        <w:ind w:left="410" w:firstLine="480"/>
        <w:rPr>
          <w:b/>
          <w:bCs/>
          <w:color w:val="auto"/>
          <w:kern w:val="2"/>
        </w:rPr>
      </w:pPr>
      <w:r>
        <w:rPr>
          <w:rFonts w:hint="eastAsia"/>
          <w:b/>
          <w:bCs/>
          <w:color w:val="auto"/>
          <w:kern w:val="2"/>
        </w:rPr>
        <w:t>备品备件及专用工具一览表</w:t>
      </w:r>
      <w:bookmarkEnd w:id="36"/>
    </w:p>
    <w:tbl>
      <w:tblPr>
        <w:tblStyle w:val="12"/>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auto"/>
                <w:szCs w:val="21"/>
              </w:rPr>
            </w:pPr>
            <w:r>
              <w:rPr>
                <w:rFonts w:hint="eastAsia"/>
                <w:color w:val="auto"/>
                <w:szCs w:val="21"/>
              </w:rPr>
              <w:t>序号</w:t>
            </w:r>
          </w:p>
        </w:tc>
        <w:tc>
          <w:tcPr>
            <w:tcW w:w="1377"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auto"/>
                <w:szCs w:val="21"/>
              </w:rPr>
            </w:pPr>
            <w:r>
              <w:rPr>
                <w:rFonts w:hint="eastAsia"/>
                <w:color w:val="auto"/>
                <w:szCs w:val="21"/>
              </w:rPr>
              <w:t>配件名称</w:t>
            </w:r>
          </w:p>
        </w:tc>
        <w:tc>
          <w:tcPr>
            <w:tcW w:w="1447"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auto"/>
                <w:szCs w:val="21"/>
              </w:rPr>
            </w:pPr>
            <w:r>
              <w:rPr>
                <w:rFonts w:hint="eastAsia"/>
                <w:color w:val="auto"/>
                <w:szCs w:val="21"/>
              </w:rPr>
              <w:t>型号及规格</w:t>
            </w:r>
          </w:p>
        </w:tc>
        <w:tc>
          <w:tcPr>
            <w:tcW w:w="1033"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auto"/>
                <w:szCs w:val="21"/>
              </w:rPr>
            </w:pPr>
            <w:r>
              <w:rPr>
                <w:rFonts w:hint="eastAsia"/>
                <w:color w:val="auto"/>
                <w:szCs w:val="21"/>
              </w:rPr>
              <w:t>单位</w:t>
            </w:r>
          </w:p>
        </w:tc>
        <w:tc>
          <w:tcPr>
            <w:tcW w:w="829"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auto"/>
                <w:szCs w:val="21"/>
              </w:rPr>
            </w:pPr>
            <w:r>
              <w:rPr>
                <w:rFonts w:hint="eastAsia"/>
                <w:color w:val="auto"/>
                <w:szCs w:val="21"/>
              </w:rPr>
              <w:t>数量</w:t>
            </w:r>
          </w:p>
        </w:tc>
        <w:tc>
          <w:tcPr>
            <w:tcW w:w="1114" w:type="dxa"/>
            <w:tcBorders>
              <w:top w:val="single" w:color="auto" w:sz="4" w:space="0"/>
              <w:bottom w:val="single" w:color="auto" w:sz="4" w:space="0"/>
            </w:tcBorders>
            <w:vAlign w:val="center"/>
          </w:tcPr>
          <w:p>
            <w:pPr>
              <w:pStyle w:val="6"/>
              <w:keepLines w:val="0"/>
              <w:pageBreakBefore w:val="0"/>
              <w:kinsoku/>
              <w:wordWrap/>
              <w:bidi w:val="0"/>
              <w:spacing w:line="500" w:lineRule="exact"/>
              <w:ind w:left="410"/>
              <w:rPr>
                <w:color w:val="auto"/>
                <w:szCs w:val="21"/>
              </w:rPr>
            </w:pPr>
            <w:r>
              <w:rPr>
                <w:rFonts w:hint="eastAsia"/>
                <w:color w:val="auto"/>
                <w:szCs w:val="21"/>
              </w:rPr>
              <w:t>用途</w:t>
            </w:r>
          </w:p>
        </w:tc>
        <w:tc>
          <w:tcPr>
            <w:tcW w:w="2445" w:type="dxa"/>
            <w:tcBorders>
              <w:top w:val="single" w:color="auto" w:sz="4" w:space="0"/>
              <w:bottom w:val="single" w:color="auto" w:sz="4" w:space="0"/>
              <w:right w:val="single" w:color="auto" w:sz="4" w:space="0"/>
            </w:tcBorders>
            <w:vAlign w:val="center"/>
          </w:tcPr>
          <w:p>
            <w:pPr>
              <w:pStyle w:val="6"/>
              <w:keepLines w:val="0"/>
              <w:pageBreakBefore w:val="0"/>
              <w:kinsoku/>
              <w:wordWrap/>
              <w:bidi w:val="0"/>
              <w:spacing w:line="500" w:lineRule="exact"/>
              <w:ind w:left="410"/>
              <w:rPr>
                <w:color w:val="auto"/>
                <w:szCs w:val="21"/>
              </w:rPr>
            </w:pPr>
            <w:r>
              <w:rPr>
                <w:rFonts w:hint="eastAsia"/>
                <w:color w:val="auto"/>
                <w:szCs w:val="21"/>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auto"/>
                <w:sz w:val="24"/>
              </w:rPr>
            </w:pPr>
          </w:p>
        </w:tc>
      </w:tr>
    </w:tbl>
    <w:p>
      <w:pPr>
        <w:keepLines w:val="0"/>
        <w:pageBreakBefore w:val="0"/>
        <w:kinsoku/>
        <w:wordWrap/>
        <w:bidi w:val="0"/>
        <w:spacing w:line="500" w:lineRule="exact"/>
        <w:ind w:left="0" w:leftChars="0" w:firstLine="0" w:firstLineChars="0"/>
        <w:rPr>
          <w:color w:val="auto"/>
        </w:rPr>
      </w:pPr>
    </w:p>
    <w:p>
      <w:pPr>
        <w:pStyle w:val="4"/>
        <w:bidi w:val="0"/>
        <w:rPr>
          <w:color w:val="auto"/>
        </w:rPr>
      </w:pPr>
      <w:bookmarkStart w:id="37" w:name="_Toc21346"/>
      <w:r>
        <w:rPr>
          <w:rFonts w:hint="eastAsia"/>
          <w:color w:val="auto"/>
          <w:lang w:eastAsia="zh-CN"/>
        </w:rPr>
        <w:t>9.</w:t>
      </w:r>
      <w:r>
        <w:rPr>
          <w:rFonts w:cs="宋体"/>
          <w:color w:val="auto"/>
          <w:spacing w:val="1"/>
        </w:rPr>
        <w:t>设备的售后服务要求</w:t>
      </w:r>
      <w:bookmarkEnd w:id="37"/>
    </w:p>
    <w:p>
      <w:pPr>
        <w:keepLines w:val="0"/>
        <w:pageBreakBefore w:val="0"/>
        <w:kinsoku/>
        <w:wordWrap/>
        <w:bidi w:val="0"/>
        <w:spacing w:line="500" w:lineRule="exact"/>
        <w:ind w:left="410"/>
        <w:rPr>
          <w:color w:val="auto"/>
        </w:rPr>
      </w:pPr>
      <w:r>
        <w:rPr>
          <w:rFonts w:hint="eastAsia"/>
          <w:color w:val="auto"/>
          <w:lang w:eastAsia="zh-CN"/>
        </w:rPr>
        <w:t>9.</w:t>
      </w:r>
      <w:r>
        <w:rPr>
          <w:rFonts w:hint="eastAsia"/>
          <w:color w:val="auto"/>
        </w:rPr>
        <w:t>1现场验收和试验在</w:t>
      </w:r>
      <w:r>
        <w:rPr>
          <w:rFonts w:hint="eastAsia"/>
          <w:color w:val="auto"/>
          <w:lang w:eastAsia="zh-CN"/>
        </w:rPr>
        <w:t>投标人</w:t>
      </w:r>
      <w:r>
        <w:rPr>
          <w:rFonts w:hint="eastAsia"/>
          <w:color w:val="auto"/>
        </w:rPr>
        <w:t>的技术指导下由采购方完成，</w:t>
      </w:r>
      <w:r>
        <w:rPr>
          <w:rFonts w:hint="eastAsia"/>
          <w:color w:val="auto"/>
          <w:lang w:eastAsia="zh-CN"/>
        </w:rPr>
        <w:t>投标人</w:t>
      </w:r>
      <w:r>
        <w:rPr>
          <w:rFonts w:hint="eastAsia"/>
          <w:color w:val="auto"/>
        </w:rPr>
        <w:t>协助采购方按标准检查仪器质量, 处理调试运行过程中出现的问题，并提供备品、备件，做好销售服务工作。</w:t>
      </w:r>
    </w:p>
    <w:p>
      <w:pPr>
        <w:keepLines w:val="0"/>
        <w:pageBreakBefore w:val="0"/>
        <w:kinsoku/>
        <w:wordWrap/>
        <w:bidi w:val="0"/>
        <w:spacing w:line="500" w:lineRule="exact"/>
        <w:ind w:left="410"/>
        <w:rPr>
          <w:color w:val="auto"/>
        </w:rPr>
      </w:pPr>
      <w:r>
        <w:rPr>
          <w:rFonts w:hint="eastAsia"/>
          <w:color w:val="auto"/>
          <w:lang w:eastAsia="zh-CN"/>
        </w:rPr>
        <w:t>9.</w:t>
      </w:r>
      <w:r>
        <w:rPr>
          <w:rFonts w:hint="eastAsia"/>
          <w:color w:val="auto"/>
        </w:rPr>
        <w:t>2</w:t>
      </w:r>
      <w:r>
        <w:rPr>
          <w:rFonts w:hint="eastAsia"/>
          <w:color w:val="auto"/>
          <w:lang w:eastAsia="zh-CN"/>
        </w:rPr>
        <w:t>投标人</w:t>
      </w:r>
      <w:r>
        <w:rPr>
          <w:rFonts w:hint="eastAsia"/>
          <w:color w:val="auto"/>
        </w:rPr>
        <w:t>应协助采购方解决仪器运行中出现的问题。</w:t>
      </w:r>
    </w:p>
    <w:p>
      <w:pPr>
        <w:keepLines w:val="0"/>
        <w:pageBreakBefore w:val="0"/>
        <w:kinsoku/>
        <w:wordWrap/>
        <w:bidi w:val="0"/>
        <w:spacing w:line="500" w:lineRule="exact"/>
        <w:ind w:left="410"/>
        <w:rPr>
          <w:b w:val="0"/>
          <w:bCs w:val="0"/>
          <w:color w:val="auto"/>
        </w:rPr>
      </w:pPr>
      <w:r>
        <w:rPr>
          <w:rFonts w:hint="eastAsia"/>
          <w:color w:val="auto"/>
          <w:lang w:eastAsia="zh-CN"/>
        </w:rPr>
        <w:t>9.</w:t>
      </w:r>
      <w:r>
        <w:rPr>
          <w:rFonts w:hint="eastAsia"/>
          <w:color w:val="auto"/>
        </w:rPr>
        <w:t>3</w:t>
      </w:r>
      <w:r>
        <w:rPr>
          <w:rFonts w:hint="eastAsia" w:ascii="宋体" w:hAnsi="宋体" w:eastAsia="宋体" w:cs="Times New Roman"/>
          <w:b/>
          <w:bCs/>
          <w:color w:val="auto"/>
          <w:sz w:val="24"/>
          <w:szCs w:val="24"/>
          <w:highlight w:val="none"/>
        </w:rPr>
        <w:t>本标书采购设备安装、调试</w:t>
      </w:r>
      <w:r>
        <w:rPr>
          <w:rFonts w:hint="eastAsia" w:ascii="宋体" w:hAnsi="宋体" w:eastAsia="宋体" w:cs="Times New Roman"/>
          <w:b/>
          <w:bCs/>
          <w:color w:val="auto"/>
          <w:sz w:val="24"/>
          <w:szCs w:val="24"/>
          <w:highlight w:val="none"/>
          <w:lang w:eastAsia="zh-CN"/>
        </w:rPr>
        <w:t>，</w:t>
      </w:r>
      <w:r>
        <w:rPr>
          <w:rFonts w:hint="eastAsia" w:ascii="宋体" w:hAnsi="宋体" w:eastAsia="宋体" w:cs="Times New Roman"/>
          <w:b/>
          <w:bCs/>
          <w:color w:val="auto"/>
          <w:sz w:val="24"/>
          <w:szCs w:val="24"/>
          <w:highlight w:val="none"/>
          <w:lang w:val="en-US" w:eastAsia="zh-CN"/>
        </w:rPr>
        <w:t>并经招标方</w:t>
      </w:r>
      <w:r>
        <w:rPr>
          <w:rFonts w:hint="eastAsia" w:ascii="宋体" w:hAnsi="宋体" w:eastAsia="宋体" w:cs="Times New Roman"/>
          <w:b/>
          <w:bCs/>
          <w:color w:val="auto"/>
          <w:sz w:val="24"/>
          <w:szCs w:val="24"/>
          <w:highlight w:val="none"/>
        </w:rPr>
        <w:t>现场</w:t>
      </w:r>
      <w:r>
        <w:rPr>
          <w:rFonts w:hint="eastAsia" w:ascii="宋体" w:hAnsi="宋体" w:eastAsia="宋体" w:cs="Times New Roman"/>
          <w:b/>
          <w:bCs/>
          <w:color w:val="auto"/>
          <w:sz w:val="24"/>
          <w:szCs w:val="24"/>
          <w:highlight w:val="none"/>
          <w:lang w:val="en-US" w:eastAsia="zh-CN"/>
        </w:rPr>
        <w:t>收货</w:t>
      </w:r>
      <w:r>
        <w:rPr>
          <w:rFonts w:hint="eastAsia" w:ascii="宋体" w:hAnsi="宋体" w:eastAsia="宋体" w:cs="Times New Roman"/>
          <w:b/>
          <w:bCs/>
          <w:color w:val="auto"/>
          <w:sz w:val="24"/>
          <w:szCs w:val="24"/>
          <w:highlight w:val="none"/>
        </w:rPr>
        <w:t>交接验收和</w:t>
      </w:r>
      <w:r>
        <w:rPr>
          <w:rFonts w:hint="eastAsia" w:ascii="宋体" w:hAnsi="宋体" w:eastAsia="宋体" w:cs="Times New Roman"/>
          <w:b/>
          <w:bCs/>
          <w:color w:val="auto"/>
          <w:sz w:val="24"/>
          <w:szCs w:val="24"/>
          <w:highlight w:val="none"/>
          <w:lang w:val="en-US" w:eastAsia="zh-CN"/>
        </w:rPr>
        <w:t>性能性验收</w:t>
      </w:r>
      <w:r>
        <w:rPr>
          <w:rFonts w:hint="eastAsia" w:ascii="宋体" w:hAnsi="宋体" w:eastAsia="宋体" w:cs="Times New Roman"/>
          <w:b/>
          <w:bCs/>
          <w:color w:val="auto"/>
          <w:sz w:val="24"/>
          <w:szCs w:val="24"/>
          <w:highlight w:val="none"/>
        </w:rPr>
        <w:t>合格后</w:t>
      </w:r>
      <w:r>
        <w:rPr>
          <w:rFonts w:hint="eastAsia" w:ascii="宋体" w:hAnsi="宋体" w:eastAsia="宋体" w:cs="Times New Roman"/>
          <w:b/>
          <w:bCs/>
          <w:color w:val="auto"/>
          <w:sz w:val="24"/>
          <w:szCs w:val="24"/>
          <w:highlight w:val="none"/>
          <w:lang w:eastAsia="zh-CN"/>
        </w:rPr>
        <w:t>，</w:t>
      </w:r>
      <w:r>
        <w:rPr>
          <w:rFonts w:hint="eastAsia" w:ascii="宋体" w:hAnsi="宋体" w:eastAsia="宋体" w:cs="Times New Roman"/>
          <w:b/>
          <w:bCs/>
          <w:color w:val="auto"/>
          <w:sz w:val="24"/>
          <w:szCs w:val="24"/>
          <w:highlight w:val="none"/>
        </w:rPr>
        <w:t>方可</w:t>
      </w:r>
      <w:r>
        <w:rPr>
          <w:rFonts w:hint="eastAsia" w:ascii="宋体" w:hAnsi="宋体" w:eastAsia="宋体" w:cs="Times New Roman"/>
          <w:b/>
          <w:bCs/>
          <w:color w:val="auto"/>
          <w:sz w:val="24"/>
          <w:szCs w:val="24"/>
          <w:highlight w:val="none"/>
          <w:lang w:val="en-US" w:eastAsia="zh-CN"/>
        </w:rPr>
        <w:t>视为合同履约正式完成</w:t>
      </w:r>
      <w:r>
        <w:rPr>
          <w:rFonts w:hint="eastAsia" w:ascii="宋体" w:hAnsi="宋体" w:eastAsia="宋体" w:cs="Times New Roman"/>
          <w:b/>
          <w:bCs/>
          <w:color w:val="auto"/>
          <w:sz w:val="24"/>
          <w:szCs w:val="24"/>
          <w:highlight w:val="none"/>
        </w:rPr>
        <w:t>。</w:t>
      </w:r>
      <w:r>
        <w:rPr>
          <w:rFonts w:hint="eastAsia" w:ascii="宋体" w:hAnsi="宋体" w:eastAsia="宋体" w:cs="Times New Roman"/>
          <w:b w:val="0"/>
          <w:bCs w:val="0"/>
          <w:color w:val="auto"/>
          <w:sz w:val="24"/>
          <w:szCs w:val="24"/>
          <w:highlight w:val="none"/>
        </w:rPr>
        <w:t>设备正常使用后，</w:t>
      </w:r>
      <w:r>
        <w:rPr>
          <w:rFonts w:hint="eastAsia" w:ascii="宋体" w:hAnsi="宋体" w:eastAsia="宋体" w:cs="Times New Roman"/>
          <w:b w:val="0"/>
          <w:bCs w:val="0"/>
          <w:color w:val="auto"/>
          <w:sz w:val="24"/>
          <w:szCs w:val="24"/>
          <w:highlight w:val="none"/>
          <w:lang w:eastAsia="zh-CN"/>
        </w:rPr>
        <w:t>报价人</w:t>
      </w:r>
      <w:r>
        <w:rPr>
          <w:rFonts w:hint="eastAsia" w:ascii="宋体" w:hAnsi="宋体" w:eastAsia="宋体" w:cs="Times New Roman"/>
          <w:b w:val="0"/>
          <w:bCs w:val="0"/>
          <w:color w:val="auto"/>
          <w:sz w:val="24"/>
          <w:szCs w:val="24"/>
          <w:highlight w:val="none"/>
        </w:rPr>
        <w:t>和</w:t>
      </w:r>
      <w:r>
        <w:rPr>
          <w:rFonts w:hint="eastAsia" w:ascii="宋体" w:hAnsi="宋体" w:eastAsia="宋体" w:cs="Times New Roman"/>
          <w:b w:val="0"/>
          <w:bCs w:val="0"/>
          <w:color w:val="auto"/>
          <w:sz w:val="24"/>
          <w:szCs w:val="24"/>
          <w:highlight w:val="none"/>
          <w:lang w:val="en-US" w:eastAsia="zh-CN"/>
        </w:rPr>
        <w:t>采购</w:t>
      </w:r>
      <w:r>
        <w:rPr>
          <w:rFonts w:hint="eastAsia" w:ascii="宋体" w:hAnsi="宋体" w:eastAsia="宋体" w:cs="Times New Roman"/>
          <w:b w:val="0"/>
          <w:bCs w:val="0"/>
          <w:color w:val="auto"/>
          <w:sz w:val="24"/>
          <w:szCs w:val="24"/>
          <w:highlight w:val="none"/>
        </w:rPr>
        <w:t>方双方应根据相关法律、法规和公司管理制度签署合同设备的验收证明书。该证明书共两份，双方各执一份</w:t>
      </w:r>
      <w:r>
        <w:rPr>
          <w:rFonts w:hint="eastAsia"/>
          <w:b w:val="0"/>
          <w:bCs w:val="0"/>
          <w:color w:val="auto"/>
        </w:rPr>
        <w:t>。</w:t>
      </w:r>
    </w:p>
    <w:p>
      <w:pPr>
        <w:keepLines w:val="0"/>
        <w:pageBreakBefore w:val="0"/>
        <w:kinsoku/>
        <w:wordWrap/>
        <w:bidi w:val="0"/>
        <w:spacing w:line="500" w:lineRule="exact"/>
        <w:ind w:left="410"/>
        <w:rPr>
          <w:color w:val="auto"/>
        </w:rPr>
      </w:pPr>
      <w:r>
        <w:rPr>
          <w:rFonts w:hint="eastAsia"/>
          <w:color w:val="auto"/>
          <w:lang w:eastAsia="zh-CN"/>
        </w:rPr>
        <w:t>9.</w:t>
      </w:r>
      <w:r>
        <w:rPr>
          <w:rFonts w:hint="eastAsia"/>
          <w:color w:val="auto"/>
        </w:rPr>
        <w:t>4如果验收、调试、性能试验、使用中及质保期内技术指标一项或多项不能满足合同技术部分要求，</w:t>
      </w:r>
      <w:r>
        <w:rPr>
          <w:rFonts w:hint="eastAsia"/>
          <w:color w:val="auto"/>
          <w:lang w:eastAsia="zh-CN"/>
        </w:rPr>
        <w:t>招投标人</w:t>
      </w:r>
      <w:r>
        <w:rPr>
          <w:rFonts w:hint="eastAsia"/>
          <w:color w:val="auto"/>
        </w:rPr>
        <w:t>共同分析原因，分清责任，如属制造方面的原因，或涉及索赔部分，按商务部分有关条款执行。</w:t>
      </w:r>
    </w:p>
    <w:p>
      <w:pPr>
        <w:keepLines w:val="0"/>
        <w:pageBreakBefore w:val="0"/>
        <w:kinsoku/>
        <w:wordWrap/>
        <w:bidi w:val="0"/>
        <w:spacing w:line="500" w:lineRule="exact"/>
        <w:ind w:left="410"/>
        <w:rPr>
          <w:b/>
          <w:bCs/>
          <w:color w:val="auto"/>
        </w:rPr>
      </w:pPr>
      <w:r>
        <w:rPr>
          <w:rFonts w:hint="eastAsia" w:cs="宋体"/>
          <w:b/>
          <w:bCs/>
          <w:color w:val="auto"/>
          <w:spacing w:val="3"/>
          <w:lang w:eastAsia="zh-CN"/>
        </w:rPr>
        <w:t>9.</w:t>
      </w:r>
      <w:r>
        <w:rPr>
          <w:rFonts w:hint="eastAsia" w:cs="宋体"/>
          <w:b/>
          <w:bCs/>
          <w:color w:val="auto"/>
          <w:spacing w:val="3"/>
        </w:rPr>
        <w:t>5</w:t>
      </w:r>
      <w:r>
        <w:rPr>
          <w:rFonts w:cs="宋体"/>
          <w:b/>
          <w:bCs/>
          <w:color w:val="auto"/>
          <w:spacing w:val="3"/>
        </w:rPr>
        <w:t>从最终验收通过双方签字之日起开始计算设备质保期，保修质保周期不</w:t>
      </w:r>
      <w:r>
        <w:rPr>
          <w:rFonts w:cs="宋体"/>
          <w:b/>
          <w:bCs/>
          <w:color w:val="auto"/>
        </w:rPr>
        <w:t>少于</w:t>
      </w:r>
      <w:r>
        <w:rPr>
          <w:b/>
          <w:bCs/>
          <w:color w:val="auto"/>
        </w:rPr>
        <w:t>3</w:t>
      </w:r>
      <w:r>
        <w:rPr>
          <w:rFonts w:cs="宋体"/>
          <w:b/>
          <w:bCs/>
          <w:color w:val="auto"/>
        </w:rPr>
        <w:t>年（</w:t>
      </w:r>
      <w:r>
        <w:rPr>
          <w:rFonts w:hint="eastAsia"/>
          <w:b/>
          <w:bCs/>
          <w:color w:val="auto"/>
        </w:rPr>
        <w:t>36</w:t>
      </w:r>
      <w:r>
        <w:rPr>
          <w:rFonts w:cs="宋体"/>
          <w:b/>
          <w:bCs/>
          <w:color w:val="auto"/>
        </w:rPr>
        <w:t>个月），质保期内免费维修设备；</w:t>
      </w:r>
    </w:p>
    <w:p>
      <w:pPr>
        <w:keepLines w:val="0"/>
        <w:pageBreakBefore w:val="0"/>
        <w:kinsoku/>
        <w:wordWrap/>
        <w:bidi w:val="0"/>
        <w:spacing w:line="500" w:lineRule="exact"/>
        <w:ind w:left="410"/>
        <w:rPr>
          <w:color w:val="auto"/>
        </w:rPr>
      </w:pPr>
      <w:r>
        <w:rPr>
          <w:rFonts w:hint="eastAsia" w:cs="宋体"/>
          <w:color w:val="auto"/>
          <w:spacing w:val="3"/>
          <w:lang w:eastAsia="zh-CN"/>
        </w:rPr>
        <w:t>9.</w:t>
      </w:r>
      <w:r>
        <w:rPr>
          <w:rFonts w:hint="eastAsia" w:cs="宋体"/>
          <w:color w:val="auto"/>
          <w:spacing w:val="3"/>
        </w:rPr>
        <w:t>6</w:t>
      </w:r>
      <w:r>
        <w:rPr>
          <w:rFonts w:cs="宋体"/>
          <w:color w:val="auto"/>
          <w:spacing w:val="3"/>
        </w:rPr>
        <w:t>在质保期内系统运行发生故障或一般零部件损坏，由</w:t>
      </w:r>
      <w:r>
        <w:rPr>
          <w:rFonts w:hint="eastAsia" w:cs="宋体"/>
          <w:color w:val="auto"/>
          <w:spacing w:val="3"/>
          <w:lang w:eastAsia="zh-CN"/>
        </w:rPr>
        <w:t>投标人</w:t>
      </w:r>
      <w:r>
        <w:rPr>
          <w:rFonts w:cs="宋体"/>
          <w:color w:val="auto"/>
          <w:spacing w:val="3"/>
        </w:rPr>
        <w:t>在</w:t>
      </w:r>
      <w:r>
        <w:rPr>
          <w:color w:val="auto"/>
          <w:spacing w:val="-1"/>
        </w:rPr>
        <w:t>15</w:t>
      </w:r>
      <w:r>
        <w:rPr>
          <w:rFonts w:cs="宋体"/>
          <w:color w:val="auto"/>
          <w:spacing w:val="4"/>
        </w:rPr>
        <w:t>工作日</w:t>
      </w:r>
      <w:r>
        <w:rPr>
          <w:rFonts w:cs="宋体"/>
          <w:color w:val="auto"/>
        </w:rPr>
        <w:t>内免费检修或更换部件，检修期从质保期内扣除；在质保期内系统运行发生重大部件损坏，由</w:t>
      </w:r>
      <w:r>
        <w:rPr>
          <w:rFonts w:hint="eastAsia" w:cs="宋体"/>
          <w:color w:val="auto"/>
          <w:lang w:eastAsia="zh-CN"/>
        </w:rPr>
        <w:t>投标人</w:t>
      </w:r>
      <w:r>
        <w:rPr>
          <w:rFonts w:cs="宋体"/>
          <w:color w:val="auto"/>
        </w:rPr>
        <w:t>在</w:t>
      </w:r>
      <w:r>
        <w:rPr>
          <w:color w:val="auto"/>
        </w:rPr>
        <w:t>15</w:t>
      </w:r>
      <w:r>
        <w:rPr>
          <w:rFonts w:cs="宋体"/>
          <w:color w:val="auto"/>
        </w:rPr>
        <w:t>工作日内免费检修或更换部件，检修期从质保期内扣除；</w:t>
      </w:r>
    </w:p>
    <w:p>
      <w:pPr>
        <w:keepLines w:val="0"/>
        <w:pageBreakBefore w:val="0"/>
        <w:kinsoku/>
        <w:wordWrap/>
        <w:bidi w:val="0"/>
        <w:spacing w:line="500" w:lineRule="exact"/>
        <w:ind w:left="410"/>
        <w:rPr>
          <w:color w:val="auto"/>
        </w:rPr>
      </w:pPr>
      <w:r>
        <w:rPr>
          <w:rFonts w:hint="eastAsia" w:cs="宋体"/>
          <w:color w:val="auto"/>
          <w:spacing w:val="3"/>
          <w:lang w:eastAsia="zh-CN"/>
        </w:rPr>
        <w:t>9.</w:t>
      </w:r>
      <w:r>
        <w:rPr>
          <w:rFonts w:hint="eastAsia" w:cs="宋体"/>
          <w:color w:val="auto"/>
          <w:spacing w:val="3"/>
        </w:rPr>
        <w:t>7</w:t>
      </w:r>
      <w:r>
        <w:rPr>
          <w:rFonts w:cs="宋体"/>
          <w:color w:val="auto"/>
          <w:spacing w:val="3"/>
        </w:rPr>
        <w:t>在质保期内，通过有效证据证明设备存在缺陷，包括潜在的缺陷或使用</w:t>
      </w:r>
      <w:r>
        <w:rPr>
          <w:rFonts w:cs="宋体"/>
          <w:color w:val="auto"/>
          <w:spacing w:val="-1"/>
        </w:rPr>
        <w:t>不符合要求的材料等，采购方以书面形式通知</w:t>
      </w:r>
      <w:r>
        <w:rPr>
          <w:rFonts w:hint="eastAsia" w:cs="宋体"/>
          <w:color w:val="auto"/>
          <w:spacing w:val="-1"/>
          <w:lang w:eastAsia="zh-CN"/>
        </w:rPr>
        <w:t>投标人</w:t>
      </w:r>
      <w:r>
        <w:rPr>
          <w:rFonts w:cs="宋体"/>
          <w:color w:val="auto"/>
          <w:spacing w:val="-1"/>
        </w:rPr>
        <w:t>。</w:t>
      </w:r>
      <w:r>
        <w:rPr>
          <w:rFonts w:hint="eastAsia" w:cs="宋体"/>
          <w:color w:val="auto"/>
          <w:spacing w:val="-1"/>
          <w:lang w:eastAsia="zh-CN"/>
        </w:rPr>
        <w:t>投标人</w:t>
      </w:r>
      <w:r>
        <w:rPr>
          <w:rFonts w:cs="宋体"/>
          <w:color w:val="auto"/>
          <w:spacing w:val="-1"/>
        </w:rPr>
        <w:t>在收到通知后</w:t>
      </w:r>
      <w:r>
        <w:rPr>
          <w:color w:val="auto"/>
          <w:spacing w:val="1"/>
        </w:rPr>
        <w:t xml:space="preserve"> </w:t>
      </w:r>
      <w:r>
        <w:rPr>
          <w:rFonts w:hint="eastAsia"/>
          <w:color w:val="auto"/>
        </w:rPr>
        <w:t>15</w:t>
      </w:r>
      <w:r>
        <w:rPr>
          <w:rFonts w:cs="宋体"/>
          <w:color w:val="auto"/>
        </w:rPr>
        <w:t>日内应免费补齐、检修或更换有质量缺陷的设备或部件；</w:t>
      </w:r>
    </w:p>
    <w:p>
      <w:pPr>
        <w:keepLines w:val="0"/>
        <w:pageBreakBefore w:val="0"/>
        <w:kinsoku/>
        <w:wordWrap/>
        <w:bidi w:val="0"/>
        <w:spacing w:line="500" w:lineRule="exact"/>
        <w:ind w:left="410"/>
        <w:rPr>
          <w:color w:val="auto"/>
        </w:rPr>
      </w:pPr>
      <w:r>
        <w:rPr>
          <w:rFonts w:hint="eastAsia" w:cs="宋体"/>
          <w:color w:val="auto"/>
          <w:spacing w:val="3"/>
          <w:lang w:eastAsia="zh-CN"/>
        </w:rPr>
        <w:t>9.</w:t>
      </w:r>
      <w:r>
        <w:rPr>
          <w:rFonts w:hint="eastAsia" w:cs="宋体"/>
          <w:color w:val="auto"/>
          <w:spacing w:val="3"/>
        </w:rPr>
        <w:t>8</w:t>
      </w:r>
      <w:r>
        <w:rPr>
          <w:rFonts w:hint="eastAsia" w:cs="宋体"/>
          <w:color w:val="auto"/>
          <w:spacing w:val="3"/>
          <w:lang w:eastAsia="zh-CN"/>
        </w:rPr>
        <w:t>投标人</w:t>
      </w:r>
      <w:r>
        <w:rPr>
          <w:rFonts w:cs="宋体"/>
          <w:color w:val="auto"/>
          <w:spacing w:val="3"/>
        </w:rPr>
        <w:t>有责任对其供货产品提供终身维护，质保期内如设备出现重大故</w:t>
      </w:r>
      <w:r>
        <w:rPr>
          <w:rFonts w:cs="宋体"/>
          <w:color w:val="auto"/>
        </w:rPr>
        <w:t>障导致设备停止工作，质保期顺延，自故障修复之日起重新开始计算；</w:t>
      </w:r>
      <w:r>
        <w:rPr>
          <w:rFonts w:hint="eastAsia" w:ascii="宋体" w:hAnsi="宋体" w:eastAsia="宋体"/>
          <w:b/>
          <w:bCs/>
          <w:color w:val="auto"/>
          <w:sz w:val="24"/>
        </w:rPr>
        <w:t>软件终身免费升级。</w:t>
      </w:r>
    </w:p>
    <w:p>
      <w:pPr>
        <w:keepLines w:val="0"/>
        <w:pageBreakBefore w:val="0"/>
        <w:kinsoku/>
        <w:wordWrap/>
        <w:bidi w:val="0"/>
        <w:spacing w:line="500" w:lineRule="exact"/>
        <w:ind w:left="410"/>
        <w:rPr>
          <w:color w:val="auto"/>
        </w:rPr>
      </w:pPr>
      <w:r>
        <w:rPr>
          <w:rFonts w:hint="eastAsia" w:cs="宋体"/>
          <w:color w:val="auto"/>
          <w:spacing w:val="3"/>
          <w:lang w:eastAsia="zh-CN"/>
        </w:rPr>
        <w:t>9.</w:t>
      </w:r>
      <w:r>
        <w:rPr>
          <w:rFonts w:hint="eastAsia" w:cs="宋体"/>
          <w:color w:val="auto"/>
          <w:spacing w:val="3"/>
        </w:rPr>
        <w:t>9</w:t>
      </w:r>
      <w:r>
        <w:rPr>
          <w:rFonts w:hint="eastAsia" w:cs="宋体"/>
          <w:color w:val="auto"/>
          <w:spacing w:val="3"/>
          <w:lang w:eastAsia="zh-CN"/>
        </w:rPr>
        <w:t>投标人</w:t>
      </w:r>
      <w:r>
        <w:rPr>
          <w:rFonts w:cs="宋体"/>
          <w:color w:val="auto"/>
          <w:spacing w:val="3"/>
        </w:rPr>
        <w:t>应提供本设备所使用的易损易耗产品清单（如有），内容包括名</w:t>
      </w:r>
      <w:r>
        <w:rPr>
          <w:rFonts w:cs="宋体"/>
          <w:color w:val="auto"/>
        </w:rPr>
        <w:t>称、代号、规格型号、厂商等；</w:t>
      </w:r>
    </w:p>
    <w:p>
      <w:pPr>
        <w:keepLines w:val="0"/>
        <w:pageBreakBefore w:val="0"/>
        <w:kinsoku/>
        <w:wordWrap/>
        <w:bidi w:val="0"/>
        <w:spacing w:line="500" w:lineRule="exact"/>
        <w:ind w:left="410"/>
        <w:rPr>
          <w:b/>
          <w:bCs/>
          <w:color w:val="auto"/>
        </w:rPr>
      </w:pPr>
      <w:r>
        <w:rPr>
          <w:rFonts w:hint="eastAsia" w:cs="宋体"/>
          <w:color w:val="auto"/>
          <w:spacing w:val="3"/>
          <w:lang w:eastAsia="zh-CN"/>
        </w:rPr>
        <w:t>9.</w:t>
      </w:r>
      <w:r>
        <w:rPr>
          <w:rFonts w:hint="eastAsia" w:cs="宋体"/>
          <w:color w:val="auto"/>
          <w:spacing w:val="3"/>
        </w:rPr>
        <w:t>10</w:t>
      </w:r>
      <w:r>
        <w:rPr>
          <w:rFonts w:cs="宋体"/>
          <w:b/>
          <w:bCs/>
          <w:color w:val="auto"/>
          <w:spacing w:val="3"/>
        </w:rPr>
        <w:t>厂商技术工程师须免费到现场对采购方技术人员进行不少于</w:t>
      </w:r>
      <w:r>
        <w:rPr>
          <w:rFonts w:hint="eastAsia"/>
          <w:b/>
          <w:bCs/>
          <w:color w:val="auto"/>
        </w:rPr>
        <w:t>3</w:t>
      </w:r>
      <w:r>
        <w:rPr>
          <w:rFonts w:cs="宋体"/>
          <w:b/>
          <w:bCs/>
          <w:color w:val="auto"/>
          <w:spacing w:val="3"/>
        </w:rPr>
        <w:t>天的设备</w:t>
      </w:r>
      <w:r>
        <w:rPr>
          <w:rFonts w:cs="宋体"/>
          <w:b/>
          <w:bCs/>
          <w:color w:val="auto"/>
        </w:rPr>
        <w:t>使用培训；</w:t>
      </w:r>
    </w:p>
    <w:p>
      <w:pPr>
        <w:keepLines w:val="0"/>
        <w:pageBreakBefore w:val="0"/>
        <w:kinsoku/>
        <w:wordWrap/>
        <w:bidi w:val="0"/>
        <w:spacing w:line="500" w:lineRule="exact"/>
        <w:ind w:left="410"/>
        <w:rPr>
          <w:b/>
          <w:bCs/>
          <w:color w:val="auto"/>
        </w:rPr>
      </w:pPr>
      <w:r>
        <w:rPr>
          <w:rFonts w:hint="eastAsia" w:cs="宋体"/>
          <w:b/>
          <w:bCs/>
          <w:color w:val="auto"/>
          <w:spacing w:val="3"/>
          <w:lang w:eastAsia="zh-CN"/>
        </w:rPr>
        <w:t>9.</w:t>
      </w:r>
      <w:r>
        <w:rPr>
          <w:rFonts w:hint="eastAsia" w:cs="宋体"/>
          <w:b/>
          <w:bCs/>
          <w:color w:val="auto"/>
          <w:spacing w:val="3"/>
        </w:rPr>
        <w:t>11</w:t>
      </w:r>
      <w:r>
        <w:rPr>
          <w:rFonts w:hint="eastAsia" w:cs="宋体"/>
          <w:b/>
          <w:bCs/>
          <w:color w:val="auto"/>
          <w:spacing w:val="3"/>
          <w:lang w:eastAsia="zh-CN"/>
        </w:rPr>
        <w:t>投标人</w:t>
      </w:r>
      <w:r>
        <w:rPr>
          <w:rFonts w:cs="宋体"/>
          <w:b/>
          <w:bCs/>
          <w:color w:val="auto"/>
          <w:spacing w:val="3"/>
        </w:rPr>
        <w:t>应在接到采购方通知后</w:t>
      </w:r>
      <w:r>
        <w:rPr>
          <w:b/>
          <w:bCs/>
          <w:color w:val="auto"/>
          <w:spacing w:val="1"/>
        </w:rPr>
        <w:t xml:space="preserve"> </w:t>
      </w:r>
      <w:r>
        <w:rPr>
          <w:b/>
          <w:bCs/>
          <w:color w:val="auto"/>
        </w:rPr>
        <w:t>24</w:t>
      </w:r>
      <w:r>
        <w:rPr>
          <w:b/>
          <w:bCs/>
          <w:color w:val="auto"/>
          <w:spacing w:val="2"/>
        </w:rPr>
        <w:t xml:space="preserve"> </w:t>
      </w:r>
      <w:r>
        <w:rPr>
          <w:rFonts w:cs="宋体"/>
          <w:b/>
          <w:bCs/>
          <w:color w:val="auto"/>
          <w:spacing w:val="4"/>
        </w:rPr>
        <w:t>小时内响应，必要时</w:t>
      </w:r>
      <w:r>
        <w:rPr>
          <w:b/>
          <w:bCs/>
          <w:color w:val="auto"/>
          <w:spacing w:val="1"/>
        </w:rPr>
        <w:t xml:space="preserve"> </w:t>
      </w:r>
      <w:r>
        <w:rPr>
          <w:b/>
          <w:bCs/>
          <w:color w:val="auto"/>
        </w:rPr>
        <w:t>48</w:t>
      </w:r>
      <w:r>
        <w:rPr>
          <w:b/>
          <w:bCs/>
          <w:color w:val="auto"/>
          <w:spacing w:val="2"/>
        </w:rPr>
        <w:t xml:space="preserve"> </w:t>
      </w:r>
      <w:r>
        <w:rPr>
          <w:rFonts w:cs="宋体"/>
          <w:b/>
          <w:bCs/>
          <w:color w:val="auto"/>
          <w:spacing w:val="3"/>
        </w:rPr>
        <w:t>小时内赶到现</w:t>
      </w:r>
      <w:r>
        <w:rPr>
          <w:rFonts w:cs="宋体"/>
          <w:b/>
          <w:bCs/>
          <w:color w:val="auto"/>
        </w:rPr>
        <w:t>场，期间产生的费用及损失，除属采购方责任和不可抗力除外，均由</w:t>
      </w:r>
      <w:r>
        <w:rPr>
          <w:rFonts w:hint="eastAsia" w:cs="宋体"/>
          <w:b/>
          <w:bCs/>
          <w:color w:val="auto"/>
          <w:lang w:eastAsia="zh-CN"/>
        </w:rPr>
        <w:t>投标人</w:t>
      </w:r>
      <w:r>
        <w:rPr>
          <w:rFonts w:cs="宋体"/>
          <w:b/>
          <w:bCs/>
          <w:color w:val="auto"/>
        </w:rPr>
        <w:t>负责。</w:t>
      </w:r>
    </w:p>
    <w:p>
      <w:pPr>
        <w:keepLines w:val="0"/>
        <w:pageBreakBefore w:val="0"/>
        <w:kinsoku/>
        <w:wordWrap/>
        <w:bidi w:val="0"/>
        <w:spacing w:line="500" w:lineRule="exact"/>
        <w:ind w:left="410"/>
        <w:rPr>
          <w:color w:val="auto"/>
          <w:spacing w:val="-6"/>
        </w:rPr>
      </w:pPr>
    </w:p>
    <w:p>
      <w:pPr>
        <w:pStyle w:val="4"/>
        <w:bidi w:val="0"/>
        <w:rPr>
          <w:color w:val="auto"/>
        </w:rPr>
      </w:pPr>
      <w:bookmarkStart w:id="38" w:name="_Toc10126"/>
      <w:r>
        <w:rPr>
          <w:rFonts w:hint="eastAsia"/>
          <w:color w:val="auto"/>
          <w:spacing w:val="-6"/>
          <w:lang w:eastAsia="zh-CN"/>
        </w:rPr>
        <w:t>10.</w:t>
      </w:r>
      <w:r>
        <w:rPr>
          <w:rFonts w:cs="宋体"/>
          <w:color w:val="auto"/>
        </w:rPr>
        <w:t>验收</w:t>
      </w:r>
      <w:bookmarkEnd w:id="38"/>
    </w:p>
    <w:p>
      <w:pPr>
        <w:keepLines w:val="0"/>
        <w:pageBreakBefore w:val="0"/>
        <w:kinsoku/>
        <w:wordWrap/>
        <w:bidi w:val="0"/>
        <w:spacing w:line="500" w:lineRule="exact"/>
        <w:ind w:left="410"/>
        <w:rPr>
          <w:color w:val="auto"/>
        </w:rPr>
      </w:pPr>
      <w:r>
        <w:rPr>
          <w:rFonts w:hint="eastAsia"/>
          <w:color w:val="auto"/>
          <w:spacing w:val="-2"/>
          <w:lang w:eastAsia="zh-CN"/>
        </w:rPr>
        <w:t>10.</w:t>
      </w:r>
      <w:r>
        <w:rPr>
          <w:color w:val="auto"/>
          <w:spacing w:val="-2"/>
        </w:rPr>
        <w:t>1</w:t>
      </w:r>
      <w:r>
        <w:rPr>
          <w:color w:val="auto"/>
          <w:spacing w:val="60"/>
        </w:rPr>
        <w:t xml:space="preserve"> </w:t>
      </w:r>
      <w:r>
        <w:rPr>
          <w:rFonts w:hint="eastAsia" w:cs="宋体"/>
          <w:color w:val="auto"/>
          <w:spacing w:val="2"/>
          <w:lang w:eastAsia="zh-CN"/>
        </w:rPr>
        <w:t>投标人</w:t>
      </w:r>
      <w:r>
        <w:rPr>
          <w:rFonts w:cs="宋体"/>
          <w:color w:val="auto"/>
          <w:spacing w:val="2"/>
        </w:rPr>
        <w:t>依据技术规范所要求内容供货，采购方根据采购技术规范内容验</w:t>
      </w:r>
      <w:r>
        <w:rPr>
          <w:rFonts w:cs="宋体"/>
          <w:color w:val="auto"/>
          <w:spacing w:val="3"/>
        </w:rPr>
        <w:t>收，如</w:t>
      </w:r>
      <w:r>
        <w:rPr>
          <w:rFonts w:hint="eastAsia" w:cs="宋体"/>
          <w:color w:val="auto"/>
          <w:spacing w:val="3"/>
          <w:lang w:eastAsia="zh-CN"/>
        </w:rPr>
        <w:t>投标人</w:t>
      </w:r>
      <w:r>
        <w:rPr>
          <w:rFonts w:cs="宋体"/>
          <w:color w:val="auto"/>
          <w:spacing w:val="3"/>
        </w:rPr>
        <w:t>提供货物与技术规范书存在差异，又未在报价差异表中列出的，采购</w:t>
      </w:r>
      <w:r>
        <w:rPr>
          <w:rFonts w:cs="宋体"/>
          <w:color w:val="auto"/>
        </w:rPr>
        <w:t>方有权拒收。</w:t>
      </w:r>
    </w:p>
    <w:p>
      <w:pPr>
        <w:keepLines w:val="0"/>
        <w:pageBreakBefore w:val="0"/>
        <w:kinsoku/>
        <w:wordWrap/>
        <w:bidi w:val="0"/>
        <w:spacing w:line="500" w:lineRule="exact"/>
        <w:ind w:left="410"/>
        <w:rPr>
          <w:color w:val="auto"/>
        </w:rPr>
      </w:pPr>
      <w:r>
        <w:rPr>
          <w:rFonts w:hint="eastAsia"/>
          <w:color w:val="auto"/>
          <w:spacing w:val="-2"/>
          <w:lang w:eastAsia="zh-CN"/>
        </w:rPr>
        <w:t>10.</w:t>
      </w:r>
      <w:r>
        <w:rPr>
          <w:color w:val="auto"/>
          <w:spacing w:val="-2"/>
        </w:rPr>
        <w:t>2</w:t>
      </w:r>
      <w:r>
        <w:rPr>
          <w:color w:val="auto"/>
          <w:spacing w:val="60"/>
        </w:rPr>
        <w:t xml:space="preserve"> </w:t>
      </w:r>
      <w:r>
        <w:rPr>
          <w:rFonts w:cs="宋体"/>
          <w:color w:val="auto"/>
        </w:rPr>
        <w:t>到货验收</w:t>
      </w:r>
    </w:p>
    <w:p>
      <w:pPr>
        <w:keepLines w:val="0"/>
        <w:pageBreakBefore w:val="0"/>
        <w:kinsoku/>
        <w:wordWrap/>
        <w:bidi w:val="0"/>
        <w:spacing w:line="500" w:lineRule="exact"/>
        <w:ind w:left="410"/>
        <w:rPr>
          <w:rFonts w:hint="eastAsia" w:eastAsia="宋体" w:cs="宋体"/>
          <w:b/>
          <w:bCs/>
          <w:color w:val="auto"/>
          <w:lang w:eastAsia="zh-CN"/>
        </w:rPr>
      </w:pPr>
      <w:r>
        <w:rPr>
          <w:rFonts w:cs="宋体"/>
          <w:color w:val="auto"/>
          <w:spacing w:val="3"/>
        </w:rPr>
        <w:t>到货验收分为开箱验收和功能验收</w:t>
      </w:r>
      <w:r>
        <w:rPr>
          <w:rFonts w:hint="eastAsia" w:cs="宋体"/>
          <w:color w:val="auto"/>
          <w:spacing w:val="3"/>
          <w:lang w:eastAsia="zh-CN"/>
        </w:rPr>
        <w:t>。</w:t>
      </w:r>
      <w:r>
        <w:rPr>
          <w:rFonts w:cs="宋体"/>
          <w:b/>
          <w:bCs/>
          <w:color w:val="auto"/>
          <w:spacing w:val="3"/>
        </w:rPr>
        <w:t>开箱验收包括对</w:t>
      </w:r>
      <w:r>
        <w:rPr>
          <w:rFonts w:cs="宋体"/>
          <w:b/>
          <w:bCs/>
          <w:color w:val="auto"/>
          <w:spacing w:val="1"/>
        </w:rPr>
        <w:t>仪</w:t>
      </w:r>
      <w:r>
        <w:rPr>
          <w:rFonts w:hint="eastAsia" w:cs="宋体"/>
          <w:b/>
          <w:bCs/>
          <w:color w:val="auto"/>
          <w:spacing w:val="1"/>
        </w:rPr>
        <w:t>器</w:t>
      </w:r>
      <w:r>
        <w:rPr>
          <w:rFonts w:cs="宋体"/>
          <w:b/>
          <w:bCs/>
          <w:color w:val="auto"/>
          <w:spacing w:val="1"/>
        </w:rPr>
        <w:t>、</w:t>
      </w:r>
      <w:r>
        <w:rPr>
          <w:rFonts w:hint="eastAsia" w:cs="宋体"/>
          <w:b/>
          <w:bCs/>
          <w:color w:val="auto"/>
          <w:spacing w:val="1"/>
        </w:rPr>
        <w:t>配件</w:t>
      </w:r>
      <w:r>
        <w:rPr>
          <w:rFonts w:cs="宋体"/>
          <w:b/>
          <w:bCs/>
          <w:color w:val="auto"/>
          <w:spacing w:val="1"/>
        </w:rPr>
        <w:t>、</w:t>
      </w:r>
      <w:r>
        <w:rPr>
          <w:rFonts w:hint="eastAsia" w:cs="宋体"/>
          <w:b/>
          <w:bCs/>
          <w:color w:val="auto"/>
          <w:spacing w:val="1"/>
          <w:lang w:val="en-US" w:eastAsia="zh-CN"/>
        </w:rPr>
        <w:t>第三方校准</w:t>
      </w:r>
      <w:r>
        <w:rPr>
          <w:rFonts w:cs="宋体"/>
          <w:b/>
          <w:bCs/>
          <w:color w:val="auto"/>
          <w:spacing w:val="1"/>
        </w:rPr>
        <w:t>报告和合格证等设备</w:t>
      </w:r>
      <w:r>
        <w:rPr>
          <w:b/>
          <w:bCs/>
          <w:color w:val="auto"/>
          <w:spacing w:val="3"/>
        </w:rPr>
        <w:t>/</w:t>
      </w:r>
      <w:r>
        <w:rPr>
          <w:rFonts w:cs="宋体"/>
          <w:b/>
          <w:bCs/>
          <w:color w:val="auto"/>
          <w:spacing w:val="1"/>
        </w:rPr>
        <w:t>材料是否齐全；功能验收指设备</w:t>
      </w:r>
      <w:r>
        <w:rPr>
          <w:rFonts w:cs="宋体"/>
          <w:b/>
          <w:bCs/>
          <w:color w:val="auto"/>
        </w:rPr>
        <w:t>各项功能参数是否满足技术规范要求</w:t>
      </w:r>
      <w:r>
        <w:rPr>
          <w:rFonts w:hint="eastAsia" w:cs="宋体"/>
          <w:b/>
          <w:bCs/>
          <w:color w:val="auto"/>
          <w:lang w:eastAsia="zh-CN"/>
        </w:rPr>
        <w:t>。</w:t>
      </w:r>
    </w:p>
    <w:p>
      <w:pPr>
        <w:keepLines w:val="0"/>
        <w:pageBreakBefore w:val="0"/>
        <w:kinsoku/>
        <w:wordWrap/>
        <w:bidi w:val="0"/>
        <w:spacing w:line="500" w:lineRule="exact"/>
        <w:ind w:left="410"/>
        <w:rPr>
          <w:color w:val="auto"/>
        </w:rPr>
      </w:pPr>
      <w:r>
        <w:rPr>
          <w:rFonts w:hint="eastAsia"/>
          <w:color w:val="auto"/>
          <w:spacing w:val="-2"/>
          <w:lang w:eastAsia="zh-CN"/>
        </w:rPr>
        <w:t>10.</w:t>
      </w:r>
      <w:r>
        <w:rPr>
          <w:color w:val="auto"/>
          <w:spacing w:val="-2"/>
        </w:rPr>
        <w:t>3</w:t>
      </w:r>
      <w:r>
        <w:rPr>
          <w:color w:val="auto"/>
          <w:spacing w:val="60"/>
        </w:rPr>
        <w:t xml:space="preserve"> </w:t>
      </w:r>
      <w:r>
        <w:rPr>
          <w:rFonts w:cs="宋体"/>
          <w:color w:val="auto"/>
        </w:rPr>
        <w:t>现场验收</w:t>
      </w:r>
    </w:p>
    <w:p>
      <w:pPr>
        <w:keepLines w:val="0"/>
        <w:pageBreakBefore w:val="0"/>
        <w:kinsoku/>
        <w:wordWrap/>
        <w:bidi w:val="0"/>
        <w:spacing w:line="500" w:lineRule="exact"/>
        <w:ind w:left="410"/>
        <w:rPr>
          <w:color w:val="auto"/>
        </w:rPr>
      </w:pPr>
      <w:r>
        <w:rPr>
          <w:rFonts w:cs="宋体"/>
          <w:color w:val="auto"/>
          <w:spacing w:val="3"/>
        </w:rPr>
        <w:t>在采购方指定试验室安装调试完成后，以</w:t>
      </w:r>
      <w:r>
        <w:rPr>
          <w:rFonts w:hint="eastAsia" w:cs="宋体"/>
          <w:color w:val="auto"/>
          <w:spacing w:val="3"/>
          <w:lang w:eastAsia="zh-CN"/>
        </w:rPr>
        <w:t>投标人</w:t>
      </w:r>
      <w:r>
        <w:rPr>
          <w:rFonts w:cs="宋体"/>
          <w:color w:val="auto"/>
          <w:spacing w:val="3"/>
        </w:rPr>
        <w:t>协助采购方完成技术培训内</w:t>
      </w:r>
      <w:r>
        <w:rPr>
          <w:rFonts w:cs="宋体"/>
          <w:color w:val="auto"/>
        </w:rPr>
        <w:t>容为标准进行验收，验收合格后由</w:t>
      </w:r>
      <w:r>
        <w:rPr>
          <w:rFonts w:hint="eastAsia" w:cs="宋体"/>
          <w:color w:val="auto"/>
          <w:lang w:eastAsia="zh-CN"/>
        </w:rPr>
        <w:t>投标人</w:t>
      </w:r>
      <w:r>
        <w:rPr>
          <w:rFonts w:cs="宋体"/>
          <w:color w:val="auto"/>
        </w:rPr>
        <w:t>提供验收报告。</w:t>
      </w:r>
    </w:p>
    <w:p>
      <w:pPr>
        <w:pStyle w:val="4"/>
        <w:bidi w:val="0"/>
        <w:rPr>
          <w:color w:val="auto"/>
        </w:rPr>
      </w:pPr>
      <w:bookmarkStart w:id="39" w:name="_Toc22211"/>
      <w:r>
        <w:rPr>
          <w:color w:val="auto"/>
        </w:rPr>
        <w:t>1</w:t>
      </w:r>
      <w:r>
        <w:rPr>
          <w:rFonts w:hint="eastAsia"/>
          <w:color w:val="auto"/>
          <w:lang w:val="en-US" w:eastAsia="zh-CN"/>
        </w:rPr>
        <w:t>1</w:t>
      </w:r>
      <w:r>
        <w:rPr>
          <w:color w:val="auto"/>
        </w:rPr>
        <w:t>.</w:t>
      </w:r>
      <w:r>
        <w:rPr>
          <w:rFonts w:cs="宋体"/>
          <w:color w:val="auto"/>
          <w:spacing w:val="1"/>
        </w:rPr>
        <w:t>技术差异表</w:t>
      </w:r>
      <w:bookmarkEnd w:id="39"/>
    </w:p>
    <w:p>
      <w:pPr>
        <w:keepLines w:val="0"/>
        <w:pageBreakBefore w:val="0"/>
        <w:kinsoku/>
        <w:wordWrap/>
        <w:bidi w:val="0"/>
        <w:spacing w:line="500" w:lineRule="exact"/>
        <w:ind w:left="410"/>
        <w:rPr>
          <w:color w:val="auto"/>
        </w:rPr>
      </w:pPr>
      <w:r>
        <w:rPr>
          <w:rFonts w:hint="eastAsia" w:cs="宋体"/>
          <w:color w:val="auto"/>
          <w:spacing w:val="-1"/>
        </w:rPr>
        <w:tab/>
      </w:r>
      <w:r>
        <w:rPr>
          <w:rFonts w:hint="eastAsia" w:cs="宋体"/>
          <w:color w:val="auto"/>
          <w:spacing w:val="-1"/>
        </w:rPr>
        <w:tab/>
      </w:r>
      <w:r>
        <w:rPr>
          <w:rFonts w:hint="eastAsia" w:cs="宋体"/>
          <w:color w:val="auto"/>
          <w:spacing w:val="-1"/>
          <w:lang w:eastAsia="zh-CN"/>
        </w:rPr>
        <w:t>投标人</w:t>
      </w:r>
      <w:r>
        <w:rPr>
          <w:rFonts w:cs="宋体"/>
          <w:color w:val="auto"/>
          <w:spacing w:val="-1"/>
        </w:rPr>
        <w:t>应将所供设备与本采购书技术文件有差异之处，无论优于或劣于本</w:t>
      </w:r>
      <w:r>
        <w:rPr>
          <w:rFonts w:hint="eastAsia" w:cs="宋体"/>
          <w:color w:val="auto"/>
          <w:spacing w:val="-1"/>
        </w:rPr>
        <w:t>规范书</w:t>
      </w:r>
      <w:r>
        <w:rPr>
          <w:rFonts w:cs="宋体"/>
          <w:color w:val="auto"/>
        </w:rPr>
        <w:t>要求，均汇集成此表。</w:t>
      </w:r>
    </w:p>
    <w:p>
      <w:pPr>
        <w:keepLines w:val="0"/>
        <w:pageBreakBefore w:val="0"/>
        <w:kinsoku/>
        <w:wordWrap/>
        <w:bidi w:val="0"/>
        <w:spacing w:line="500" w:lineRule="exact"/>
        <w:ind w:left="410"/>
        <w:rPr>
          <w:color w:val="auto"/>
        </w:rPr>
      </w:pPr>
      <w:r>
        <w:rPr>
          <w:rFonts w:cs="宋体"/>
          <w:color w:val="auto"/>
        </w:rPr>
        <w:t>技术差异表</w:t>
      </w:r>
    </w:p>
    <w:tbl>
      <w:tblPr>
        <w:tblStyle w:val="12"/>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pPr>
              <w:keepLines w:val="0"/>
              <w:pageBreakBefore w:val="0"/>
              <w:kinsoku/>
              <w:wordWrap/>
              <w:bidi w:val="0"/>
              <w:spacing w:line="500" w:lineRule="exact"/>
              <w:ind w:left="0" w:leftChars="0"/>
              <w:rPr>
                <w:color w:val="auto"/>
              </w:rPr>
            </w:pPr>
            <w:r>
              <w:rPr>
                <w:rFonts w:hint="eastAsia"/>
                <w:color w:val="auto"/>
              </w:rPr>
              <w:t>序号</w:t>
            </w:r>
          </w:p>
        </w:tc>
        <w:tc>
          <w:tcPr>
            <w:tcW w:w="4313" w:type="dxa"/>
            <w:gridSpan w:val="2"/>
            <w:vAlign w:val="center"/>
          </w:tcPr>
          <w:p>
            <w:pPr>
              <w:keepLines w:val="0"/>
              <w:pageBreakBefore w:val="0"/>
              <w:kinsoku/>
              <w:wordWrap/>
              <w:bidi w:val="0"/>
              <w:spacing w:line="500" w:lineRule="exact"/>
              <w:ind w:left="410"/>
              <w:jc w:val="center"/>
              <w:rPr>
                <w:color w:val="auto"/>
              </w:rPr>
            </w:pPr>
            <w:r>
              <w:rPr>
                <w:rFonts w:hint="eastAsia"/>
                <w:color w:val="auto"/>
              </w:rPr>
              <w:t>采购文件</w:t>
            </w:r>
          </w:p>
        </w:tc>
        <w:tc>
          <w:tcPr>
            <w:tcW w:w="4369" w:type="dxa"/>
            <w:gridSpan w:val="2"/>
            <w:vAlign w:val="center"/>
          </w:tcPr>
          <w:p>
            <w:pPr>
              <w:keepLines w:val="0"/>
              <w:pageBreakBefore w:val="0"/>
              <w:kinsoku/>
              <w:wordWrap/>
              <w:bidi w:val="0"/>
              <w:spacing w:line="500" w:lineRule="exact"/>
              <w:ind w:left="410"/>
              <w:jc w:val="center"/>
              <w:rPr>
                <w:color w:val="auto"/>
              </w:rPr>
            </w:pPr>
            <w:r>
              <w:rPr>
                <w:rFonts w:hint="eastAsia"/>
                <w:color w:val="auto"/>
              </w:rPr>
              <w:t>报价文件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pPr>
              <w:keepLines w:val="0"/>
              <w:pageBreakBefore w:val="0"/>
              <w:kinsoku/>
              <w:wordWrap/>
              <w:bidi w:val="0"/>
              <w:spacing w:line="500" w:lineRule="exact"/>
              <w:ind w:left="410"/>
              <w:jc w:val="center"/>
              <w:rPr>
                <w:color w:val="auto"/>
              </w:rPr>
            </w:pPr>
          </w:p>
        </w:tc>
        <w:tc>
          <w:tcPr>
            <w:tcW w:w="2077" w:type="dxa"/>
            <w:vAlign w:val="center"/>
          </w:tcPr>
          <w:p>
            <w:pPr>
              <w:keepLines w:val="0"/>
              <w:pageBreakBefore w:val="0"/>
              <w:kinsoku/>
              <w:wordWrap/>
              <w:bidi w:val="0"/>
              <w:spacing w:line="500" w:lineRule="exact"/>
              <w:ind w:left="410"/>
              <w:jc w:val="center"/>
              <w:rPr>
                <w:color w:val="auto"/>
              </w:rPr>
            </w:pPr>
            <w:r>
              <w:rPr>
                <w:rFonts w:hint="eastAsia"/>
                <w:color w:val="auto"/>
              </w:rPr>
              <w:t>条目</w:t>
            </w:r>
          </w:p>
        </w:tc>
        <w:tc>
          <w:tcPr>
            <w:tcW w:w="2236" w:type="dxa"/>
            <w:vAlign w:val="center"/>
          </w:tcPr>
          <w:p>
            <w:pPr>
              <w:keepLines w:val="0"/>
              <w:pageBreakBefore w:val="0"/>
              <w:kinsoku/>
              <w:wordWrap/>
              <w:bidi w:val="0"/>
              <w:spacing w:line="500" w:lineRule="exact"/>
              <w:ind w:left="410"/>
              <w:jc w:val="center"/>
              <w:rPr>
                <w:color w:val="auto"/>
              </w:rPr>
            </w:pPr>
            <w:r>
              <w:rPr>
                <w:rFonts w:hint="eastAsia"/>
                <w:color w:val="auto"/>
              </w:rPr>
              <w:t>简要内容</w:t>
            </w:r>
          </w:p>
        </w:tc>
        <w:tc>
          <w:tcPr>
            <w:tcW w:w="2077" w:type="dxa"/>
            <w:vAlign w:val="center"/>
          </w:tcPr>
          <w:p>
            <w:pPr>
              <w:keepLines w:val="0"/>
              <w:pageBreakBefore w:val="0"/>
              <w:kinsoku/>
              <w:wordWrap/>
              <w:bidi w:val="0"/>
              <w:spacing w:line="500" w:lineRule="exact"/>
              <w:ind w:left="410"/>
              <w:jc w:val="center"/>
              <w:rPr>
                <w:color w:val="auto"/>
              </w:rPr>
            </w:pPr>
            <w:r>
              <w:rPr>
                <w:rFonts w:hint="eastAsia"/>
                <w:color w:val="auto"/>
              </w:rPr>
              <w:t>条目</w:t>
            </w:r>
          </w:p>
        </w:tc>
        <w:tc>
          <w:tcPr>
            <w:tcW w:w="2292" w:type="dxa"/>
            <w:vAlign w:val="center"/>
          </w:tcPr>
          <w:p>
            <w:pPr>
              <w:keepLines w:val="0"/>
              <w:pageBreakBefore w:val="0"/>
              <w:kinsoku/>
              <w:wordWrap/>
              <w:bidi w:val="0"/>
              <w:spacing w:line="500" w:lineRule="exact"/>
              <w:ind w:left="410"/>
              <w:jc w:val="center"/>
              <w:rPr>
                <w:color w:val="auto"/>
              </w:rPr>
            </w:pPr>
            <w:r>
              <w:rPr>
                <w:rFonts w:hint="eastAsia"/>
                <w:color w:val="auto"/>
              </w:rPr>
              <w:t>简要内容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1"/>
              </w:numPr>
              <w:kinsoku/>
              <w:wordWrap/>
              <w:bidi w:val="0"/>
              <w:spacing w:line="500" w:lineRule="exact"/>
              <w:ind w:leftChars="0"/>
              <w:jc w:val="both"/>
              <w:rPr>
                <w:color w:val="auto"/>
              </w:rPr>
            </w:pPr>
          </w:p>
        </w:tc>
        <w:tc>
          <w:tcPr>
            <w:tcW w:w="2077" w:type="dxa"/>
          </w:tcPr>
          <w:p>
            <w:pPr>
              <w:keepLines w:val="0"/>
              <w:pageBreakBefore w:val="0"/>
              <w:kinsoku/>
              <w:wordWrap/>
              <w:bidi w:val="0"/>
              <w:spacing w:line="500" w:lineRule="exact"/>
              <w:ind w:left="410"/>
              <w:rPr>
                <w:color w:val="auto"/>
              </w:rPr>
            </w:pPr>
          </w:p>
        </w:tc>
        <w:tc>
          <w:tcPr>
            <w:tcW w:w="2236" w:type="dxa"/>
          </w:tcPr>
          <w:p>
            <w:pPr>
              <w:keepLines w:val="0"/>
              <w:pageBreakBefore w:val="0"/>
              <w:kinsoku/>
              <w:wordWrap/>
              <w:bidi w:val="0"/>
              <w:spacing w:line="500" w:lineRule="exact"/>
              <w:ind w:left="410"/>
              <w:rPr>
                <w:color w:val="auto"/>
              </w:rPr>
            </w:pPr>
          </w:p>
        </w:tc>
        <w:tc>
          <w:tcPr>
            <w:tcW w:w="2077" w:type="dxa"/>
          </w:tcPr>
          <w:p>
            <w:pPr>
              <w:keepLines w:val="0"/>
              <w:pageBreakBefore w:val="0"/>
              <w:kinsoku/>
              <w:wordWrap/>
              <w:bidi w:val="0"/>
              <w:spacing w:line="500" w:lineRule="exact"/>
              <w:ind w:left="410"/>
              <w:rPr>
                <w:color w:val="auto"/>
              </w:rPr>
            </w:pPr>
          </w:p>
        </w:tc>
        <w:tc>
          <w:tcPr>
            <w:tcW w:w="2292" w:type="dxa"/>
          </w:tcPr>
          <w:p>
            <w:pPr>
              <w:keepLines w:val="0"/>
              <w:pageBreakBefore w:val="0"/>
              <w:kinsoku/>
              <w:wordWrap/>
              <w:bidi w:val="0"/>
              <w:spacing w:line="500" w:lineRule="exact"/>
              <w:ind w:left="410"/>
              <w:jc w:val="center"/>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1"/>
              </w:numPr>
              <w:kinsoku/>
              <w:wordWrap/>
              <w:bidi w:val="0"/>
              <w:spacing w:line="500" w:lineRule="exact"/>
              <w:ind w:leftChars="0"/>
              <w:jc w:val="both"/>
              <w:rPr>
                <w:color w:val="auto"/>
              </w:rPr>
            </w:pPr>
          </w:p>
        </w:tc>
        <w:tc>
          <w:tcPr>
            <w:tcW w:w="2077" w:type="dxa"/>
          </w:tcPr>
          <w:p>
            <w:pPr>
              <w:keepLines w:val="0"/>
              <w:pageBreakBefore w:val="0"/>
              <w:kinsoku/>
              <w:wordWrap/>
              <w:bidi w:val="0"/>
              <w:spacing w:line="500" w:lineRule="exact"/>
              <w:ind w:left="410"/>
              <w:rPr>
                <w:color w:val="auto"/>
              </w:rPr>
            </w:pPr>
          </w:p>
        </w:tc>
        <w:tc>
          <w:tcPr>
            <w:tcW w:w="2236" w:type="dxa"/>
          </w:tcPr>
          <w:p>
            <w:pPr>
              <w:keepLines w:val="0"/>
              <w:pageBreakBefore w:val="0"/>
              <w:kinsoku/>
              <w:wordWrap/>
              <w:bidi w:val="0"/>
              <w:spacing w:line="500" w:lineRule="exact"/>
              <w:ind w:left="410"/>
              <w:rPr>
                <w:color w:val="auto"/>
              </w:rPr>
            </w:pPr>
          </w:p>
        </w:tc>
        <w:tc>
          <w:tcPr>
            <w:tcW w:w="2077" w:type="dxa"/>
          </w:tcPr>
          <w:p>
            <w:pPr>
              <w:keepLines w:val="0"/>
              <w:pageBreakBefore w:val="0"/>
              <w:kinsoku/>
              <w:wordWrap/>
              <w:bidi w:val="0"/>
              <w:spacing w:line="500" w:lineRule="exact"/>
              <w:ind w:left="410"/>
              <w:rPr>
                <w:color w:val="auto"/>
              </w:rPr>
            </w:pPr>
          </w:p>
        </w:tc>
        <w:tc>
          <w:tcPr>
            <w:tcW w:w="2292" w:type="dxa"/>
          </w:tcPr>
          <w:p>
            <w:pPr>
              <w:keepLines w:val="0"/>
              <w:pageBreakBefore w:val="0"/>
              <w:kinsoku/>
              <w:wordWrap/>
              <w:bidi w:val="0"/>
              <w:spacing w:line="500" w:lineRule="exact"/>
              <w:ind w:left="410"/>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1"/>
              </w:numPr>
              <w:kinsoku/>
              <w:wordWrap/>
              <w:bidi w:val="0"/>
              <w:spacing w:line="500" w:lineRule="exact"/>
              <w:ind w:leftChars="0"/>
              <w:jc w:val="both"/>
              <w:rPr>
                <w:color w:val="auto"/>
              </w:rPr>
            </w:pPr>
          </w:p>
        </w:tc>
        <w:tc>
          <w:tcPr>
            <w:tcW w:w="2077" w:type="dxa"/>
          </w:tcPr>
          <w:p>
            <w:pPr>
              <w:keepLines w:val="0"/>
              <w:pageBreakBefore w:val="0"/>
              <w:kinsoku/>
              <w:wordWrap/>
              <w:bidi w:val="0"/>
              <w:spacing w:line="500" w:lineRule="exact"/>
              <w:ind w:left="410"/>
              <w:rPr>
                <w:color w:val="auto"/>
              </w:rPr>
            </w:pPr>
          </w:p>
        </w:tc>
        <w:tc>
          <w:tcPr>
            <w:tcW w:w="2236" w:type="dxa"/>
          </w:tcPr>
          <w:p>
            <w:pPr>
              <w:keepLines w:val="0"/>
              <w:pageBreakBefore w:val="0"/>
              <w:kinsoku/>
              <w:wordWrap/>
              <w:bidi w:val="0"/>
              <w:spacing w:line="500" w:lineRule="exact"/>
              <w:ind w:left="410"/>
              <w:rPr>
                <w:color w:val="auto"/>
              </w:rPr>
            </w:pPr>
          </w:p>
        </w:tc>
        <w:tc>
          <w:tcPr>
            <w:tcW w:w="2077" w:type="dxa"/>
          </w:tcPr>
          <w:p>
            <w:pPr>
              <w:keepLines w:val="0"/>
              <w:pageBreakBefore w:val="0"/>
              <w:kinsoku/>
              <w:wordWrap/>
              <w:bidi w:val="0"/>
              <w:spacing w:line="500" w:lineRule="exact"/>
              <w:ind w:left="410"/>
              <w:rPr>
                <w:color w:val="auto"/>
              </w:rPr>
            </w:pPr>
          </w:p>
        </w:tc>
        <w:tc>
          <w:tcPr>
            <w:tcW w:w="2292" w:type="dxa"/>
          </w:tcPr>
          <w:p>
            <w:pPr>
              <w:keepLines w:val="0"/>
              <w:pageBreakBefore w:val="0"/>
              <w:kinsoku/>
              <w:wordWrap/>
              <w:bidi w:val="0"/>
              <w:spacing w:line="500" w:lineRule="exact"/>
              <w:ind w:left="410"/>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pPr>
              <w:keepLines w:val="0"/>
              <w:pageBreakBefore w:val="0"/>
              <w:numPr>
                <w:ilvl w:val="0"/>
                <w:numId w:val="1"/>
              </w:numPr>
              <w:kinsoku/>
              <w:wordWrap/>
              <w:bidi w:val="0"/>
              <w:spacing w:line="500" w:lineRule="exact"/>
              <w:ind w:leftChars="0"/>
              <w:jc w:val="both"/>
              <w:rPr>
                <w:color w:val="auto"/>
              </w:rPr>
            </w:pPr>
          </w:p>
        </w:tc>
        <w:tc>
          <w:tcPr>
            <w:tcW w:w="2077" w:type="dxa"/>
          </w:tcPr>
          <w:p>
            <w:pPr>
              <w:keepLines w:val="0"/>
              <w:pageBreakBefore w:val="0"/>
              <w:kinsoku/>
              <w:wordWrap/>
              <w:bidi w:val="0"/>
              <w:spacing w:line="500" w:lineRule="exact"/>
              <w:ind w:left="410"/>
              <w:rPr>
                <w:color w:val="auto"/>
              </w:rPr>
            </w:pPr>
          </w:p>
        </w:tc>
        <w:tc>
          <w:tcPr>
            <w:tcW w:w="2236" w:type="dxa"/>
          </w:tcPr>
          <w:p>
            <w:pPr>
              <w:keepLines w:val="0"/>
              <w:pageBreakBefore w:val="0"/>
              <w:kinsoku/>
              <w:wordWrap/>
              <w:bidi w:val="0"/>
              <w:spacing w:line="500" w:lineRule="exact"/>
              <w:ind w:left="410"/>
              <w:rPr>
                <w:color w:val="auto"/>
              </w:rPr>
            </w:pPr>
          </w:p>
        </w:tc>
        <w:tc>
          <w:tcPr>
            <w:tcW w:w="2077" w:type="dxa"/>
          </w:tcPr>
          <w:p>
            <w:pPr>
              <w:keepLines w:val="0"/>
              <w:pageBreakBefore w:val="0"/>
              <w:kinsoku/>
              <w:wordWrap/>
              <w:bidi w:val="0"/>
              <w:spacing w:line="500" w:lineRule="exact"/>
              <w:ind w:left="410"/>
              <w:rPr>
                <w:color w:val="auto"/>
              </w:rPr>
            </w:pPr>
          </w:p>
        </w:tc>
        <w:tc>
          <w:tcPr>
            <w:tcW w:w="2292" w:type="dxa"/>
          </w:tcPr>
          <w:p>
            <w:pPr>
              <w:keepLines w:val="0"/>
              <w:pageBreakBefore w:val="0"/>
              <w:kinsoku/>
              <w:wordWrap/>
              <w:bidi w:val="0"/>
              <w:spacing w:line="500" w:lineRule="exact"/>
              <w:ind w:left="410"/>
              <w:rPr>
                <w:color w:val="auto"/>
              </w:rPr>
            </w:pPr>
          </w:p>
        </w:tc>
      </w:tr>
    </w:tbl>
    <w:p>
      <w:pPr>
        <w:pStyle w:val="2"/>
        <w:keepLines w:val="0"/>
        <w:pageBreakBefore w:val="0"/>
        <w:kinsoku/>
        <w:wordWrap/>
        <w:bidi w:val="0"/>
        <w:spacing w:line="500" w:lineRule="exact"/>
        <w:ind w:left="410" w:firstLine="240"/>
        <w:rPr>
          <w:color w:val="auto"/>
        </w:rPr>
      </w:pPr>
    </w:p>
    <w:sectPr>
      <w:footerReference r:id="rId8"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pPr>
          <w:pStyle w:val="8"/>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3C10264"/>
    <w:rsid w:val="04C3413D"/>
    <w:rsid w:val="052208DA"/>
    <w:rsid w:val="05DE7F94"/>
    <w:rsid w:val="07B66435"/>
    <w:rsid w:val="08575FBE"/>
    <w:rsid w:val="0B564557"/>
    <w:rsid w:val="0BAB653E"/>
    <w:rsid w:val="0BED48A0"/>
    <w:rsid w:val="0D344206"/>
    <w:rsid w:val="11624E20"/>
    <w:rsid w:val="12921148"/>
    <w:rsid w:val="13066AFF"/>
    <w:rsid w:val="16406CB6"/>
    <w:rsid w:val="17486E4C"/>
    <w:rsid w:val="19277699"/>
    <w:rsid w:val="1967503C"/>
    <w:rsid w:val="1BEA76BA"/>
    <w:rsid w:val="1C79220A"/>
    <w:rsid w:val="1C8772B6"/>
    <w:rsid w:val="1D3614FA"/>
    <w:rsid w:val="1DB85721"/>
    <w:rsid w:val="1FA263E4"/>
    <w:rsid w:val="22703D10"/>
    <w:rsid w:val="23B96AFD"/>
    <w:rsid w:val="250A7DD1"/>
    <w:rsid w:val="262B372C"/>
    <w:rsid w:val="273F6164"/>
    <w:rsid w:val="27E502D5"/>
    <w:rsid w:val="2BD25271"/>
    <w:rsid w:val="2C3F36A7"/>
    <w:rsid w:val="2D9B20A2"/>
    <w:rsid w:val="2EAE6CA3"/>
    <w:rsid w:val="2EBE0C3A"/>
    <w:rsid w:val="2EF27956"/>
    <w:rsid w:val="30427C69"/>
    <w:rsid w:val="33342978"/>
    <w:rsid w:val="33C00172"/>
    <w:rsid w:val="34234DD5"/>
    <w:rsid w:val="34DB0F5E"/>
    <w:rsid w:val="367B35A2"/>
    <w:rsid w:val="3A5D5805"/>
    <w:rsid w:val="3E6F5FC4"/>
    <w:rsid w:val="3F3F3186"/>
    <w:rsid w:val="3FBF5061"/>
    <w:rsid w:val="41E32168"/>
    <w:rsid w:val="41F6735B"/>
    <w:rsid w:val="428E22BD"/>
    <w:rsid w:val="473E02B7"/>
    <w:rsid w:val="47874069"/>
    <w:rsid w:val="47B84838"/>
    <w:rsid w:val="48C17269"/>
    <w:rsid w:val="48CC7BFD"/>
    <w:rsid w:val="49244D8F"/>
    <w:rsid w:val="49765E8C"/>
    <w:rsid w:val="50552B58"/>
    <w:rsid w:val="58B95CBA"/>
    <w:rsid w:val="5D9E15E9"/>
    <w:rsid w:val="5E375A3D"/>
    <w:rsid w:val="5EC33DB0"/>
    <w:rsid w:val="5F471779"/>
    <w:rsid w:val="61D943D5"/>
    <w:rsid w:val="6268037D"/>
    <w:rsid w:val="62740596"/>
    <w:rsid w:val="62CD7EA4"/>
    <w:rsid w:val="64F943AD"/>
    <w:rsid w:val="67F7461E"/>
    <w:rsid w:val="70CA591E"/>
    <w:rsid w:val="7225495A"/>
    <w:rsid w:val="72DF0305"/>
    <w:rsid w:val="740116E1"/>
    <w:rsid w:val="76211CFF"/>
    <w:rsid w:val="7867742D"/>
    <w:rsid w:val="7CB6538D"/>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4">
    <w:name w:val="heading 1"/>
    <w:basedOn w:val="1"/>
    <w:next w:val="1"/>
    <w:link w:val="22"/>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5">
    <w:name w:val="heading 2"/>
    <w:basedOn w:val="1"/>
    <w:next w:val="1"/>
    <w:link w:val="2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8"/>
    <w:unhideWhenUsed/>
    <w:qFormat/>
    <w:uiPriority w:val="99"/>
    <w:pPr>
      <w:ind w:firstLine="420" w:firstLineChars="100"/>
    </w:pPr>
  </w:style>
  <w:style w:type="paragraph" w:styleId="3">
    <w:name w:val="Body Text"/>
    <w:basedOn w:val="1"/>
    <w:link w:val="17"/>
    <w:semiHidden/>
    <w:unhideWhenUsed/>
    <w:qFormat/>
    <w:uiPriority w:val="99"/>
    <w:pPr>
      <w:spacing w:after="120"/>
    </w:pPr>
  </w:style>
  <w:style w:type="paragraph" w:styleId="6">
    <w:name w:val="Plain Text"/>
    <w:basedOn w:val="1"/>
    <w:link w:val="24"/>
    <w:qFormat/>
    <w:uiPriority w:val="0"/>
    <w:rPr>
      <w:rFonts w:hAnsi="Courier New"/>
      <w:color w:val="auto"/>
      <w:sz w:val="21"/>
      <w:szCs w:val="20"/>
    </w:rPr>
  </w:style>
  <w:style w:type="paragraph" w:styleId="7">
    <w:name w:val="Balloon Text"/>
    <w:basedOn w:val="1"/>
    <w:link w:val="25"/>
    <w:semiHidden/>
    <w:unhideWhenUsed/>
    <w:qFormat/>
    <w:uiPriority w:val="99"/>
    <w:pPr>
      <w:spacing w:line="240" w:lineRule="auto"/>
    </w:pPr>
    <w:rPr>
      <w:sz w:val="18"/>
      <w:szCs w:val="18"/>
    </w:rPr>
  </w:style>
  <w:style w:type="paragraph" w:styleId="8">
    <w:name w:val="footer"/>
    <w:basedOn w:val="1"/>
    <w:link w:val="16"/>
    <w:unhideWhenUsed/>
    <w:qFormat/>
    <w:uiPriority w:val="99"/>
    <w:pPr>
      <w:tabs>
        <w:tab w:val="center" w:pos="4153"/>
        <w:tab w:val="right" w:pos="8306"/>
      </w:tabs>
      <w:snapToGrid w:val="0"/>
    </w:pPr>
    <w:rPr>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6"/>
    <w:basedOn w:val="1"/>
    <w:next w:val="1"/>
    <w:qFormat/>
    <w:uiPriority w:val="0"/>
    <w:pPr>
      <w:spacing w:line="240" w:lineRule="auto"/>
      <w:ind w:left="1050" w:leftChars="0"/>
    </w:pPr>
    <w:rPr>
      <w:rFonts w:ascii="Calibri" w:hAnsi="Calibri"/>
      <w:color w:val="auto"/>
      <w:sz w:val="18"/>
      <w:szCs w:val="18"/>
    </w:rPr>
  </w:style>
  <w:style w:type="table" w:styleId="13">
    <w:name w:val="Table Grid"/>
    <w:basedOn w:val="12"/>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9"/>
    <w:qFormat/>
    <w:uiPriority w:val="99"/>
    <w:rPr>
      <w:sz w:val="18"/>
      <w:szCs w:val="18"/>
    </w:rPr>
  </w:style>
  <w:style w:type="character" w:customStyle="1" w:styleId="16">
    <w:name w:val="页脚 字符"/>
    <w:basedOn w:val="14"/>
    <w:link w:val="8"/>
    <w:qFormat/>
    <w:uiPriority w:val="99"/>
    <w:rPr>
      <w:sz w:val="18"/>
      <w:szCs w:val="18"/>
    </w:rPr>
  </w:style>
  <w:style w:type="character" w:customStyle="1" w:styleId="17">
    <w:name w:val="正文文本 字符"/>
    <w:basedOn w:val="14"/>
    <w:link w:val="3"/>
    <w:semiHidden/>
    <w:qFormat/>
    <w:uiPriority w:val="99"/>
    <w:rPr>
      <w:rFonts w:ascii="宋体" w:hAnsi="宋体" w:eastAsia="宋体" w:cs="Times New Roman"/>
      <w:color w:val="000000"/>
      <w:sz w:val="24"/>
      <w:szCs w:val="24"/>
    </w:rPr>
  </w:style>
  <w:style w:type="character" w:customStyle="1" w:styleId="18">
    <w:name w:val="正文文本首行缩进 字符"/>
    <w:basedOn w:val="17"/>
    <w:link w:val="2"/>
    <w:qFormat/>
    <w:uiPriority w:val="99"/>
    <w:rPr>
      <w:rFonts w:ascii="宋体" w:hAnsi="宋体" w:eastAsia="宋体" w:cs="Times New Roman"/>
      <w:color w:val="000000"/>
      <w:sz w:val="24"/>
      <w:szCs w:val="24"/>
    </w:rPr>
  </w:style>
  <w:style w:type="paragraph" w:customStyle="1" w:styleId="19">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0">
    <w:name w:val="List Paragraph"/>
    <w:basedOn w:val="1"/>
    <w:qFormat/>
    <w:uiPriority w:val="34"/>
    <w:pPr>
      <w:ind w:firstLine="420" w:firstLineChars="200"/>
    </w:pPr>
  </w:style>
  <w:style w:type="paragraph" w:customStyle="1" w:styleId="2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2">
    <w:name w:val="标题 1 字符"/>
    <w:basedOn w:val="14"/>
    <w:link w:val="4"/>
    <w:qFormat/>
    <w:uiPriority w:val="0"/>
    <w:rPr>
      <w:rFonts w:ascii="仿宋体" w:hAnsi="Times New Roman" w:eastAsia="仿宋体" w:cs="Times New Roman"/>
      <w:b/>
      <w:kern w:val="28"/>
      <w:sz w:val="26"/>
      <w:szCs w:val="20"/>
    </w:rPr>
  </w:style>
  <w:style w:type="character" w:customStyle="1" w:styleId="23">
    <w:name w:val="纯文本 Char"/>
    <w:qFormat/>
    <w:uiPriority w:val="0"/>
    <w:rPr>
      <w:rFonts w:ascii="宋体" w:hAnsi="Courier New" w:eastAsia="宋体" w:cs="Times New Roman"/>
      <w:szCs w:val="20"/>
    </w:rPr>
  </w:style>
  <w:style w:type="character" w:customStyle="1" w:styleId="24">
    <w:name w:val="纯文本 字符"/>
    <w:basedOn w:val="14"/>
    <w:link w:val="6"/>
    <w:semiHidden/>
    <w:qFormat/>
    <w:uiPriority w:val="99"/>
    <w:rPr>
      <w:rFonts w:ascii="宋体" w:hAnsi="Courier New" w:eastAsia="宋体" w:cs="Courier New"/>
      <w:color w:val="000000"/>
      <w:szCs w:val="21"/>
    </w:rPr>
  </w:style>
  <w:style w:type="character" w:customStyle="1" w:styleId="25">
    <w:name w:val="批注框文本 字符"/>
    <w:basedOn w:val="14"/>
    <w:link w:val="7"/>
    <w:semiHidden/>
    <w:qFormat/>
    <w:uiPriority w:val="99"/>
    <w:rPr>
      <w:rFonts w:ascii="宋体" w:hAnsi="宋体" w:eastAsia="宋体" w:cs="Times New Roman"/>
      <w:color w:val="000000"/>
      <w:sz w:val="18"/>
      <w:szCs w:val="18"/>
    </w:rPr>
  </w:style>
  <w:style w:type="paragraph" w:customStyle="1" w:styleId="26">
    <w:name w:val="内容"/>
    <w:basedOn w:val="1"/>
    <w:link w:val="27"/>
    <w:qFormat/>
    <w:uiPriority w:val="0"/>
    <w:pPr>
      <w:adjustRightInd w:val="0"/>
      <w:snapToGrid w:val="0"/>
      <w:spacing w:line="312" w:lineRule="auto"/>
      <w:ind w:left="0" w:leftChars="0" w:firstLine="240" w:firstLineChars="100"/>
      <w:jc w:val="both"/>
    </w:pPr>
    <w:rPr>
      <w:bCs/>
      <w:color w:val="auto"/>
      <w:kern w:val="0"/>
    </w:rPr>
  </w:style>
  <w:style w:type="character" w:customStyle="1" w:styleId="27">
    <w:name w:val="内容 Char"/>
    <w:basedOn w:val="14"/>
    <w:link w:val="26"/>
    <w:qFormat/>
    <w:uiPriority w:val="0"/>
    <w:rPr>
      <w:rFonts w:ascii="宋体" w:hAnsi="宋体" w:eastAsia="宋体" w:cs="Times New Roman"/>
      <w:bCs/>
      <w:sz w:val="24"/>
      <w:szCs w:val="24"/>
    </w:rPr>
  </w:style>
  <w:style w:type="character" w:customStyle="1" w:styleId="28">
    <w:name w:val="标题 2 字符"/>
    <w:basedOn w:val="14"/>
    <w:link w:val="5"/>
    <w:semiHidden/>
    <w:qFormat/>
    <w:uiPriority w:val="9"/>
    <w:rPr>
      <w:rFonts w:asciiTheme="majorHAnsi" w:hAnsiTheme="majorHAnsi" w:eastAsiaTheme="majorEastAsia" w:cstheme="majorBidi"/>
      <w:b/>
      <w:bCs/>
      <w:color w:val="000000"/>
      <w:kern w:val="2"/>
      <w:sz w:val="32"/>
      <w:szCs w:val="32"/>
    </w:rPr>
  </w:style>
  <w:style w:type="character" w:customStyle="1" w:styleId="29">
    <w:name w:val="keyword"/>
    <w:basedOn w:val="14"/>
    <w:qFormat/>
    <w:uiPriority w:val="0"/>
  </w:style>
  <w:style w:type="paragraph" w:customStyle="1" w:styleId="30">
    <w:name w:val="WPSOffice手动目录 1"/>
    <w:qFormat/>
    <w:uiPriority w:val="0"/>
    <w:pPr>
      <w:ind w:leftChars="0"/>
    </w:pPr>
    <w:rPr>
      <w:rFonts w:asciiTheme="minorHAnsi" w:hAnsiTheme="minorHAnsi" w:eastAsiaTheme="minorEastAsia" w:cstheme="minorBidi"/>
      <w:sz w:val="20"/>
      <w:szCs w:val="20"/>
    </w:rPr>
  </w:style>
  <w:style w:type="paragraph" w:customStyle="1" w:styleId="31">
    <w:name w:val=" Char"/>
    <w:basedOn w:val="1"/>
    <w:qFormat/>
    <w:uiPriority w:val="0"/>
    <w:rPr>
      <w:rFonts w:ascii="Calibri"/>
      <w:szCs w:val="24"/>
    </w:rPr>
  </w:style>
  <w:style w:type="character" w:customStyle="1" w:styleId="32">
    <w:name w:val="font11"/>
    <w:basedOn w:val="1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5005</Words>
  <Characters>5407</Characters>
  <Lines>30</Lines>
  <Paragraphs>8</Paragraphs>
  <TotalTime>2</TotalTime>
  <ScaleCrop>false</ScaleCrop>
  <LinksUpToDate>false</LinksUpToDate>
  <CharactersWithSpaces>5535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伍小贤</cp:lastModifiedBy>
  <cp:lastPrinted>2022-05-17T03:01:00Z</cp:lastPrinted>
  <dcterms:modified xsi:type="dcterms:W3CDTF">2026-07-24T07:34:06Z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