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A9BCB">
      <w:pPr>
        <w:keepLines w:val="0"/>
        <w:pageBreakBefore w:val="0"/>
        <w:kinsoku/>
        <w:wordWrap/>
        <w:bidi w:val="0"/>
        <w:spacing w:line="500" w:lineRule="exact"/>
        <w:ind w:left="410"/>
        <w:rPr>
          <w:color w:val="000000" w:themeColor="text1"/>
          <w14:textFill>
            <w14:solidFill>
              <w14:schemeClr w14:val="tx1"/>
            </w14:solidFill>
          </w14:textFill>
        </w:rPr>
      </w:pPr>
      <w:r>
        <w:rPr>
          <w:color w:val="000000" w:themeColor="text1"/>
          <w:kern w:val="0"/>
          <w14:textFill>
            <w14:solidFill>
              <w14:schemeClr w14:val="tx1"/>
            </w14:solidFill>
          </w14:textFill>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8"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14:paraId="0ADC2251">
      <w:pPr>
        <w:keepLines w:val="0"/>
        <w:pageBreakBefore w:val="0"/>
        <w:kinsoku/>
        <w:wordWrap/>
        <w:bidi w:val="0"/>
        <w:spacing w:line="500" w:lineRule="exact"/>
        <w:ind w:left="410"/>
        <w:rPr>
          <w:color w:val="000000" w:themeColor="text1"/>
          <w14:textFill>
            <w14:solidFill>
              <w14:schemeClr w14:val="tx1"/>
            </w14:solidFill>
          </w14:textFill>
        </w:rPr>
      </w:pPr>
    </w:p>
    <w:p w14:paraId="107E1F01">
      <w:pPr>
        <w:keepLines w:val="0"/>
        <w:pageBreakBefore w:val="0"/>
        <w:kinsoku/>
        <w:wordWrap/>
        <w:bidi w:val="0"/>
        <w:spacing w:line="500" w:lineRule="exact"/>
        <w:ind w:left="410"/>
        <w:rPr>
          <w:color w:val="000000" w:themeColor="text1"/>
          <w14:textFill>
            <w14:solidFill>
              <w14:schemeClr w14:val="tx1"/>
            </w14:solidFill>
          </w14:textFill>
        </w:rPr>
      </w:pPr>
    </w:p>
    <w:p w14:paraId="1A7279BD">
      <w:pPr>
        <w:keepLines w:val="0"/>
        <w:pageBreakBefore w:val="0"/>
        <w:kinsoku/>
        <w:wordWrap/>
        <w:bidi w:val="0"/>
        <w:spacing w:line="500" w:lineRule="exact"/>
        <w:ind w:left="410"/>
        <w:rPr>
          <w:color w:val="000000" w:themeColor="text1"/>
          <w14:textFill>
            <w14:solidFill>
              <w14:schemeClr w14:val="tx1"/>
            </w14:solidFill>
          </w14:textFill>
        </w:rPr>
      </w:pPr>
    </w:p>
    <w:p w14:paraId="5A5E3826">
      <w:pPr>
        <w:keepLines w:val="0"/>
        <w:pageBreakBefore w:val="0"/>
        <w:kinsoku/>
        <w:wordWrap/>
        <w:bidi w:val="0"/>
        <w:spacing w:line="500" w:lineRule="exact"/>
        <w:ind w:left="410"/>
        <w:rPr>
          <w:color w:val="000000" w:themeColor="text1"/>
          <w14:textFill>
            <w14:solidFill>
              <w14:schemeClr w14:val="tx1"/>
            </w14:solidFill>
          </w14:textFill>
        </w:rPr>
      </w:pPr>
    </w:p>
    <w:p w14:paraId="33FA761E">
      <w:pPr>
        <w:keepLines w:val="0"/>
        <w:pageBreakBefore w:val="0"/>
        <w:kinsoku/>
        <w:wordWrap/>
        <w:bidi w:val="0"/>
        <w:spacing w:line="500" w:lineRule="exact"/>
        <w:ind w:left="410"/>
        <w:rPr>
          <w:color w:val="000000" w:themeColor="text1"/>
          <w14:textFill>
            <w14:solidFill>
              <w14:schemeClr w14:val="tx1"/>
            </w14:solidFill>
          </w14:textFill>
        </w:rPr>
      </w:pPr>
    </w:p>
    <w:p w14:paraId="285A71CE">
      <w:pPr>
        <w:keepLines w:val="0"/>
        <w:pageBreakBefore w:val="0"/>
        <w:kinsoku/>
        <w:wordWrap/>
        <w:bidi w:val="0"/>
        <w:spacing w:line="500" w:lineRule="exact"/>
        <w:ind w:left="410"/>
        <w:rPr>
          <w:color w:val="000000" w:themeColor="text1"/>
          <w14:textFill>
            <w14:solidFill>
              <w14:schemeClr w14:val="tx1"/>
            </w14:solidFill>
          </w14:textFill>
        </w:rPr>
      </w:pPr>
    </w:p>
    <w:p w14:paraId="6598919E">
      <w:pPr>
        <w:keepLines w:val="0"/>
        <w:pageBreakBefore w:val="0"/>
        <w:kinsoku/>
        <w:wordWrap/>
        <w:bidi w:val="0"/>
        <w:spacing w:line="500" w:lineRule="exact"/>
        <w:ind w:left="410"/>
        <w:rPr>
          <w:color w:val="000000" w:themeColor="text1"/>
          <w14:textFill>
            <w14:solidFill>
              <w14:schemeClr w14:val="tx1"/>
            </w14:solidFill>
          </w14:textFill>
        </w:rPr>
      </w:pPr>
    </w:p>
    <w:p w14:paraId="5B4368AB">
      <w:pPr>
        <w:keepLines w:val="0"/>
        <w:pageBreakBefore w:val="0"/>
        <w:kinsoku/>
        <w:wordWrap/>
        <w:bidi w:val="0"/>
        <w:spacing w:line="500" w:lineRule="exact"/>
        <w:ind w:left="410"/>
        <w:rPr>
          <w:color w:val="000000" w:themeColor="text1"/>
          <w14:textFill>
            <w14:solidFill>
              <w14:schemeClr w14:val="tx1"/>
            </w14:solidFill>
          </w14:textFill>
        </w:rPr>
      </w:pPr>
    </w:p>
    <w:p w14:paraId="08716566">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3D8F0076">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7B95519A">
      <w:pPr>
        <w:keepLines w:val="0"/>
        <w:pageBreakBefore w:val="0"/>
        <w:kinsoku/>
        <w:wordWrap/>
        <w:bidi w:val="0"/>
        <w:spacing w:line="500" w:lineRule="exact"/>
        <w:ind w:left="0" w:leftChars="0"/>
        <w:jc w:val="center"/>
        <w:rPr>
          <w:rFonts w:hint="eastAsia"/>
          <w:b/>
          <w:color w:val="000000" w:themeColor="text1"/>
          <w:sz w:val="36"/>
          <w:szCs w:val="36"/>
          <w:lang w:val="en-US" w:eastAsia="zh-CN"/>
          <w14:textFill>
            <w14:solidFill>
              <w14:schemeClr w14:val="tx1"/>
            </w14:solidFill>
          </w14:textFill>
        </w:rPr>
      </w:pPr>
      <w:r>
        <w:rPr>
          <w:rFonts w:hint="eastAsia"/>
          <w:b/>
          <w:color w:val="000000" w:themeColor="text1"/>
          <w:sz w:val="36"/>
          <w:szCs w:val="36"/>
          <w:lang w:val="en-US" w:eastAsia="zh-CN"/>
          <w14:textFill>
            <w14:solidFill>
              <w14:schemeClr w14:val="tx1"/>
            </w14:solidFill>
          </w14:textFill>
        </w:rPr>
        <w:t>台式回路电阻测试仪</w:t>
      </w:r>
    </w:p>
    <w:p w14:paraId="0836E958">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r>
        <w:rPr>
          <w:rFonts w:hint="eastAsia"/>
          <w:b/>
          <w:color w:val="000000" w:themeColor="text1"/>
          <w:sz w:val="36"/>
          <w:szCs w:val="36"/>
          <w14:textFill>
            <w14:solidFill>
              <w14:schemeClr w14:val="tx1"/>
            </w14:solidFill>
          </w14:textFill>
        </w:rPr>
        <w:t>技术规范书</w:t>
      </w:r>
    </w:p>
    <w:p w14:paraId="783D0D08">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37F32617">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60ABBF71">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6958E1E8">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18A6A2C5">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2002B631">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3B932620">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72CA6697">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r>
        <w:rPr>
          <w:rFonts w:hint="eastAsia"/>
          <w:b/>
          <w:color w:val="000000" w:themeColor="text1"/>
          <w:sz w:val="36"/>
          <w:szCs w:val="36"/>
          <w:lang w:eastAsia="zh-CN"/>
          <w14:textFill>
            <w14:solidFill>
              <w14:schemeClr w14:val="tx1"/>
            </w14:solidFill>
          </w14:textFill>
        </w:rPr>
        <w:t>海南电网</w:t>
      </w:r>
      <w:r>
        <w:rPr>
          <w:rFonts w:hint="eastAsia"/>
          <w:b/>
          <w:color w:val="000000" w:themeColor="text1"/>
          <w:sz w:val="36"/>
          <w:szCs w:val="36"/>
          <w14:textFill>
            <w14:solidFill>
              <w14:schemeClr w14:val="tx1"/>
            </w14:solidFill>
          </w14:textFill>
        </w:rPr>
        <w:t>能源发展有限公司</w:t>
      </w:r>
    </w:p>
    <w:p w14:paraId="163F88A7">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r>
        <w:rPr>
          <w:rFonts w:hint="eastAsia"/>
          <w:b/>
          <w:color w:val="000000" w:themeColor="text1"/>
          <w:sz w:val="36"/>
          <w:szCs w:val="36"/>
          <w14:textFill>
            <w14:solidFill>
              <w14:schemeClr w14:val="tx1"/>
            </w14:solidFill>
          </w14:textFill>
        </w:rPr>
        <w:t>202</w:t>
      </w:r>
      <w:r>
        <w:rPr>
          <w:rFonts w:hint="eastAsia"/>
          <w:b/>
          <w:color w:val="000000" w:themeColor="text1"/>
          <w:sz w:val="36"/>
          <w:szCs w:val="36"/>
          <w:lang w:val="en-US" w:eastAsia="zh-CN"/>
          <w14:textFill>
            <w14:solidFill>
              <w14:schemeClr w14:val="tx1"/>
            </w14:solidFill>
          </w14:textFill>
        </w:rPr>
        <w:t>6</w:t>
      </w:r>
      <w:r>
        <w:rPr>
          <w:rFonts w:hint="eastAsia"/>
          <w:b/>
          <w:color w:val="000000" w:themeColor="text1"/>
          <w:sz w:val="36"/>
          <w:szCs w:val="36"/>
          <w14:textFill>
            <w14:solidFill>
              <w14:schemeClr w14:val="tx1"/>
            </w14:solidFill>
          </w14:textFill>
        </w:rPr>
        <w:t>年</w:t>
      </w:r>
      <w:r>
        <w:rPr>
          <w:rFonts w:hint="eastAsia"/>
          <w:b/>
          <w:color w:val="000000" w:themeColor="text1"/>
          <w:sz w:val="36"/>
          <w:szCs w:val="36"/>
          <w:lang w:val="en-US" w:eastAsia="zh-CN"/>
          <w14:textFill>
            <w14:solidFill>
              <w14:schemeClr w14:val="tx1"/>
            </w14:solidFill>
          </w14:textFill>
        </w:rPr>
        <w:t>7</w:t>
      </w:r>
      <w:r>
        <w:rPr>
          <w:rFonts w:hint="eastAsia"/>
          <w:b/>
          <w:color w:val="000000" w:themeColor="text1"/>
          <w:sz w:val="36"/>
          <w:szCs w:val="36"/>
          <w14:textFill>
            <w14:solidFill>
              <w14:schemeClr w14:val="tx1"/>
            </w14:solidFill>
          </w14:textFill>
        </w:rPr>
        <w:t>月</w:t>
      </w:r>
    </w:p>
    <w:p w14:paraId="52377A85">
      <w:pPr>
        <w:keepLines w:val="0"/>
        <w:pageBreakBefore w:val="0"/>
        <w:kinsoku/>
        <w:wordWrap/>
        <w:bidi w:val="0"/>
        <w:spacing w:line="500" w:lineRule="exact"/>
        <w:ind w:left="410"/>
        <w:rPr>
          <w:color w:val="000000" w:themeColor="text1"/>
          <w14:textFill>
            <w14:solidFill>
              <w14:schemeClr w14:val="tx1"/>
            </w14:solidFill>
          </w14:textFill>
        </w:rPr>
      </w:pPr>
    </w:p>
    <w:p w14:paraId="4295C7DC">
      <w:pPr>
        <w:pStyle w:val="3"/>
        <w:keepLines w:val="0"/>
        <w:pageBreakBefore w:val="0"/>
        <w:kinsoku/>
        <w:wordWrap/>
        <w:bidi w:val="0"/>
        <w:spacing w:line="500" w:lineRule="exact"/>
        <w:ind w:left="410"/>
        <w:rPr>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 xml:space="preserve">    </w:t>
      </w:r>
    </w:p>
    <w:p w14:paraId="7C60F665">
      <w:pPr>
        <w:pStyle w:val="3"/>
        <w:keepLines w:val="0"/>
        <w:pageBreakBefore w:val="0"/>
        <w:kinsoku/>
        <w:wordWrap/>
        <w:bidi w:val="0"/>
        <w:spacing w:line="500" w:lineRule="exact"/>
        <w:ind w:left="410"/>
        <w:rPr>
          <w:rFonts w:hint="eastAsia"/>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 xml:space="preserve">    </w:t>
      </w:r>
    </w:p>
    <w:p w14:paraId="347ADBE5">
      <w:pPr>
        <w:rPr>
          <w:rFonts w:hint="eastAsia"/>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br w:type="page"/>
      </w:r>
    </w:p>
    <w:sdt>
      <w:sdtPr>
        <w:rPr>
          <w:rFonts w:ascii="宋体" w:hAnsi="宋体" w:eastAsia="宋体" w:cs="Times New Roman"/>
          <w:color w:val="000000" w:themeColor="text1"/>
          <w:kern w:val="2"/>
          <w:sz w:val="21"/>
          <w:szCs w:val="24"/>
          <w:lang w:val="en-US" w:eastAsia="zh-CN" w:bidi="ar-SA"/>
          <w14:textFill>
            <w14:solidFill>
              <w14:schemeClr w14:val="tx1"/>
            </w14:solidFill>
          </w14:textFill>
        </w:rPr>
        <w:id w:val="147477774"/>
        <w15:color w:val="DBDBDB"/>
        <w:docPartObj>
          <w:docPartGallery w:val="Table of Contents"/>
          <w:docPartUnique/>
        </w:docPartObj>
      </w:sdtPr>
      <w:sdtEndPr>
        <w:rPr>
          <w:rFonts w:ascii="宋体" w:hAnsi="宋体" w:eastAsia="宋体" w:cs="Times New Roman"/>
          <w:color w:val="000000" w:themeColor="text1"/>
          <w:kern w:val="2"/>
          <w:sz w:val="21"/>
          <w:szCs w:val="24"/>
          <w:lang w:val="en-US" w:eastAsia="zh-CN" w:bidi="ar-SA"/>
          <w14:textFill>
            <w14:solidFill>
              <w14:schemeClr w14:val="tx1"/>
            </w14:solidFill>
          </w14:textFill>
        </w:rPr>
      </w:sdtEndPr>
      <w:sdtContent>
        <w:p w14:paraId="64FB7FCA">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目录</w:t>
          </w:r>
        </w:p>
        <w:p w14:paraId="46A11D9B">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TOC \o "1-1" \h \u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_Toc25697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14:textFill>
                <w14:solidFill>
                  <w14:schemeClr w14:val="tx1"/>
                </w14:solidFill>
              </w14:textFill>
            </w:rPr>
            <w:t>1 总则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_Toc25697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5D274AF0">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_Toc3763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.应遵循的主要标准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_Toc3763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6B25C10C">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_Toc13932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.使用条件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_Toc13932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6B96FA50">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_Toc22886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.技术要求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_Toc22886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7CCF4763">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_Toc14198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val="en-US" w:eastAsia="zh-CN"/>
              <w14:textFill>
                <w14:solidFill>
                  <w14:schemeClr w14:val="tx1"/>
                </w14:solidFill>
              </w14:textFill>
            </w:rPr>
            <w:t>5</w:t>
          </w:r>
          <w:r>
            <w:rPr>
              <w:color w:val="000000" w:themeColor="text1"/>
              <w14:textFill>
                <w14:solidFill>
                  <w14:schemeClr w14:val="tx1"/>
                </w14:solidFill>
              </w14:textFill>
            </w:rPr>
            <w:t>.</w:t>
          </w:r>
          <w:r>
            <w:rPr>
              <w:rFonts w:cs="宋体"/>
              <w:color w:val="000000" w:themeColor="text1"/>
              <w:spacing w:val="1"/>
              <w14:textFill>
                <w14:solidFill>
                  <w14:schemeClr w14:val="tx1"/>
                </w14:solidFill>
              </w14:textFill>
            </w:rPr>
            <w:t>质量保证和试验</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_Toc14198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33B58BE6">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_Toc18433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eastAsia="zh-CN"/>
              <w14:textFill>
                <w14:solidFill>
                  <w14:schemeClr w14:val="tx1"/>
                </w14:solidFill>
              </w14:textFill>
            </w:rPr>
            <w:t>6.</w:t>
          </w:r>
          <w:r>
            <w:rPr>
              <w:rFonts w:cs="宋体"/>
              <w:color w:val="000000" w:themeColor="text1"/>
              <w:spacing w:val="1"/>
              <w14:textFill>
                <w14:solidFill>
                  <w14:schemeClr w14:val="tx1"/>
                </w14:solidFill>
              </w14:textFill>
            </w:rPr>
            <w:t>包装、运输和储存</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_Toc18433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0F8BB2FE">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_Toc22301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eastAsia="zh-CN"/>
              <w14:textFill>
                <w14:solidFill>
                  <w14:schemeClr w14:val="tx1"/>
                </w14:solidFill>
              </w14:textFill>
            </w:rPr>
            <w:t>7.</w:t>
          </w:r>
          <w:r>
            <w:rPr>
              <w:rFonts w:hint="eastAsia"/>
              <w:color w:val="000000" w:themeColor="text1"/>
              <w14:textFill>
                <w14:solidFill>
                  <w14:schemeClr w14:val="tx1"/>
                </w14:solidFill>
              </w14:textFill>
            </w:rPr>
            <w:t>交货时间</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内容及功能验收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_Toc22301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4D6DA148">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_Toc25792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.供货范围清单</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_Toc25792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081353ED">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_Toc21346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eastAsia="zh-CN"/>
              <w14:textFill>
                <w14:solidFill>
                  <w14:schemeClr w14:val="tx1"/>
                </w14:solidFill>
              </w14:textFill>
            </w:rPr>
            <w:t>9.</w:t>
          </w:r>
          <w:r>
            <w:rPr>
              <w:rFonts w:cs="宋体"/>
              <w:color w:val="000000" w:themeColor="text1"/>
              <w:spacing w:val="1"/>
              <w14:textFill>
                <w14:solidFill>
                  <w14:schemeClr w14:val="tx1"/>
                </w14:solidFill>
              </w14:textFill>
            </w:rPr>
            <w:t>设备的售后服务要求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_Toc21346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7</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14E58BE9">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_Toc10126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spacing w:val="-6"/>
              <w:lang w:eastAsia="zh-CN"/>
              <w14:textFill>
                <w14:solidFill>
                  <w14:schemeClr w14:val="tx1"/>
                </w14:solidFill>
              </w14:textFill>
            </w:rPr>
            <w:t>10.</w:t>
          </w:r>
          <w:r>
            <w:rPr>
              <w:rFonts w:cs="宋体"/>
              <w:color w:val="000000" w:themeColor="text1"/>
              <w14:textFill>
                <w14:solidFill>
                  <w14:schemeClr w14:val="tx1"/>
                </w14:solidFill>
              </w14:textFill>
            </w:rPr>
            <w:t>验收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_Toc10126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34FB6F94">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_Toc22211 </w:instrText>
          </w:r>
          <w:r>
            <w:rPr>
              <w:rFonts w:hint="eastAsia" w:ascii="宋体" w:hAnsi="宋体" w:eastAsia="宋体" w:cs="宋体"/>
              <w:color w:val="000000" w:themeColor="text1"/>
              <w:szCs w:val="28"/>
              <w14:textFill>
                <w14:solidFill>
                  <w14:schemeClr w14:val="tx1"/>
                </w14:solidFill>
              </w14:textFill>
            </w:rPr>
            <w:fldChar w:fldCharType="separate"/>
          </w:r>
          <w:r>
            <w:rPr>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14:textFill>
                <w14:solidFill>
                  <w14:schemeClr w14:val="tx1"/>
                </w14:solidFill>
              </w14:textFill>
            </w:rPr>
            <w:t>.</w:t>
          </w:r>
          <w:r>
            <w:rPr>
              <w:rFonts w:cs="宋体"/>
              <w:color w:val="000000" w:themeColor="text1"/>
              <w:spacing w:val="1"/>
              <w14:textFill>
                <w14:solidFill>
                  <w14:schemeClr w14:val="tx1"/>
                </w14:solidFill>
              </w14:textFill>
            </w:rPr>
            <w:t>技术差异表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_Toc22211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17923F7B">
          <w:pPr>
            <w:keepLines w:val="0"/>
            <w:pageBreakBefore w:val="0"/>
            <w:kinsoku/>
            <w:wordWrap/>
            <w:bidi w:val="0"/>
            <w:spacing w:line="500" w:lineRule="exact"/>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end"/>
          </w:r>
        </w:p>
      </w:sdtContent>
    </w:sdt>
    <w:p w14:paraId="44F6F1D4">
      <w:pPr>
        <w:keepLines w:val="0"/>
        <w:pageBreakBefore w:val="0"/>
        <w:kinsoku/>
        <w:wordWrap/>
        <w:bidi w:val="0"/>
        <w:spacing w:line="500" w:lineRule="exac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5E4B4779">
      <w:pPr>
        <w:pStyle w:val="4"/>
        <w:bidi w:val="0"/>
        <w:rPr>
          <w:rFonts w:hint="eastAsia"/>
          <w:color w:val="000000" w:themeColor="text1"/>
          <w14:textFill>
            <w14:solidFill>
              <w14:schemeClr w14:val="tx1"/>
            </w14:solidFill>
          </w14:textFill>
        </w:rPr>
      </w:pPr>
      <w:bookmarkStart w:id="0" w:name="_Toc25697"/>
      <w:r>
        <w:rPr>
          <w:rFonts w:hint="eastAsia"/>
          <w:color w:val="000000" w:themeColor="text1"/>
          <w14:textFill>
            <w14:solidFill>
              <w14:schemeClr w14:val="tx1"/>
            </w14:solidFill>
          </w14:textFill>
        </w:rPr>
        <w:t xml:space="preserve">1 </w:t>
      </w:r>
      <w:bookmarkStart w:id="1" w:name="_Toc397006837"/>
      <w:bookmarkStart w:id="2" w:name="_Toc305941518"/>
      <w:bookmarkStart w:id="3" w:name="_Toc305941223"/>
      <w:r>
        <w:rPr>
          <w:rFonts w:hint="eastAsia"/>
          <w:color w:val="000000" w:themeColor="text1"/>
          <w14:textFill>
            <w14:solidFill>
              <w14:schemeClr w14:val="tx1"/>
            </w14:solidFill>
          </w14:textFill>
        </w:rPr>
        <w:t>总则</w:t>
      </w:r>
      <w:bookmarkEnd w:id="0"/>
      <w:bookmarkEnd w:id="1"/>
      <w:bookmarkEnd w:id="2"/>
      <w:bookmarkEnd w:id="3"/>
    </w:p>
    <w:p w14:paraId="16618F5B">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eastAsia="zh-CN"/>
          <w14:textFill>
            <w14:solidFill>
              <w14:schemeClr w14:val="tx1"/>
            </w14:solidFill>
          </w14:textFill>
        </w:rPr>
        <w:t>1</w:t>
      </w:r>
      <w:r>
        <w:rPr>
          <w:rFonts w:hint="eastAsia"/>
          <w:color w:val="000000" w:themeColor="text1"/>
          <w14:textFill>
            <w14:solidFill>
              <w14:schemeClr w14:val="tx1"/>
            </w14:solidFill>
          </w14:textFill>
        </w:rPr>
        <w:t xml:space="preserve">  本技术文件适用于</w:t>
      </w:r>
      <w:r>
        <w:rPr>
          <w:rFonts w:hint="eastAsia"/>
          <w:color w:val="000000" w:themeColor="text1"/>
          <w:lang w:eastAsia="zh-CN"/>
          <w14:textFill>
            <w14:solidFill>
              <w14:schemeClr w14:val="tx1"/>
            </w14:solidFill>
          </w14:textFill>
        </w:rPr>
        <w:t>海南电网</w:t>
      </w:r>
      <w:r>
        <w:rPr>
          <w:rFonts w:hint="eastAsia"/>
          <w:color w:val="000000" w:themeColor="text1"/>
          <w14:textFill>
            <w14:solidFill>
              <w14:schemeClr w14:val="tx1"/>
            </w14:solidFill>
          </w14:textFill>
        </w:rPr>
        <w:t>能源发展有限公司拟采购的</w:t>
      </w:r>
      <w:r>
        <w:rPr>
          <w:rFonts w:hint="eastAsia"/>
          <w:b/>
          <w:bCs/>
          <w:color w:val="000000" w:themeColor="text1"/>
          <w14:textFill>
            <w14:solidFill>
              <w14:schemeClr w14:val="tx1"/>
            </w14:solidFill>
          </w14:textFill>
        </w:rPr>
        <w:t>“</w:t>
      </w:r>
      <w:r>
        <w:rPr>
          <w:rFonts w:hint="eastAsia"/>
          <w:b/>
          <w:bCs/>
          <w:color w:val="000000" w:themeColor="text1"/>
          <w:lang w:eastAsia="zh-CN"/>
          <w14:textFill>
            <w14:solidFill>
              <w14:schemeClr w14:val="tx1"/>
            </w14:solidFill>
          </w14:textFill>
        </w:rPr>
        <w:t>台式回路电阻测试仪</w:t>
      </w:r>
      <w:r>
        <w:rPr>
          <w:rFonts w:hint="eastAsia"/>
          <w:b/>
          <w:bCs/>
          <w:color w:val="000000" w:themeColor="text1"/>
          <w14:textFill>
            <w14:solidFill>
              <w14:schemeClr w14:val="tx1"/>
            </w14:solidFill>
          </w14:textFill>
        </w:rPr>
        <w:t>”</w:t>
      </w:r>
      <w:r>
        <w:rPr>
          <w:rFonts w:hint="eastAsia"/>
          <w:b/>
          <w:bCs/>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本规范书提出了该批仪器本体及附属材料的功能设计、结构、性能、试验验收、培训和使用等方面的技术要求。</w:t>
      </w:r>
    </w:p>
    <w:p w14:paraId="4A7817BD">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1.2  凡本技术文件中未规定，但在相关仪器的行业标准、国家标准或IEC标准中有规定的规范条文，</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应按相应标准的条文进行仪器销售、设计、制造、试验和验收。对国家有关安全、环保等强制性标准，必须满足其要求。</w:t>
      </w:r>
    </w:p>
    <w:p w14:paraId="73C44CEF">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color w:val="000000" w:themeColor="text1"/>
          <w14:textFill>
            <w14:solidFill>
              <w14:schemeClr w14:val="tx1"/>
            </w14:solidFill>
          </w14:textFill>
        </w:rPr>
      </w:pPr>
      <w:r>
        <w:rPr>
          <w:rFonts w:hint="eastAsia"/>
          <w:color w:val="000000" w:themeColor="text1"/>
          <w14:textFill>
            <w14:solidFill>
              <w14:schemeClr w14:val="tx1"/>
            </w14:solidFill>
          </w14:textFill>
        </w:rPr>
        <w:t>1.3  如果</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没有以书面形式对本技术文件的条文提出异议，则意味着</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提供的物资完全符合本技术文件的要求。如有任何异议，</w:t>
      </w:r>
      <w:r>
        <w:rPr>
          <w:rFonts w:cs="宋体"/>
          <w:color w:val="000000" w:themeColor="text1"/>
          <w:spacing w:val="3"/>
          <w14:textFill>
            <w14:solidFill>
              <w14:schemeClr w14:val="tx1"/>
            </w14:solidFill>
          </w14:textFill>
        </w:rPr>
        <w:t>都应在报价文件差异表中加以</w:t>
      </w:r>
      <w:r>
        <w:rPr>
          <w:rFonts w:cs="宋体"/>
          <w:color w:val="000000" w:themeColor="text1"/>
          <w14:textFill>
            <w14:solidFill>
              <w14:schemeClr w14:val="tx1"/>
            </w14:solidFill>
          </w14:textFill>
        </w:rPr>
        <w:t>详细描述</w:t>
      </w:r>
      <w:r>
        <w:rPr>
          <w:rFonts w:hint="eastAsia" w:cs="宋体"/>
          <w:color w:val="000000" w:themeColor="text1"/>
          <w14:textFill>
            <w14:solidFill>
              <w14:schemeClr w14:val="tx1"/>
            </w14:solidFill>
          </w14:textFill>
        </w:rPr>
        <w:t>。</w:t>
      </w:r>
    </w:p>
    <w:p w14:paraId="7F3A98CD">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color w:val="000000" w:themeColor="text1"/>
          <w14:textFill>
            <w14:solidFill>
              <w14:schemeClr w14:val="tx1"/>
            </w14:solidFill>
          </w14:textFill>
        </w:rPr>
        <w:t>1.4</w:t>
      </w:r>
      <w:r>
        <w:rPr>
          <w:color w:val="000000" w:themeColor="text1"/>
          <w:spacing w:val="60"/>
          <w14:textFill>
            <w14:solidFill>
              <w14:schemeClr w14:val="tx1"/>
            </w14:solidFill>
          </w14:textFill>
        </w:rPr>
        <w:t xml:space="preserve"> </w:t>
      </w:r>
      <w:r>
        <w:rPr>
          <w:rFonts w:cs="宋体"/>
          <w:color w:val="000000" w:themeColor="text1"/>
          <w:spacing w:val="-2"/>
          <w14:textFill>
            <w14:solidFill>
              <w14:schemeClr w14:val="tx1"/>
            </w14:solidFill>
          </w14:textFill>
        </w:rPr>
        <w:t>本规范所使用的标准如与</w:t>
      </w:r>
      <w:r>
        <w:rPr>
          <w:rFonts w:hint="eastAsia" w:cs="宋体"/>
          <w:color w:val="000000" w:themeColor="text1"/>
          <w:spacing w:val="-2"/>
          <w:lang w:eastAsia="zh-CN"/>
          <w14:textFill>
            <w14:solidFill>
              <w14:schemeClr w14:val="tx1"/>
            </w14:solidFill>
          </w14:textFill>
        </w:rPr>
        <w:t>投标人</w:t>
      </w:r>
      <w:r>
        <w:rPr>
          <w:rFonts w:cs="宋体"/>
          <w:color w:val="000000" w:themeColor="text1"/>
          <w:spacing w:val="-2"/>
          <w14:textFill>
            <w14:solidFill>
              <w14:schemeClr w14:val="tx1"/>
            </w14:solidFill>
          </w14:textFill>
        </w:rPr>
        <w:t>所执行的标准</w:t>
      </w:r>
      <w:r>
        <w:rPr>
          <w:rFonts w:hint="eastAsia" w:cs="宋体"/>
          <w:color w:val="000000" w:themeColor="text1"/>
          <w:spacing w:val="-2"/>
          <w14:textFill>
            <w14:solidFill>
              <w14:schemeClr w14:val="tx1"/>
            </w14:solidFill>
          </w14:textFill>
        </w:rPr>
        <w:t>不一致</w:t>
      </w:r>
      <w:r>
        <w:rPr>
          <w:rFonts w:cs="宋体"/>
          <w:color w:val="000000" w:themeColor="text1"/>
          <w:spacing w:val="-2"/>
          <w14:textFill>
            <w14:solidFill>
              <w14:schemeClr w14:val="tx1"/>
            </w14:solidFill>
          </w14:textFill>
        </w:rPr>
        <w:t>时，按较高标准执</w:t>
      </w:r>
      <w:r>
        <w:rPr>
          <w:rFonts w:cs="宋体"/>
          <w:color w:val="000000" w:themeColor="text1"/>
          <w14:textFill>
            <w14:solidFill>
              <w14:schemeClr w14:val="tx1"/>
            </w14:solidFill>
          </w14:textFill>
        </w:rPr>
        <w:t>行。</w:t>
      </w:r>
    </w:p>
    <w:p w14:paraId="39DF60AE">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1.5  本技术文件经</w:t>
      </w:r>
      <w:r>
        <w:rPr>
          <w:rFonts w:hint="eastAsia"/>
          <w:color w:val="000000" w:themeColor="text1"/>
          <w:lang w:eastAsia="zh-CN"/>
          <w14:textFill>
            <w14:solidFill>
              <w14:schemeClr w14:val="tx1"/>
            </w14:solidFill>
          </w14:textFill>
        </w:rPr>
        <w:t>招标人、投标人</w:t>
      </w:r>
      <w:r>
        <w:rPr>
          <w:rFonts w:hint="eastAsia"/>
          <w:color w:val="000000" w:themeColor="text1"/>
          <w14:textFill>
            <w14:solidFill>
              <w14:schemeClr w14:val="tx1"/>
            </w14:solidFill>
          </w14:textFill>
        </w:rPr>
        <w:t>确认后作为订货合同的技术附件，与合同正文具有同等的法律效力。</w:t>
      </w:r>
    </w:p>
    <w:p w14:paraId="2E9D34E6">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1.6  本技术文件未尽事宜，由</w:t>
      </w:r>
      <w:r>
        <w:rPr>
          <w:rFonts w:hint="eastAsia"/>
          <w:color w:val="000000" w:themeColor="text1"/>
          <w:lang w:eastAsia="zh-CN"/>
          <w14:textFill>
            <w14:solidFill>
              <w14:schemeClr w14:val="tx1"/>
            </w14:solidFill>
          </w14:textFill>
        </w:rPr>
        <w:t>招标人、投标人</w:t>
      </w:r>
      <w:r>
        <w:rPr>
          <w:rFonts w:hint="eastAsia"/>
          <w:color w:val="000000" w:themeColor="text1"/>
          <w14:textFill>
            <w14:solidFill>
              <w14:schemeClr w14:val="tx1"/>
            </w14:solidFill>
          </w14:textFill>
        </w:rPr>
        <w:t>协商确定。</w:t>
      </w:r>
    </w:p>
    <w:p w14:paraId="69013CE7">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eastAsia="zh-CN"/>
          <w14:textFill>
            <w14:solidFill>
              <w14:schemeClr w14:val="tx1"/>
            </w14:solidFill>
          </w14:textFill>
        </w:rPr>
        <w:t>7</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在报价技术文件中应如实反映报价产品与本技术文件的技术差异。如果</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没有提出技术差异，而在执行合同的过程中，采购方发现</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提供的产品与其报价技术文件的条文存在差异</w:t>
      </w:r>
      <w:r>
        <w:rPr>
          <w:rFonts w:hint="eastAsia"/>
          <w:color w:val="000000" w:themeColor="text1"/>
          <w:lang w:eastAsia="zh-CN"/>
          <w14:textFill>
            <w14:solidFill>
              <w14:schemeClr w14:val="tx1"/>
            </w14:solidFill>
          </w14:textFill>
        </w:rPr>
        <w:t>。</w:t>
      </w:r>
    </w:p>
    <w:p w14:paraId="7B5DC913">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1.8  </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应在报价技术部分按本技术文件的要求如实详细的填写报价物资的标准配置表，并按此标准配置进行报价，如发现二者有矛盾之处，将以报价表的配置为准。</w:t>
      </w:r>
    </w:p>
    <w:p w14:paraId="68A09035">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1.9  </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应充分理解本技术文件并按本技术文件的具体条款、格式要求填写报价的技术文件，如发现报价的技术文件条款、格式不符合本技术文件的要求，则认为报价不严肃，在评标时将有不同程度的扣分。</w:t>
      </w:r>
    </w:p>
    <w:p w14:paraId="20226501">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1.10 本技术文件为采购基本要求，标注“★”的条款为关键条款，作为评标时打分的重点参考。</w:t>
      </w:r>
      <w:bookmarkStart w:id="4" w:name="_Toc397006838"/>
      <w:bookmarkStart w:id="5" w:name="_Toc305941519"/>
      <w:bookmarkStart w:id="6" w:name="_Toc305941224"/>
    </w:p>
    <w:p w14:paraId="7F6139E7">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1.1</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color w:val="000000" w:themeColor="text1"/>
          <w:lang w:val="en-US" w:eastAsia="zh-CN"/>
          <w14:textFill>
            <w14:solidFill>
              <w14:schemeClr w14:val="tx1"/>
            </w14:solidFill>
          </w14:textFill>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4"/>
      <w:bookmarkEnd w:id="5"/>
      <w:bookmarkEnd w:id="6"/>
      <w:bookmarkStart w:id="7" w:name="_Toc292221729"/>
      <w:bookmarkStart w:id="8" w:name="_Toc290652071"/>
      <w:bookmarkStart w:id="9" w:name="_Toc291768528"/>
      <w:bookmarkStart w:id="10" w:name="_Toc397006840"/>
      <w:bookmarkStart w:id="11" w:name="_Toc305941225"/>
    </w:p>
    <w:bookmarkEnd w:id="7"/>
    <w:bookmarkEnd w:id="8"/>
    <w:bookmarkEnd w:id="9"/>
    <w:bookmarkEnd w:id="10"/>
    <w:bookmarkEnd w:id="11"/>
    <w:p w14:paraId="24B4072C">
      <w:pPr>
        <w:pStyle w:val="4"/>
        <w:bidi w:val="0"/>
        <w:rPr>
          <w:color w:val="000000" w:themeColor="text1"/>
          <w14:textFill>
            <w14:solidFill>
              <w14:schemeClr w14:val="tx1"/>
            </w14:solidFill>
          </w14:textFill>
        </w:rPr>
      </w:pPr>
      <w:bookmarkStart w:id="12" w:name="_Toc305941520"/>
      <w:bookmarkStart w:id="13" w:name="_Toc397006842"/>
      <w:bookmarkStart w:id="14" w:name="_Toc3763"/>
      <w:bookmarkStart w:id="15" w:name="_Toc305941228"/>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.应遵循的主要标准</w:t>
      </w:r>
      <w:bookmarkEnd w:id="12"/>
      <w:bookmarkEnd w:id="13"/>
      <w:bookmarkEnd w:id="14"/>
      <w:bookmarkEnd w:id="15"/>
    </w:p>
    <w:p w14:paraId="265050C8">
      <w:pPr>
        <w:pStyle w:val="19"/>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jc w:val="both"/>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除本规范书特殊规定外, </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所提供的仪器均按规定的标准和规程的最新版本进行销售、设计、制造、试验和安装。如果这些标准内容有矛盾时, 应按最高标准的条款执行或按双方商定的标准执行。如果</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选用规范书规定以外的标准时, 则需提交这种替换标准供审查和分析。仅在</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已证明替换标准相当或优于规范书规定的标准, 并从买方处获得书面的认可才能使用。提交供审查的标准应为中文或英文版本。主要引用标准（未注明年号的应采用最新版本）如下：</w:t>
      </w:r>
    </w:p>
    <w:p w14:paraId="316F3647">
      <w:pPr>
        <w:pStyle w:val="19"/>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color w:val="000000" w:themeColor="text1"/>
          <w:highlight w:val="yellow"/>
          <w14:textFill>
            <w14:solidFill>
              <w14:schemeClr w14:val="tx1"/>
            </w14:solidFill>
          </w14:textFill>
        </w:rPr>
      </w:pPr>
      <w:r>
        <w:rPr>
          <w:rFonts w:hint="eastAsia" w:ascii="宋体" w:hAnsi="宋体"/>
          <w:color w:val="000000" w:themeColor="text1"/>
          <w:szCs w:val="24"/>
          <w:lang w:eastAsia="zh-CN"/>
          <w14:textFill>
            <w14:solidFill>
              <w14:schemeClr w14:val="tx1"/>
            </w14:solidFill>
          </w14:textFill>
        </w:rPr>
        <w:t>台式回路电阻测试仪</w:t>
      </w:r>
      <w:r>
        <w:rPr>
          <w:rFonts w:hint="eastAsia"/>
          <w:color w:val="000000" w:themeColor="text1"/>
          <w14:textFill>
            <w14:solidFill>
              <w14:schemeClr w14:val="tx1"/>
            </w14:solidFill>
          </w14:textFill>
        </w:rPr>
        <w:t>：</w:t>
      </w:r>
    </w:p>
    <w:p w14:paraId="2E53A200">
      <w:pPr>
        <w:ind w:left="410"/>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pPr>
      <w:bookmarkStart w:id="16" w:name="_Toc305941229"/>
      <w:bookmarkStart w:id="17" w:name="_Toc305941521"/>
      <w:bookmarkStart w:id="18" w:name="_Toc397006843"/>
      <w:bookmarkStart w:id="19" w:name="_Toc279769035"/>
      <w:bookmarkStart w:id="20" w:name="_Toc13932"/>
      <w:r>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t>EN 61000-6-2: 2005   通用抗扰度标准（第2部分）：工业环境</w:t>
      </w:r>
    </w:p>
    <w:p w14:paraId="0B0B75B6">
      <w:pPr>
        <w:ind w:left="410"/>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pPr>
      <w:r>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t>GB/T 191-2008       《包装储运图示标志》</w:t>
      </w:r>
    </w:p>
    <w:p w14:paraId="32099732">
      <w:pPr>
        <w:ind w:left="410"/>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pPr>
      <w:r>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t>GB/T 2423.8         《电工电子产品基本环境试验规程》</w:t>
      </w:r>
    </w:p>
    <w:p w14:paraId="76404ABB">
      <w:pPr>
        <w:ind w:left="410"/>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pPr>
      <w:r>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t>GB/T 9969.1         《工业产品使用说明书  总则》</w:t>
      </w:r>
    </w:p>
    <w:p w14:paraId="6F48AA19">
      <w:pPr>
        <w:ind w:left="410"/>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pPr>
      <w:r>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t>GB/T 13306          《标牌》</w:t>
      </w:r>
    </w:p>
    <w:p w14:paraId="6DC797F5">
      <w:pPr>
        <w:ind w:left="410"/>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pPr>
      <w:r>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t>GB/T 13384          《机电产品包装通用技术条件》</w:t>
      </w:r>
    </w:p>
    <w:p w14:paraId="0CABFECE">
      <w:pPr>
        <w:ind w:left="410"/>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pPr>
      <w:r>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t>GB 2900              电工名词术语</w:t>
      </w:r>
    </w:p>
    <w:p w14:paraId="14B3E86E">
      <w:pPr>
        <w:ind w:left="410"/>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pPr>
      <w:r>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t>GB 4793              电子测量仪器安全要求</w:t>
      </w:r>
    </w:p>
    <w:p w14:paraId="5EF8730A">
      <w:pPr>
        <w:ind w:left="410"/>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pPr>
      <w:r>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t>GB/T 2423.8          电工电子产品基本环境试验规程</w:t>
      </w:r>
    </w:p>
    <w:p w14:paraId="2F5C66BD">
      <w:pPr>
        <w:ind w:left="410"/>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pPr>
      <w:r>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t xml:space="preserve">GB/T 6587.8          电子测量仪器电源频率与电压试验 </w:t>
      </w:r>
    </w:p>
    <w:p w14:paraId="6EEF01F6">
      <w:pPr>
        <w:ind w:left="410"/>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pPr>
      <w:r>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t>GB/T 6593            电子测量仪器质量检验规则</w:t>
      </w:r>
    </w:p>
    <w:p w14:paraId="409923D7">
      <w:pPr>
        <w:ind w:left="410"/>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pPr>
      <w:r>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t xml:space="preserve">GB/T 11463           电子测量仪器可靠性试验 </w:t>
      </w:r>
    </w:p>
    <w:p w14:paraId="096B48D4">
      <w:pPr>
        <w:ind w:left="410"/>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pPr>
      <w:r>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t>GB/T 14436           工业产品保证文件总则</w:t>
      </w:r>
    </w:p>
    <w:p w14:paraId="67E06D3A">
      <w:pPr>
        <w:ind w:left="410"/>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pPr>
      <w:r>
        <w:rPr>
          <w:rFonts w:hint="eastAsia" w:ascii="Calibri" w:hAnsi="Calibri" w:eastAsia="方正书宋简体" w:cs="宋体"/>
          <w:color w:val="000000" w:themeColor="text1"/>
          <w:kern w:val="2"/>
          <w:sz w:val="24"/>
          <w:szCs w:val="22"/>
          <w:lang w:val="en-US" w:eastAsia="zh-CN" w:bidi="ar-SA"/>
          <w14:textFill>
            <w14:solidFill>
              <w14:schemeClr w14:val="tx1"/>
            </w14:solidFill>
          </w14:textFill>
        </w:rPr>
        <w:t>DL/T845.4-2004       电阻测量装置通用技术条件第四部分：回路电阻测试仪</w:t>
      </w:r>
    </w:p>
    <w:p w14:paraId="71AC58AF">
      <w:pPr>
        <w:pStyle w:val="4"/>
        <w:bidi w:val="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.使用条件</w:t>
      </w:r>
      <w:bookmarkEnd w:id="16"/>
      <w:bookmarkEnd w:id="17"/>
      <w:bookmarkEnd w:id="18"/>
      <w:bookmarkEnd w:id="19"/>
      <w:bookmarkEnd w:id="20"/>
    </w:p>
    <w:p w14:paraId="642F5A02">
      <w:pPr>
        <w:keepLines w:val="0"/>
        <w:pageBreakBefore w:val="0"/>
        <w:kinsoku/>
        <w:wordWrap/>
        <w:bidi w:val="0"/>
        <w:spacing w:line="500" w:lineRule="exact"/>
        <w:ind w:left="410"/>
        <w:rPr>
          <w:color w:val="000000" w:themeColor="text1"/>
          <w14:textFill>
            <w14:solidFill>
              <w14:schemeClr w14:val="tx1"/>
            </w14:solidFill>
          </w14:textFill>
        </w:rPr>
      </w:pPr>
      <w:bookmarkStart w:id="21" w:name="_Toc279769036"/>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本次采购的</w:t>
      </w:r>
      <w:r>
        <w:rPr>
          <w:rFonts w:hint="eastAsia"/>
          <w:color w:val="000000" w:themeColor="text1"/>
          <w:lang w:eastAsia="zh-CN"/>
          <w14:textFill>
            <w14:solidFill>
              <w14:schemeClr w14:val="tx1"/>
            </w14:solidFill>
          </w14:textFill>
        </w:rPr>
        <w:t>台式回路电阻测试仪</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14:paraId="3A7838E0">
      <w:pPr>
        <w:keepLines w:val="0"/>
        <w:pageBreakBefore w:val="0"/>
        <w:kinsoku/>
        <w:wordWrap/>
        <w:bidi w:val="0"/>
        <w:spacing w:line="500" w:lineRule="exact"/>
        <w:ind w:left="410" w:firstLine="480" w:firstLineChars="20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应对正常使用条件之外的特殊使用条件涉及的相关事项，应在报价文件及供货中特别说明。</w:t>
      </w:r>
      <w:r>
        <w:rPr>
          <w:rFonts w:hint="eastAsia" w:cs="宋体"/>
          <w:color w:val="000000" w:themeColor="text1"/>
          <w:lang w:eastAsia="zh-CN"/>
          <w14:textFill>
            <w14:solidFill>
              <w14:schemeClr w14:val="tx1"/>
            </w14:solidFill>
          </w14:textFill>
        </w:rPr>
        <w:t>投标人</w:t>
      </w:r>
      <w:r>
        <w:rPr>
          <w:rFonts w:hint="eastAsia" w:cs="宋体"/>
          <w:color w:val="000000" w:themeColor="text1"/>
          <w14:textFill>
            <w14:solidFill>
              <w14:schemeClr w14:val="tx1"/>
            </w14:solidFill>
          </w14:textFill>
        </w:rPr>
        <w:t>可采用更好，更经济的设计和材料，以便本项目采购的设备能持续稳定的运行，但需获得采购人书面的认可才能使用。</w:t>
      </w:r>
    </w:p>
    <w:p w14:paraId="624A0660">
      <w:pPr>
        <w:keepLines w:val="0"/>
        <w:pageBreakBefore w:val="0"/>
        <w:kinsoku/>
        <w:wordWrap/>
        <w:bidi w:val="0"/>
        <w:spacing w:line="500" w:lineRule="exact"/>
        <w:ind w:left="410"/>
        <w:rPr>
          <w:b w:val="0"/>
          <w:bCs w:val="0"/>
          <w:color w:val="000000" w:themeColor="text1"/>
          <w14:textFill>
            <w14:solidFill>
              <w14:schemeClr w14:val="tx1"/>
            </w14:solidFill>
          </w14:textFill>
        </w:rPr>
      </w:pPr>
      <w:bookmarkStart w:id="22" w:name="_Toc305941230"/>
      <w:bookmarkStart w:id="23" w:name="_Toc397006844"/>
      <w:r>
        <w:rPr>
          <w:rFonts w:hint="eastAsia"/>
          <w:b w:val="0"/>
          <w:bCs w:val="0"/>
          <w:color w:val="000000" w:themeColor="text1"/>
          <w:lang w:val="en-US" w:eastAsia="zh-CN"/>
          <w14:textFill>
            <w14:solidFill>
              <w14:schemeClr w14:val="tx1"/>
            </w14:solidFill>
          </w14:textFill>
        </w:rPr>
        <w:t>3</w:t>
      </w:r>
      <w:r>
        <w:rPr>
          <w:rFonts w:hint="eastAsia"/>
          <w:b w:val="0"/>
          <w:bCs w:val="0"/>
          <w:color w:val="000000" w:themeColor="text1"/>
          <w14:textFill>
            <w14:solidFill>
              <w14:schemeClr w14:val="tx1"/>
            </w14:solidFill>
          </w14:textFill>
        </w:rPr>
        <w:t>.1</w:t>
      </w:r>
      <w:bookmarkStart w:id="24" w:name="_Toc285621516"/>
      <w:bookmarkStart w:id="25" w:name="_Toc285701796"/>
      <w:r>
        <w:rPr>
          <w:rFonts w:hint="eastAsia"/>
          <w:b w:val="0"/>
          <w:bCs w:val="0"/>
          <w:color w:val="000000" w:themeColor="text1"/>
          <w14:textFill>
            <w14:solidFill>
              <w14:schemeClr w14:val="tx1"/>
            </w14:solidFill>
          </w14:textFill>
        </w:rPr>
        <w:t>正常使用条件</w:t>
      </w:r>
      <w:bookmarkEnd w:id="21"/>
      <w:bookmarkEnd w:id="22"/>
      <w:bookmarkEnd w:id="23"/>
      <w:bookmarkEnd w:id="24"/>
      <w:bookmarkEnd w:id="25"/>
      <w:bookmarkStart w:id="26" w:name="_Toc276492375"/>
      <w:bookmarkStart w:id="27" w:name="_Toc276490903"/>
    </w:p>
    <w:p w14:paraId="5DC6BE5D">
      <w:pPr>
        <w:spacing w:line="420" w:lineRule="exact"/>
        <w:ind w:left="410"/>
        <w:rPr>
          <w:rFonts w:hint="eastAsia"/>
          <w:color w:val="000000" w:themeColor="text1"/>
          <w14:textFill>
            <w14:solidFill>
              <w14:schemeClr w14:val="tx1"/>
            </w14:solidFill>
          </w14:textFill>
        </w:rPr>
      </w:pPr>
      <w:bookmarkStart w:id="28" w:name="_Toc305940419"/>
      <w:bookmarkStart w:id="29" w:name="_Toc397006845"/>
      <w:r>
        <w:rPr>
          <w:rFonts w:hint="eastAsia"/>
          <w:color w:val="000000" w:themeColor="text1"/>
          <w14:textFill>
            <w14:solidFill>
              <w14:schemeClr w14:val="tx1"/>
            </w14:solidFill>
          </w14:textFill>
        </w:rPr>
        <w:t>本仪器技术文件所规定的仪器技术条款和参数要求，应适用下列环境条件使用。</w:t>
      </w:r>
      <w:bookmarkEnd w:id="28"/>
    </w:p>
    <w:p w14:paraId="7D9E9A72">
      <w:pPr>
        <w:ind w:left="41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使用环境温度：-10℃～40℃</w:t>
      </w:r>
    </w:p>
    <w:p w14:paraId="13E63266">
      <w:pPr>
        <w:ind w:left="41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环境相对湿度：≤80%RH，无结露。</w:t>
      </w:r>
    </w:p>
    <w:p w14:paraId="70D36B66">
      <w:pPr>
        <w:ind w:left="41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设备使用年限：大于8年</w:t>
      </w:r>
    </w:p>
    <w:p w14:paraId="0EADD47D">
      <w:pPr>
        <w:ind w:left="41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工作电源：交流(220V±22)V，（50±2）Hz</w:t>
      </w:r>
    </w:p>
    <w:p w14:paraId="01F5BFD4">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.2特殊使用条件要求（如有）</w:t>
      </w:r>
      <w:bookmarkEnd w:id="29"/>
    </w:p>
    <w:bookmarkEnd w:id="26"/>
    <w:bookmarkEnd w:id="27"/>
    <w:p w14:paraId="11A22404">
      <w:pPr>
        <w:keepLines w:val="0"/>
        <w:pageBreakBefore w:val="0"/>
        <w:kinsoku/>
        <w:wordWrap/>
        <w:bidi w:val="0"/>
        <w:spacing w:line="500" w:lineRule="exact"/>
        <w:ind w:left="41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14:paraId="6AE6B78E">
      <w:pPr>
        <w:pStyle w:val="4"/>
        <w:bidi w:val="0"/>
        <w:rPr>
          <w:rFonts w:hint="eastAsia" w:ascii="宋体" w:hAnsi="宋体" w:eastAsia="宋体" w:cs="Times New Roman"/>
          <w:b w:val="0"/>
          <w:color w:val="000000" w:themeColor="text1"/>
          <w:kern w:val="2"/>
          <w:sz w:val="24"/>
          <w:szCs w:val="24"/>
          <w:lang w:val="en-US" w:eastAsia="zh-CN" w:bidi="ar-SA"/>
          <w14:textFill>
            <w14:solidFill>
              <w14:schemeClr w14:val="tx1"/>
            </w14:solidFill>
          </w14:textFill>
        </w:rPr>
      </w:pPr>
      <w:bookmarkStart w:id="30" w:name="_Toc22886"/>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.技术要求</w:t>
      </w:r>
      <w:bookmarkEnd w:id="30"/>
    </w:p>
    <w:p w14:paraId="180A3A62">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.1</w:t>
      </w:r>
      <w:r>
        <w:rPr>
          <w:rFonts w:hint="eastAsia"/>
          <w:color w:val="000000" w:themeColor="text1"/>
          <w:lang w:eastAsia="zh-CN"/>
          <w14:textFill>
            <w14:solidFill>
              <w14:schemeClr w14:val="tx1"/>
            </w14:solidFill>
          </w14:textFill>
        </w:rPr>
        <w:t>台式回路电阻测试仪</w:t>
      </w:r>
      <w:r>
        <w:rPr>
          <w:rFonts w:hint="eastAsia"/>
          <w:color w:val="000000" w:themeColor="text1"/>
          <w:shd w:val="clear" w:color="auto" w:fill="FFFFFF"/>
          <w14:textFill>
            <w14:solidFill>
              <w14:schemeClr w14:val="tx1"/>
            </w14:solidFill>
          </w14:textFill>
        </w:rPr>
        <w:t>功能</w:t>
      </w:r>
      <w:r>
        <w:rPr>
          <w:rFonts w:hint="eastAsia"/>
          <w:color w:val="000000" w:themeColor="text1"/>
          <w14:textFill>
            <w14:solidFill>
              <w14:schemeClr w14:val="tx1"/>
            </w14:solidFill>
          </w14:textFill>
        </w:rPr>
        <w:t>要求</w:t>
      </w:r>
    </w:p>
    <w:p w14:paraId="0869DEE4">
      <w:pPr>
        <w:pStyle w:val="19"/>
        <w:numPr>
          <w:ilvl w:val="0"/>
          <w:numId w:val="1"/>
        </w:numPr>
        <w:adjustRightInd w:val="0"/>
        <w:snapToGrid w:val="0"/>
        <w:spacing w:line="360" w:lineRule="auto"/>
        <w:ind w:left="0" w:leftChars="0" w:firstLine="0" w:firstLineChars="0"/>
        <w:rPr>
          <w:rFonts w:hint="eastAsia"/>
          <w:b/>
          <w:bCs/>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b/>
          <w:bCs/>
          <w:color w:val="000000" w:themeColor="text1"/>
          <w14:textFill>
            <w14:solidFill>
              <w14:schemeClr w14:val="tx1"/>
            </w14:solidFill>
          </w14:textFill>
        </w:rPr>
        <w:t>测试电流分为100A、200A、300A多种，无需手动调节</w:t>
      </w:r>
    </w:p>
    <w:p w14:paraId="270AC2FA">
      <w:pPr>
        <w:pStyle w:val="19"/>
        <w:numPr>
          <w:ilvl w:val="0"/>
          <w:numId w:val="1"/>
        </w:numPr>
        <w:adjustRightInd w:val="0"/>
        <w:snapToGrid w:val="0"/>
        <w:spacing w:line="360" w:lineRule="auto"/>
        <w:ind w:left="0" w:leftChars="0"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操作界面简单，精度高，抗干扰能力强，重复性好</w:t>
      </w:r>
    </w:p>
    <w:p w14:paraId="4E9DDAE4">
      <w:pPr>
        <w:pStyle w:val="19"/>
        <w:numPr>
          <w:ilvl w:val="0"/>
          <w:numId w:val="1"/>
        </w:numPr>
        <w:adjustRightInd w:val="0"/>
        <w:snapToGrid w:val="0"/>
        <w:spacing w:line="360" w:lineRule="auto"/>
        <w:ind w:left="0" w:leftChars="0"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可以存储最多100组数据，便于查看历史数据，并且可以存入U盘</w:t>
      </w:r>
    </w:p>
    <w:p w14:paraId="5ADBEAE0">
      <w:pPr>
        <w:pStyle w:val="19"/>
        <w:numPr>
          <w:ilvl w:val="0"/>
          <w:numId w:val="1"/>
        </w:numPr>
        <w:adjustRightInd w:val="0"/>
        <w:snapToGrid w:val="0"/>
        <w:spacing w:line="360" w:lineRule="auto"/>
        <w:ind w:left="0" w:leftChars="0" w:firstLine="0" w:firstLineChars="0"/>
        <w:rPr>
          <w:b/>
          <w:bCs/>
          <w:color w:val="000000" w:themeColor="text1"/>
          <w14:textFill>
            <w14:solidFill>
              <w14:schemeClr w14:val="tx1"/>
            </w14:solidFill>
          </w14:textFill>
        </w:rPr>
      </w:pPr>
      <w:r>
        <w:rPr>
          <w:rFonts w:hint="eastAsia"/>
          <w:color w:val="000000" w:themeColor="text1"/>
          <w14:textFill>
            <w14:solidFill>
              <w14:schemeClr w14:val="tx1"/>
            </w14:solidFill>
          </w14:textFill>
        </w:rPr>
        <w:t>测试过程由单片机控制自动完成，可快速准确测量开关设备、GIS母线的回路电阻</w:t>
      </w:r>
    </w:p>
    <w:p w14:paraId="615C472D">
      <w:pPr>
        <w:pStyle w:val="19"/>
        <w:numPr>
          <w:ilvl w:val="0"/>
          <w:numId w:val="1"/>
        </w:numPr>
        <w:adjustRightInd w:val="0"/>
        <w:snapToGrid w:val="0"/>
        <w:spacing w:line="360" w:lineRule="auto"/>
        <w:ind w:left="0" w:leftChars="0" w:firstLine="0" w:firstLineChars="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b/>
          <w:bCs/>
          <w:color w:val="000000" w:themeColor="text1"/>
          <w14:textFill>
            <w14:solidFill>
              <w14:schemeClr w14:val="tx1"/>
            </w14:solidFill>
          </w14:textFill>
        </w:rPr>
        <w:t>测试线单根长达8米，双根16米，可快速准确测量开关设备、GIS母线的回路电阻（截面积）</w:t>
      </w:r>
    </w:p>
    <w:p w14:paraId="273940A3">
      <w:pPr>
        <w:pStyle w:val="19"/>
        <w:numPr>
          <w:ilvl w:val="0"/>
          <w:numId w:val="1"/>
        </w:numPr>
        <w:adjustRightInd w:val="0"/>
        <w:snapToGrid w:val="0"/>
        <w:spacing w:line="360" w:lineRule="auto"/>
        <w:ind w:left="0" w:leftChars="0" w:firstLine="0" w:firstLineChars="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★可选配GPS定位及校时功能，支持GPS及北斗导航系统。</w:t>
      </w:r>
    </w:p>
    <w:p w14:paraId="2C4A3E46">
      <w:pPr>
        <w:keepLines w:val="0"/>
        <w:pageBreakBefore w:val="0"/>
        <w:kinsoku/>
        <w:wordWrap/>
        <w:bidi w:val="0"/>
        <w:snapToGrid w:val="0"/>
        <w:spacing w:line="500" w:lineRule="exact"/>
        <w:ind w:left="0" w:leftChars="0" w:firstLine="0" w:firstLineChars="0"/>
        <w:jc w:val="both"/>
        <w:rPr>
          <w:rFonts w:asciiTheme="minorEastAsia" w:hAnsiTheme="minorEastAsia" w:eastAsiaTheme="minorEastAsia"/>
          <w:color w:val="000000" w:themeColor="text1"/>
          <w:highlight w:val="yellow"/>
          <w14:textFill>
            <w14:solidFill>
              <w14:schemeClr w14:val="tx1"/>
            </w14:solidFill>
          </w14:textFill>
        </w:rPr>
      </w:pPr>
    </w:p>
    <w:p w14:paraId="5FB55AB4">
      <w:pPr>
        <w:keepLines w:val="0"/>
        <w:pageBreakBefore w:val="0"/>
        <w:kinsoku/>
        <w:wordWrap/>
        <w:bidi w:val="0"/>
        <w:spacing w:line="500" w:lineRule="exact"/>
        <w:ind w:left="410"/>
        <w:rPr>
          <w:rFonts w:hint="eastAsia"/>
          <w:color w:val="000000" w:themeColor="text1"/>
          <w:shd w:val="clear" w:color="auto" w:fill="FFFFFF"/>
          <w14:textFill>
            <w14:solidFill>
              <w14:schemeClr w14:val="tx1"/>
            </w14:solidFill>
          </w14:textFill>
        </w:rPr>
      </w:pPr>
      <w:r>
        <w:rPr>
          <w:rFonts w:hint="eastAsia" w:asciiTheme="minorEastAsia" w:hAnsiTheme="minorEastAsia" w:eastAsiaTheme="minorEastAsia"/>
          <w:color w:val="000000" w:themeColor="text1"/>
          <w:lang w:val="en-US" w:eastAsia="zh-CN"/>
          <w14:textFill>
            <w14:solidFill>
              <w14:schemeClr w14:val="tx1"/>
            </w14:solidFill>
          </w14:textFill>
        </w:rPr>
        <w:t>4</w:t>
      </w:r>
      <w:r>
        <w:rPr>
          <w:rFonts w:hint="eastAsia" w:asciiTheme="minorEastAsia" w:hAnsiTheme="minorEastAsia" w:eastAsiaTheme="minorEastAsia"/>
          <w:color w:val="000000" w:themeColor="text1"/>
          <w14:textFill>
            <w14:solidFill>
              <w14:schemeClr w14:val="tx1"/>
            </w14:solidFill>
          </w14:textFill>
        </w:rPr>
        <w:t xml:space="preserve">.2 </w:t>
      </w:r>
      <w:r>
        <w:rPr>
          <w:rFonts w:hint="eastAsia" w:eastAsiaTheme="minorEastAsia"/>
          <w:color w:val="000000" w:themeColor="text1"/>
          <w:lang w:eastAsia="zh-CN"/>
          <w14:textFill>
            <w14:solidFill>
              <w14:schemeClr w14:val="tx1"/>
            </w14:solidFill>
          </w14:textFill>
        </w:rPr>
        <w:t>台式回路电阻测试仪</w:t>
      </w:r>
      <w:r>
        <w:rPr>
          <w:rFonts w:hint="eastAsia"/>
          <w:color w:val="000000" w:themeColor="text1"/>
          <w:shd w:val="clear" w:color="auto" w:fill="FFFFFF"/>
          <w14:textFill>
            <w14:solidFill>
              <w14:schemeClr w14:val="tx1"/>
            </w14:solidFill>
          </w14:textFill>
        </w:rPr>
        <w:t>技术指标</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2430"/>
        <w:gridCol w:w="2445"/>
        <w:gridCol w:w="2431"/>
      </w:tblGrid>
      <w:tr w14:paraId="3A6E4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41FB7201">
            <w:pPr>
              <w:pStyle w:val="2"/>
              <w:rPr>
                <w:rFonts w:hint="eastAsia" w:eastAsia="宋体"/>
                <w:vertAlign w:val="baseline"/>
                <w:lang w:val="en-US" w:eastAsia="zh-CN"/>
              </w:rPr>
            </w:pPr>
            <w:r>
              <w:rPr>
                <w:rFonts w:hint="eastAsia"/>
                <w:vertAlign w:val="baseline"/>
                <w:lang w:val="en-US" w:eastAsia="zh-CN"/>
              </w:rPr>
              <w:t>序号</w:t>
            </w:r>
          </w:p>
        </w:tc>
        <w:tc>
          <w:tcPr>
            <w:tcW w:w="2490" w:type="dxa"/>
          </w:tcPr>
          <w:p w14:paraId="03A319CE">
            <w:pPr>
              <w:pStyle w:val="2"/>
              <w:rPr>
                <w:rFonts w:hint="default" w:eastAsia="宋体"/>
                <w:vertAlign w:val="baseline"/>
                <w:lang w:val="en-US" w:eastAsia="zh-CN"/>
              </w:rPr>
            </w:pPr>
            <w:r>
              <w:rPr>
                <w:rFonts w:hint="eastAsia"/>
                <w:vertAlign w:val="baseline"/>
                <w:lang w:val="en-US" w:eastAsia="zh-CN"/>
              </w:rPr>
              <w:t>性能参数</w:t>
            </w:r>
          </w:p>
        </w:tc>
        <w:tc>
          <w:tcPr>
            <w:tcW w:w="2491" w:type="dxa"/>
          </w:tcPr>
          <w:p w14:paraId="7D8139F1">
            <w:pPr>
              <w:pStyle w:val="2"/>
              <w:rPr>
                <w:rFonts w:hint="default" w:eastAsia="宋体"/>
                <w:vertAlign w:val="baseline"/>
                <w:lang w:val="en-US" w:eastAsia="zh-CN"/>
              </w:rPr>
            </w:pPr>
            <w:r>
              <w:rPr>
                <w:rFonts w:hint="eastAsia"/>
                <w:vertAlign w:val="baseline"/>
                <w:lang w:val="en-US" w:eastAsia="zh-CN"/>
              </w:rPr>
              <w:t>招标人要求值</w:t>
            </w:r>
          </w:p>
        </w:tc>
        <w:tc>
          <w:tcPr>
            <w:tcW w:w="2491" w:type="dxa"/>
          </w:tcPr>
          <w:p w14:paraId="026FE66D">
            <w:pPr>
              <w:pStyle w:val="2"/>
              <w:rPr>
                <w:rFonts w:hint="default" w:eastAsia="宋体"/>
                <w:vertAlign w:val="baseline"/>
                <w:lang w:val="en-US" w:eastAsia="zh-CN"/>
              </w:rPr>
            </w:pPr>
            <w:r>
              <w:rPr>
                <w:rFonts w:hint="eastAsia"/>
                <w:vertAlign w:val="baseline"/>
                <w:lang w:val="en-US" w:eastAsia="zh-CN"/>
              </w:rPr>
              <w:t>投</w:t>
            </w:r>
            <w:bookmarkStart w:id="39" w:name="_GoBack"/>
            <w:bookmarkEnd w:id="39"/>
            <w:r>
              <w:rPr>
                <w:rFonts w:hint="eastAsia"/>
                <w:vertAlign w:val="baseline"/>
                <w:lang w:val="en-US" w:eastAsia="zh-CN"/>
              </w:rPr>
              <w:t>标人响应值</w:t>
            </w:r>
          </w:p>
        </w:tc>
      </w:tr>
      <w:tr w14:paraId="2D86B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83A5132">
            <w:pPr>
              <w:pStyle w:val="2"/>
              <w:rPr>
                <w:rFonts w:hint="eastAsia" w:eastAsia="宋体"/>
                <w:vertAlign w:val="baseline"/>
                <w:lang w:val="en-US" w:eastAsia="zh-CN"/>
              </w:rPr>
            </w:pPr>
            <w:r>
              <w:rPr>
                <w:rFonts w:hint="eastAsia"/>
                <w:vertAlign w:val="baseline"/>
                <w:lang w:val="en-US" w:eastAsia="zh-CN"/>
              </w:rPr>
              <w:t>1</w:t>
            </w:r>
          </w:p>
        </w:tc>
        <w:tc>
          <w:tcPr>
            <w:tcW w:w="2490" w:type="dxa"/>
          </w:tcPr>
          <w:p w14:paraId="5B6786F9">
            <w:pPr>
              <w:pStyle w:val="2"/>
              <w:rPr>
                <w:rFonts w:hint="eastAsia"/>
                <w:vertAlign w:val="baseline"/>
              </w:rPr>
            </w:pPr>
            <w:r>
              <w:rPr>
                <w:rFonts w:hint="eastAsia"/>
                <w:color w:val="000000" w:themeColor="text1"/>
                <w14:textFill>
                  <w14:solidFill>
                    <w14:schemeClr w14:val="tx1"/>
                  </w14:solidFill>
                </w14:textFill>
              </w:rPr>
              <w:t>★</w:t>
            </w:r>
            <w:r>
              <w:rPr>
                <w:rFonts w:hint="eastAsia" w:cs="宋体"/>
                <w:color w:val="000000" w:themeColor="text1"/>
                <w:kern w:val="0"/>
                <w14:textFill>
                  <w14:solidFill>
                    <w14:schemeClr w14:val="tx1"/>
                  </w14:solidFill>
                </w14:textFill>
              </w:rPr>
              <w:t>测试电流</w:t>
            </w:r>
          </w:p>
        </w:tc>
        <w:tc>
          <w:tcPr>
            <w:tcW w:w="2491" w:type="dxa"/>
          </w:tcPr>
          <w:p w14:paraId="5FE6A952">
            <w:pPr>
              <w:pStyle w:val="2"/>
              <w:ind w:left="0" w:leftChars="0" w:firstLine="0" w:firstLineChars="0"/>
              <w:rPr>
                <w:rFonts w:hint="eastAsia"/>
                <w:vertAlign w:val="baseline"/>
              </w:rPr>
            </w:pPr>
            <w:r>
              <w:rPr>
                <w:rFonts w:hint="eastAsia" w:cs="宋体"/>
                <w:color w:val="000000" w:themeColor="text1"/>
                <w:kern w:val="0"/>
                <w14:textFill>
                  <w14:solidFill>
                    <w14:schemeClr w14:val="tx1"/>
                  </w14:solidFill>
                </w14:textFill>
              </w:rPr>
              <w:t>100A、200A、300A</w:t>
            </w:r>
          </w:p>
        </w:tc>
        <w:tc>
          <w:tcPr>
            <w:tcW w:w="2491" w:type="dxa"/>
          </w:tcPr>
          <w:p w14:paraId="0B3AF935">
            <w:pPr>
              <w:pStyle w:val="2"/>
              <w:rPr>
                <w:rFonts w:hint="eastAsia"/>
                <w:vertAlign w:val="baseline"/>
              </w:rPr>
            </w:pPr>
          </w:p>
        </w:tc>
      </w:tr>
      <w:tr w14:paraId="0B049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350B8DB0">
            <w:pPr>
              <w:pStyle w:val="2"/>
              <w:rPr>
                <w:rFonts w:hint="eastAsia" w:eastAsia="宋体"/>
                <w:vertAlign w:val="baseline"/>
                <w:lang w:val="en-US" w:eastAsia="zh-CN"/>
              </w:rPr>
            </w:pPr>
            <w:r>
              <w:rPr>
                <w:rFonts w:hint="eastAsia"/>
                <w:vertAlign w:val="baseline"/>
                <w:lang w:val="en-US" w:eastAsia="zh-CN"/>
              </w:rPr>
              <w:t>2</w:t>
            </w:r>
          </w:p>
        </w:tc>
        <w:tc>
          <w:tcPr>
            <w:tcW w:w="2490" w:type="dxa"/>
          </w:tcPr>
          <w:p w14:paraId="33FE34F1">
            <w:pPr>
              <w:pStyle w:val="2"/>
              <w:rPr>
                <w:rFonts w:hint="eastAsia"/>
                <w:vertAlign w:val="baseline"/>
              </w:rPr>
            </w:pPr>
            <w:r>
              <w:rPr>
                <w:rFonts w:hint="eastAsia"/>
                <w:color w:val="000000" w:themeColor="text1"/>
                <w14:textFill>
                  <w14:solidFill>
                    <w14:schemeClr w14:val="tx1"/>
                  </w14:solidFill>
                </w14:textFill>
              </w:rPr>
              <w:t>★</w:t>
            </w:r>
            <w:r>
              <w:rPr>
                <w:rFonts w:hint="eastAsia" w:cs="宋体"/>
                <w:color w:val="000000" w:themeColor="text1"/>
                <w:kern w:val="0"/>
                <w14:textFill>
                  <w14:solidFill>
                    <w14:schemeClr w14:val="tx1"/>
                  </w14:solidFill>
                </w14:textFill>
              </w:rPr>
              <w:t>测量范围</w:t>
            </w:r>
          </w:p>
        </w:tc>
        <w:tc>
          <w:tcPr>
            <w:tcW w:w="2491" w:type="dxa"/>
          </w:tcPr>
          <w:p w14:paraId="2FA2FA5E">
            <w:pPr>
              <w:pStyle w:val="2"/>
              <w:ind w:left="0" w:leftChars="0" w:firstLine="0" w:firstLineChars="0"/>
              <w:rPr>
                <w:rFonts w:hint="eastAsia"/>
                <w:vertAlign w:val="baseline"/>
              </w:rPr>
            </w:pPr>
            <w:r>
              <w:rPr>
                <w:color w:val="000000" w:themeColor="text1"/>
                <w14:textFill>
                  <w14:solidFill>
                    <w14:schemeClr w14:val="tx1"/>
                  </w14:solidFill>
                </w14:textFill>
              </w:rPr>
              <w:t>0</w:t>
            </w:r>
            <w:r>
              <w:rPr>
                <w:rFonts w:hint="eastAsia"/>
                <w:color w:val="000000" w:themeColor="text1"/>
                <w14:textFill>
                  <w14:solidFill>
                    <w14:schemeClr w14:val="tx1"/>
                  </w14:solidFill>
                </w14:textFill>
              </w:rPr>
              <w:t>～50mΩ（100A）、0～25mΩ（200A）、0～16mΩ（300A）</w:t>
            </w:r>
          </w:p>
        </w:tc>
        <w:tc>
          <w:tcPr>
            <w:tcW w:w="2491" w:type="dxa"/>
          </w:tcPr>
          <w:p w14:paraId="6B245C13">
            <w:pPr>
              <w:pStyle w:val="2"/>
              <w:rPr>
                <w:rFonts w:hint="eastAsia"/>
                <w:vertAlign w:val="baseline"/>
              </w:rPr>
            </w:pPr>
          </w:p>
        </w:tc>
      </w:tr>
      <w:tr w14:paraId="6FCB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1283531C">
            <w:pPr>
              <w:pStyle w:val="2"/>
              <w:rPr>
                <w:rFonts w:hint="eastAsia" w:eastAsia="宋体"/>
                <w:vertAlign w:val="baseline"/>
                <w:lang w:val="en-US" w:eastAsia="zh-CN"/>
              </w:rPr>
            </w:pPr>
            <w:r>
              <w:rPr>
                <w:rFonts w:hint="eastAsia"/>
                <w:vertAlign w:val="baseline"/>
                <w:lang w:val="en-US" w:eastAsia="zh-CN"/>
              </w:rPr>
              <w:t>3</w:t>
            </w:r>
          </w:p>
        </w:tc>
        <w:tc>
          <w:tcPr>
            <w:tcW w:w="2490" w:type="dxa"/>
          </w:tcPr>
          <w:p w14:paraId="21258CC5">
            <w:pPr>
              <w:pStyle w:val="2"/>
              <w:rPr>
                <w:rFonts w:hint="eastAsia"/>
                <w:vertAlign w:val="baseline"/>
              </w:rPr>
            </w:pPr>
            <w:r>
              <w:rPr>
                <w:rFonts w:hint="eastAsia"/>
                <w:color w:val="000000" w:themeColor="text1"/>
                <w14:textFill>
                  <w14:solidFill>
                    <w14:schemeClr w14:val="tx1"/>
                  </w14:solidFill>
                </w14:textFill>
              </w:rPr>
              <w:t>★</w:t>
            </w:r>
            <w:r>
              <w:rPr>
                <w:rFonts w:hint="eastAsia" w:cs="宋体"/>
                <w:color w:val="000000" w:themeColor="text1"/>
                <w:kern w:val="0"/>
                <w14:textFill>
                  <w14:solidFill>
                    <w14:schemeClr w14:val="tx1"/>
                  </w14:solidFill>
                </w14:textFill>
              </w:rPr>
              <w:t>分辨率</w:t>
            </w:r>
          </w:p>
        </w:tc>
        <w:tc>
          <w:tcPr>
            <w:tcW w:w="2491" w:type="dxa"/>
          </w:tcPr>
          <w:p w14:paraId="410DE10F">
            <w:pPr>
              <w:pStyle w:val="2"/>
              <w:ind w:left="0" w:leftChars="0" w:firstLine="480" w:firstLineChars="200"/>
              <w:rPr>
                <w:rFonts w:hint="eastAsia"/>
                <w:vertAlign w:val="baseline"/>
              </w:rPr>
            </w:pPr>
            <w:r>
              <w:rPr>
                <w:rFonts w:hint="eastAsia"/>
                <w:color w:val="000000" w:themeColor="text1"/>
                <w14:textFill>
                  <w14:solidFill>
                    <w14:schemeClr w14:val="tx1"/>
                  </w14:solidFill>
                </w14:textFill>
              </w:rPr>
              <w:t>0.001</w:t>
            </w:r>
            <w:r>
              <w:rPr>
                <w:color w:val="000000" w:themeColor="text1"/>
                <w14:textFill>
                  <w14:solidFill>
                    <w14:schemeClr w14:val="tx1"/>
                  </w14:solidFill>
                </w14:textFill>
              </w:rPr>
              <w:t>µ</w:t>
            </w:r>
            <w:r>
              <w:rPr>
                <w:rFonts w:hint="eastAsia"/>
                <w:color w:val="000000" w:themeColor="text1"/>
                <w14:textFill>
                  <w14:solidFill>
                    <w14:schemeClr w14:val="tx1"/>
                  </w14:solidFill>
                </w14:textFill>
              </w:rPr>
              <w:t>Ω</w:t>
            </w:r>
          </w:p>
        </w:tc>
        <w:tc>
          <w:tcPr>
            <w:tcW w:w="2491" w:type="dxa"/>
          </w:tcPr>
          <w:p w14:paraId="682325AF">
            <w:pPr>
              <w:pStyle w:val="2"/>
              <w:rPr>
                <w:rFonts w:hint="eastAsia"/>
                <w:vertAlign w:val="baseline"/>
              </w:rPr>
            </w:pPr>
          </w:p>
        </w:tc>
      </w:tr>
      <w:tr w14:paraId="60C35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D705839">
            <w:pPr>
              <w:pStyle w:val="2"/>
              <w:rPr>
                <w:rFonts w:hint="eastAsia" w:eastAsia="宋体"/>
                <w:vertAlign w:val="baseline"/>
                <w:lang w:val="en-US" w:eastAsia="zh-CN"/>
              </w:rPr>
            </w:pPr>
            <w:r>
              <w:rPr>
                <w:rFonts w:hint="eastAsia"/>
                <w:vertAlign w:val="baseline"/>
                <w:lang w:val="en-US" w:eastAsia="zh-CN"/>
              </w:rPr>
              <w:t>4</w:t>
            </w:r>
          </w:p>
        </w:tc>
        <w:tc>
          <w:tcPr>
            <w:tcW w:w="2490" w:type="dxa"/>
          </w:tcPr>
          <w:p w14:paraId="3AA3EF96">
            <w:pPr>
              <w:pStyle w:val="2"/>
              <w:rPr>
                <w:rFonts w:hint="eastAsia"/>
                <w:vertAlign w:val="baseline"/>
              </w:rPr>
            </w:pPr>
            <w:r>
              <w:rPr>
                <w:rFonts w:hint="eastAsia" w:cs="宋体"/>
                <w:color w:val="000000" w:themeColor="text1"/>
                <w:kern w:val="0"/>
                <w14:textFill>
                  <w14:solidFill>
                    <w14:schemeClr w14:val="tx1"/>
                  </w14:solidFill>
                </w14:textFill>
              </w:rPr>
              <w:t>准确度</w:t>
            </w:r>
          </w:p>
        </w:tc>
        <w:tc>
          <w:tcPr>
            <w:tcW w:w="2491" w:type="dxa"/>
          </w:tcPr>
          <w:p w14:paraId="5ECAA359">
            <w:pPr>
              <w:numPr>
                <w:ilvl w:val="0"/>
                <w:numId w:val="0"/>
              </w:numPr>
              <w:ind w:leftChars="0" w:firstLine="720" w:firstLineChars="300"/>
              <w:rPr>
                <w:rFonts w:hint="eastAsia"/>
                <w:vertAlign w:val="baseline"/>
              </w:rPr>
            </w:pPr>
            <w:r>
              <w:rPr>
                <w:rFonts w:cs="宋体"/>
                <w:color w:val="000000" w:themeColor="text1"/>
                <w:kern w:val="0"/>
                <w14:textFill>
                  <w14:solidFill>
                    <w14:schemeClr w14:val="tx1"/>
                  </w14:solidFill>
                </w14:textFill>
              </w:rPr>
              <w:t>0.</w:t>
            </w:r>
            <w:r>
              <w:rPr>
                <w:rFonts w:hint="eastAsia" w:cs="宋体"/>
                <w:color w:val="000000" w:themeColor="text1"/>
                <w:kern w:val="0"/>
                <w14:textFill>
                  <w14:solidFill>
                    <w14:schemeClr w14:val="tx1"/>
                  </w14:solidFill>
                </w14:textFill>
              </w:rPr>
              <w:t>5级</w:t>
            </w:r>
          </w:p>
        </w:tc>
        <w:tc>
          <w:tcPr>
            <w:tcW w:w="2491" w:type="dxa"/>
          </w:tcPr>
          <w:p w14:paraId="3127E23F">
            <w:pPr>
              <w:pStyle w:val="2"/>
              <w:rPr>
                <w:rFonts w:hint="eastAsia"/>
                <w:vertAlign w:val="baseline"/>
              </w:rPr>
            </w:pPr>
          </w:p>
        </w:tc>
      </w:tr>
      <w:tr w14:paraId="5A865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32CC98D">
            <w:pPr>
              <w:pStyle w:val="2"/>
              <w:rPr>
                <w:rFonts w:hint="eastAsia" w:eastAsia="宋体"/>
                <w:vertAlign w:val="baseline"/>
                <w:lang w:val="en-US" w:eastAsia="zh-CN"/>
              </w:rPr>
            </w:pPr>
            <w:r>
              <w:rPr>
                <w:rFonts w:hint="eastAsia"/>
                <w:vertAlign w:val="baseline"/>
                <w:lang w:val="en-US" w:eastAsia="zh-CN"/>
              </w:rPr>
              <w:t>5</w:t>
            </w:r>
          </w:p>
        </w:tc>
        <w:tc>
          <w:tcPr>
            <w:tcW w:w="2490" w:type="dxa"/>
          </w:tcPr>
          <w:p w14:paraId="362E133D">
            <w:pPr>
              <w:pStyle w:val="2"/>
              <w:rPr>
                <w:rFonts w:hint="eastAsia"/>
                <w:vertAlign w:val="baseline"/>
              </w:rPr>
            </w:pPr>
            <w:r>
              <w:rPr>
                <w:rFonts w:hint="eastAsia"/>
                <w:color w:val="000000" w:themeColor="text1"/>
                <w14:textFill>
                  <w14:solidFill>
                    <w14:schemeClr w14:val="tx1"/>
                  </w14:solidFill>
                </w14:textFill>
              </w:rPr>
              <w:t>★测试时间</w:t>
            </w:r>
          </w:p>
        </w:tc>
        <w:tc>
          <w:tcPr>
            <w:tcW w:w="2491" w:type="dxa"/>
          </w:tcPr>
          <w:p w14:paraId="0DDEEB91">
            <w:pPr>
              <w:pStyle w:val="2"/>
              <w:ind w:left="0" w:leftChars="0" w:firstLine="240" w:firstLineChars="100"/>
              <w:rPr>
                <w:rFonts w:hint="eastAsia"/>
                <w:vertAlign w:val="baseline"/>
              </w:rPr>
            </w:pPr>
            <w:r>
              <w:rPr>
                <w:rFonts w:hint="eastAsia"/>
                <w:color w:val="000000" w:themeColor="text1"/>
                <w14:textFill>
                  <w14:solidFill>
                    <w14:schemeClr w14:val="tx1"/>
                  </w14:solidFill>
                </w14:textFill>
              </w:rPr>
              <w:t>10秒、30秒</w:t>
            </w:r>
          </w:p>
        </w:tc>
        <w:tc>
          <w:tcPr>
            <w:tcW w:w="2491" w:type="dxa"/>
          </w:tcPr>
          <w:p w14:paraId="19CC0E32">
            <w:pPr>
              <w:pStyle w:val="2"/>
              <w:rPr>
                <w:rFonts w:hint="eastAsia"/>
                <w:vertAlign w:val="baseline"/>
              </w:rPr>
            </w:pPr>
          </w:p>
        </w:tc>
      </w:tr>
    </w:tbl>
    <w:p w14:paraId="5D6BBABF">
      <w:pPr>
        <w:pStyle w:val="4"/>
        <w:bidi w:val="0"/>
        <w:ind w:left="0" w:leftChars="0" w:firstLine="522" w:firstLineChars="200"/>
        <w:rPr>
          <w:rFonts w:cs="宋体"/>
          <w:color w:val="000000" w:themeColor="text1"/>
          <w:spacing w:val="1"/>
          <w14:textFill>
            <w14:solidFill>
              <w14:schemeClr w14:val="tx1"/>
            </w14:solidFill>
          </w14:textFill>
        </w:rPr>
      </w:pPr>
      <w:bookmarkStart w:id="31" w:name="_Toc14198"/>
      <w:r>
        <w:rPr>
          <w:rFonts w:hint="eastAsia"/>
          <w:color w:val="000000" w:themeColor="text1"/>
          <w:lang w:val="en-US" w:eastAsia="zh-CN"/>
          <w14:textFill>
            <w14:solidFill>
              <w14:schemeClr w14:val="tx1"/>
            </w14:solidFill>
          </w14:textFill>
        </w:rPr>
        <w:t>5</w:t>
      </w:r>
      <w:r>
        <w:rPr>
          <w:color w:val="000000" w:themeColor="text1"/>
          <w14:textFill>
            <w14:solidFill>
              <w14:schemeClr w14:val="tx1"/>
            </w14:solidFill>
          </w14:textFill>
        </w:rPr>
        <w:t>.</w:t>
      </w:r>
      <w:r>
        <w:rPr>
          <w:rFonts w:cs="宋体"/>
          <w:color w:val="000000" w:themeColor="text1"/>
          <w:spacing w:val="1"/>
          <w14:textFill>
            <w14:solidFill>
              <w14:schemeClr w14:val="tx1"/>
            </w14:solidFill>
          </w14:textFill>
        </w:rPr>
        <w:t>质量保证和试验</w:t>
      </w:r>
      <w:bookmarkEnd w:id="31"/>
    </w:p>
    <w:p w14:paraId="01C33E45">
      <w:pPr>
        <w:keepLines w:val="0"/>
        <w:pageBreakBefore w:val="0"/>
        <w:kinsoku/>
        <w:wordWrap/>
        <w:bidi w:val="0"/>
        <w:spacing w:line="500" w:lineRule="exact"/>
        <w:ind w:left="410"/>
        <w:rPr>
          <w:b/>
          <w:bCs/>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5.</w:t>
      </w:r>
      <w:r>
        <w:rPr>
          <w:color w:val="000000" w:themeColor="text1"/>
          <w14:textFill>
            <w14:solidFill>
              <w14:schemeClr w14:val="tx1"/>
            </w14:solidFill>
          </w14:textFill>
        </w:rPr>
        <w:t xml:space="preserve">1 </w:t>
      </w:r>
      <w:r>
        <w:rPr>
          <w:rFonts w:hint="eastAsia" w:cs="宋体"/>
          <w:color w:val="000000" w:themeColor="text1"/>
          <w:spacing w:val="-2"/>
          <w:lang w:eastAsia="zh-CN"/>
          <w14:textFill>
            <w14:solidFill>
              <w14:schemeClr w14:val="tx1"/>
            </w14:solidFill>
          </w14:textFill>
        </w:rPr>
        <w:t>投标人</w:t>
      </w:r>
      <w:r>
        <w:rPr>
          <w:rFonts w:cs="宋体"/>
          <w:color w:val="000000" w:themeColor="text1"/>
          <w:spacing w:val="-2"/>
          <w14:textFill>
            <w14:solidFill>
              <w14:schemeClr w14:val="tx1"/>
            </w14:solidFill>
          </w14:textFill>
        </w:rPr>
        <w:t>提供的设备试验标准应符合国标、行标及</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IEC</w:t>
      </w:r>
      <w:r>
        <w:rPr>
          <w:color w:val="000000" w:themeColor="text1"/>
          <w:spacing w:val="1"/>
          <w14:textFill>
            <w14:solidFill>
              <w14:schemeClr w14:val="tx1"/>
            </w14:solidFill>
          </w14:textFill>
        </w:rPr>
        <w:t xml:space="preserve"> </w:t>
      </w:r>
      <w:r>
        <w:rPr>
          <w:rFonts w:cs="宋体"/>
          <w:color w:val="000000" w:themeColor="text1"/>
          <w14:textFill>
            <w14:solidFill>
              <w14:schemeClr w14:val="tx1"/>
            </w14:solidFill>
          </w14:textFill>
        </w:rPr>
        <w:t>的有关规</w:t>
      </w:r>
      <w:r>
        <w:rPr>
          <w:rFonts w:cs="宋体"/>
          <w:color w:val="000000" w:themeColor="text1"/>
          <w:spacing w:val="1"/>
          <w14:textFill>
            <w14:solidFill>
              <w14:schemeClr w14:val="tx1"/>
            </w14:solidFill>
          </w14:textFill>
        </w:rPr>
        <w:t>范，</w:t>
      </w:r>
      <w:r>
        <w:rPr>
          <w:rFonts w:cs="宋体"/>
          <w:b/>
          <w:bCs/>
          <w:color w:val="000000" w:themeColor="text1"/>
          <w:spacing w:val="1"/>
          <w14:textFill>
            <w14:solidFill>
              <w14:schemeClr w14:val="tx1"/>
            </w14:solidFill>
          </w14:textFill>
        </w:rPr>
        <w:t>并提供中国合格评定国家认可委员会</w:t>
      </w:r>
      <w:r>
        <w:rPr>
          <w:rFonts w:hint="eastAsia" w:cs="宋体"/>
          <w:b/>
          <w:bCs/>
          <w:color w:val="000000" w:themeColor="text1"/>
          <w:spacing w:val="1"/>
          <w14:textFill>
            <w14:solidFill>
              <w14:schemeClr w14:val="tx1"/>
            </w14:solidFill>
          </w14:textFill>
        </w:rPr>
        <w:t>(CNAS)</w:t>
      </w:r>
      <w:r>
        <w:rPr>
          <w:rFonts w:cs="宋体"/>
          <w:b/>
          <w:bCs/>
          <w:color w:val="000000" w:themeColor="text1"/>
          <w:spacing w:val="1"/>
          <w14:textFill>
            <w14:solidFill>
              <w14:schemeClr w14:val="tx1"/>
            </w14:solidFill>
          </w14:textFill>
        </w:rPr>
        <w:t>认可的校准机构出具的检定</w:t>
      </w:r>
      <w:r>
        <w:rPr>
          <w:b/>
          <w:bCs/>
          <w:color w:val="000000" w:themeColor="text1"/>
          <w:spacing w:val="3"/>
          <w14:textFill>
            <w14:solidFill>
              <w14:schemeClr w14:val="tx1"/>
            </w14:solidFill>
          </w14:textFill>
        </w:rPr>
        <w:t>/</w:t>
      </w:r>
      <w:r>
        <w:rPr>
          <w:rFonts w:cs="宋体"/>
          <w:b/>
          <w:bCs/>
          <w:color w:val="000000" w:themeColor="text1"/>
          <w:spacing w:val="1"/>
          <w14:textFill>
            <w14:solidFill>
              <w14:schemeClr w14:val="tx1"/>
            </w14:solidFill>
          </w14:textFill>
        </w:rPr>
        <w:t>校准报告、</w:t>
      </w:r>
      <w:r>
        <w:rPr>
          <w:rFonts w:cs="宋体"/>
          <w:b/>
          <w:bCs/>
          <w:color w:val="000000" w:themeColor="text1"/>
          <w14:textFill>
            <w14:solidFill>
              <w14:schemeClr w14:val="tx1"/>
            </w14:solidFill>
          </w14:textFill>
        </w:rPr>
        <w:t>出厂试验报告及产品合格证；</w:t>
      </w:r>
    </w:p>
    <w:p w14:paraId="298E3F86">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5.</w:t>
      </w:r>
      <w:r>
        <w:rPr>
          <w:color w:val="000000" w:themeColor="text1"/>
          <w14:textFill>
            <w14:solidFill>
              <w14:schemeClr w14:val="tx1"/>
            </w14:solidFill>
          </w14:textFill>
        </w:rPr>
        <w:t>2</w:t>
      </w:r>
      <w:r>
        <w:rPr>
          <w:color w:val="000000" w:themeColor="text1"/>
          <w:spacing w:val="60"/>
          <w14:textFill>
            <w14:solidFill>
              <w14:schemeClr w14:val="tx1"/>
            </w14:solidFill>
          </w14:textFill>
        </w:rPr>
        <w:t xml:space="preserve"> </w:t>
      </w:r>
      <w:r>
        <w:rPr>
          <w:rFonts w:hint="eastAsia" w:cs="宋体"/>
          <w:color w:val="000000" w:themeColor="text1"/>
          <w:lang w:eastAsia="zh-CN"/>
          <w14:textFill>
            <w14:solidFill>
              <w14:schemeClr w14:val="tx1"/>
            </w14:solidFill>
          </w14:textFill>
        </w:rPr>
        <w:t>投标人</w:t>
      </w:r>
      <w:r>
        <w:rPr>
          <w:rFonts w:cs="宋体"/>
          <w:color w:val="000000" w:themeColor="text1"/>
          <w14:textFill>
            <w14:solidFill>
              <w14:schemeClr w14:val="tx1"/>
            </w14:solidFill>
          </w14:textFill>
        </w:rPr>
        <w:t>所生产的该装置所选用的主要元器件均为目前</w:t>
      </w:r>
      <w:r>
        <w:rPr>
          <w:rFonts w:hint="eastAsia" w:cs="宋体"/>
          <w:color w:val="000000" w:themeColor="text1"/>
          <w14:textFill>
            <w14:solidFill>
              <w14:schemeClr w14:val="tx1"/>
            </w14:solidFill>
          </w14:textFill>
        </w:rPr>
        <w:t>国内</w:t>
      </w:r>
      <w:r>
        <w:rPr>
          <w:rFonts w:cs="宋体"/>
          <w:color w:val="000000" w:themeColor="text1"/>
          <w14:textFill>
            <w14:solidFill>
              <w14:schemeClr w14:val="tx1"/>
            </w14:solidFill>
          </w14:textFill>
        </w:rPr>
        <w:t>先进的器件；所有的材料供应商都具有良好的质量保证体系，确保材料的质量。</w:t>
      </w:r>
    </w:p>
    <w:p w14:paraId="6C0BE631">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5.</w:t>
      </w:r>
      <w:r>
        <w:rPr>
          <w:color w:val="000000" w:themeColor="text1"/>
          <w14:textFill>
            <w14:solidFill>
              <w14:schemeClr w14:val="tx1"/>
            </w14:solidFill>
          </w14:textFill>
        </w:rPr>
        <w:t>3</w:t>
      </w:r>
      <w:r>
        <w:rPr>
          <w:color w:val="000000" w:themeColor="text1"/>
          <w:spacing w:val="60"/>
          <w14:textFill>
            <w14:solidFill>
              <w14:schemeClr w14:val="tx1"/>
            </w14:solidFill>
          </w14:textFill>
        </w:rPr>
        <w:t xml:space="preserve"> </w:t>
      </w:r>
      <w:r>
        <w:rPr>
          <w:rFonts w:cs="宋体"/>
          <w:color w:val="000000" w:themeColor="text1"/>
          <w:spacing w:val="-2"/>
          <w14:textFill>
            <w14:solidFill>
              <w14:schemeClr w14:val="tx1"/>
            </w14:solidFill>
          </w14:textFill>
        </w:rPr>
        <w:t>所有产品在生产过程的各个环节都得到有效的检验和控制，出厂前均通</w:t>
      </w:r>
      <w:r>
        <w:rPr>
          <w:rFonts w:cs="宋体"/>
          <w:color w:val="000000" w:themeColor="text1"/>
          <w:spacing w:val="3"/>
          <w14:textFill>
            <w14:solidFill>
              <w14:schemeClr w14:val="tx1"/>
            </w14:solidFill>
          </w14:textFill>
        </w:rPr>
        <w:t>过严格的出厂试验。</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须配备有完善的检验器具和设备，考核设备各项功能</w:t>
      </w:r>
      <w:r>
        <w:rPr>
          <w:rFonts w:cs="宋体"/>
          <w:color w:val="000000" w:themeColor="text1"/>
          <w14:textFill>
            <w14:solidFill>
              <w14:schemeClr w14:val="tx1"/>
            </w14:solidFill>
          </w14:textFill>
        </w:rPr>
        <w:t>指标和保护功能等。</w:t>
      </w:r>
    </w:p>
    <w:p w14:paraId="1DAABE48">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5.</w:t>
      </w:r>
      <w:r>
        <w:rPr>
          <w:color w:val="000000" w:themeColor="text1"/>
          <w14:textFill>
            <w14:solidFill>
              <w14:schemeClr w14:val="tx1"/>
            </w14:solidFill>
          </w14:textFill>
        </w:rPr>
        <w:t>4</w:t>
      </w:r>
      <w:r>
        <w:rPr>
          <w:color w:val="000000" w:themeColor="text1"/>
          <w:spacing w:val="60"/>
          <w14:textFill>
            <w14:solidFill>
              <w14:schemeClr w14:val="tx1"/>
            </w14:solidFill>
          </w14:textFill>
        </w:rPr>
        <w:t xml:space="preserve"> </w:t>
      </w:r>
      <w:r>
        <w:rPr>
          <w:rFonts w:hint="eastAsia" w:cs="宋体"/>
          <w:color w:val="000000" w:themeColor="text1"/>
          <w:lang w:eastAsia="zh-CN"/>
          <w14:textFill>
            <w14:solidFill>
              <w14:schemeClr w14:val="tx1"/>
            </w14:solidFill>
          </w14:textFill>
        </w:rPr>
        <w:t>投标人</w:t>
      </w:r>
      <w:r>
        <w:rPr>
          <w:rFonts w:cs="宋体"/>
          <w:color w:val="000000" w:themeColor="text1"/>
          <w14:textFill>
            <w14:solidFill>
              <w14:schemeClr w14:val="tx1"/>
            </w14:solidFill>
          </w14:textFill>
        </w:rPr>
        <w:t>保证制造过程中的所有工艺、材料试验等均符合采购文件的规定。若采购方根据运行经验要求提供某种外购零部件，采购方须积极配合。</w:t>
      </w:r>
    </w:p>
    <w:p w14:paraId="07FCE549">
      <w:pPr>
        <w:pStyle w:val="4"/>
        <w:bidi w:val="0"/>
        <w:rPr>
          <w:color w:val="000000" w:themeColor="text1"/>
          <w14:textFill>
            <w14:solidFill>
              <w14:schemeClr w14:val="tx1"/>
            </w14:solidFill>
          </w14:textFill>
        </w:rPr>
      </w:pPr>
      <w:bookmarkStart w:id="32" w:name="_Toc18433"/>
      <w:r>
        <w:rPr>
          <w:rFonts w:hint="eastAsia"/>
          <w:color w:val="000000" w:themeColor="text1"/>
          <w:lang w:eastAsia="zh-CN"/>
          <w14:textFill>
            <w14:solidFill>
              <w14:schemeClr w14:val="tx1"/>
            </w14:solidFill>
          </w14:textFill>
        </w:rPr>
        <w:t>6.</w:t>
      </w:r>
      <w:r>
        <w:rPr>
          <w:rFonts w:cs="宋体"/>
          <w:color w:val="000000" w:themeColor="text1"/>
          <w:spacing w:val="1"/>
          <w14:textFill>
            <w14:solidFill>
              <w14:schemeClr w14:val="tx1"/>
            </w14:solidFill>
          </w14:textFill>
        </w:rPr>
        <w:t>包装、运输和储存</w:t>
      </w:r>
      <w:bookmarkEnd w:id="32"/>
    </w:p>
    <w:p w14:paraId="6B26FCAC">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6.</w:t>
      </w:r>
      <w:r>
        <w:rPr>
          <w:color w:val="000000" w:themeColor="text1"/>
          <w14:textFill>
            <w14:solidFill>
              <w14:schemeClr w14:val="tx1"/>
            </w14:solidFill>
          </w14:textFill>
        </w:rPr>
        <w:t xml:space="preserve">1 </w:t>
      </w:r>
      <w:r>
        <w:rPr>
          <w:rFonts w:cs="宋体"/>
          <w:color w:val="000000" w:themeColor="text1"/>
          <w14:textFill>
            <w14:solidFill>
              <w14:schemeClr w14:val="tx1"/>
            </w14:solidFill>
          </w14:textFill>
        </w:rPr>
        <w:t>包装</w:t>
      </w:r>
    </w:p>
    <w:p w14:paraId="7C358374">
      <w:pPr>
        <w:keepLines w:val="0"/>
        <w:pageBreakBefore w:val="0"/>
        <w:kinsoku/>
        <w:wordWrap/>
        <w:bidi w:val="0"/>
        <w:spacing w:line="500" w:lineRule="exact"/>
        <w:ind w:left="410" w:firstLine="492" w:firstLineChars="200"/>
        <w:rPr>
          <w:color w:val="000000" w:themeColor="text1"/>
          <w14:textFill>
            <w14:solidFill>
              <w14:schemeClr w14:val="tx1"/>
            </w14:solidFill>
          </w14:textFill>
        </w:rPr>
      </w:pPr>
      <w:r>
        <w:rPr>
          <w:rFonts w:cs="宋体"/>
          <w:color w:val="000000" w:themeColor="text1"/>
          <w:spacing w:val="3"/>
          <w14:textFill>
            <w14:solidFill>
              <w14:schemeClr w14:val="tx1"/>
            </w14:solidFill>
          </w14:textFill>
        </w:rPr>
        <w:t>主机、附件和资料应全部装入包装箱内，包装箱应采用纸或木箱。装箱时在</w:t>
      </w:r>
      <w:r>
        <w:rPr>
          <w:rFonts w:cs="宋体"/>
          <w:color w:val="000000" w:themeColor="text1"/>
          <w14:textFill>
            <w14:solidFill>
              <w14:schemeClr w14:val="tx1"/>
            </w14:solidFill>
          </w14:textFill>
        </w:rPr>
        <w:t>箱内必须附有装箱清单，包装箱侧面应注明设备名称、规格，两端面应注明轻放、</w:t>
      </w:r>
      <w:r>
        <w:rPr>
          <w:rFonts w:cs="宋体"/>
          <w:color w:val="000000" w:themeColor="text1"/>
          <w:spacing w:val="3"/>
          <w14:textFill>
            <w14:solidFill>
              <w14:schemeClr w14:val="tx1"/>
            </w14:solidFill>
          </w14:textFill>
        </w:rPr>
        <w:t>防雨，各种包装应能确保设备在运输过程中不致遭到损坏、丢失、变形、受潮和</w:t>
      </w:r>
      <w:r>
        <w:rPr>
          <w:rFonts w:cs="宋体"/>
          <w:color w:val="000000" w:themeColor="text1"/>
          <w14:textFill>
            <w14:solidFill>
              <w14:schemeClr w14:val="tx1"/>
            </w14:solidFill>
          </w14:textFill>
        </w:rPr>
        <w:t>腐蚀。</w:t>
      </w:r>
    </w:p>
    <w:p w14:paraId="1A02287D">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6.</w:t>
      </w:r>
      <w:r>
        <w:rPr>
          <w:color w:val="000000" w:themeColor="text1"/>
          <w14:textFill>
            <w14:solidFill>
              <w14:schemeClr w14:val="tx1"/>
            </w14:solidFill>
          </w14:textFill>
        </w:rPr>
        <w:t xml:space="preserve">2 </w:t>
      </w:r>
      <w:r>
        <w:rPr>
          <w:rFonts w:cs="宋体"/>
          <w:color w:val="000000" w:themeColor="text1"/>
          <w14:textFill>
            <w14:solidFill>
              <w14:schemeClr w14:val="tx1"/>
            </w14:solidFill>
          </w14:textFill>
        </w:rPr>
        <w:t>运输</w:t>
      </w:r>
    </w:p>
    <w:p w14:paraId="18C06BEB">
      <w:pPr>
        <w:keepLines w:val="0"/>
        <w:pageBreakBefore w:val="0"/>
        <w:kinsoku/>
        <w:wordWrap/>
        <w:bidi w:val="0"/>
        <w:spacing w:line="500" w:lineRule="exact"/>
        <w:ind w:left="410" w:firstLine="492" w:firstLineChars="200"/>
        <w:rPr>
          <w:color w:val="000000" w:themeColor="text1"/>
          <w14:textFill>
            <w14:solidFill>
              <w14:schemeClr w14:val="tx1"/>
            </w14:solidFill>
          </w14:textFill>
        </w:rPr>
      </w:pPr>
      <w:r>
        <w:rPr>
          <w:rFonts w:cs="宋体"/>
          <w:color w:val="000000" w:themeColor="text1"/>
          <w:spacing w:val="3"/>
          <w14:textFill>
            <w14:solidFill>
              <w14:schemeClr w14:val="tx1"/>
            </w14:solidFill>
          </w14:textFill>
        </w:rPr>
        <w:t>应采取有效的预防措施防止在运输过程中振动给设备造成的影响和损伤，运输过程中的包装应符合运输部门的有关规定，设备及附件经妥善包装或装箱后，</w:t>
      </w:r>
      <w:r>
        <w:rPr>
          <w:rFonts w:cs="宋体"/>
          <w:color w:val="000000" w:themeColor="text1"/>
          <w14:textFill>
            <w14:solidFill>
              <w14:schemeClr w14:val="tx1"/>
            </w14:solidFill>
          </w14:textFill>
        </w:rPr>
        <w:t>在运输过程中尚应采取其它防护措施，以免散失损坏或被盗。</w:t>
      </w:r>
    </w:p>
    <w:p w14:paraId="3F6B5B3B">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6.</w:t>
      </w:r>
      <w:r>
        <w:rPr>
          <w:color w:val="000000" w:themeColor="text1"/>
          <w14:textFill>
            <w14:solidFill>
              <w14:schemeClr w14:val="tx1"/>
            </w14:solidFill>
          </w14:textFill>
        </w:rPr>
        <w:t xml:space="preserve">3 </w:t>
      </w:r>
      <w:r>
        <w:rPr>
          <w:rFonts w:cs="宋体"/>
          <w:color w:val="000000" w:themeColor="text1"/>
          <w14:textFill>
            <w14:solidFill>
              <w14:schemeClr w14:val="tx1"/>
            </w14:solidFill>
          </w14:textFill>
        </w:rPr>
        <w:t>储存</w:t>
      </w:r>
    </w:p>
    <w:p w14:paraId="11FE0F18">
      <w:pPr>
        <w:keepLines w:val="0"/>
        <w:pageBreakBefore w:val="0"/>
        <w:kinsoku/>
        <w:wordWrap/>
        <w:bidi w:val="0"/>
        <w:spacing w:line="500" w:lineRule="exact"/>
        <w:ind w:left="410" w:firstLine="492" w:firstLineChars="200"/>
        <w:rPr>
          <w:color w:val="000000" w:themeColor="text1"/>
          <w14:textFill>
            <w14:solidFill>
              <w14:schemeClr w14:val="tx1"/>
            </w14:solidFill>
          </w14:textFill>
        </w:rPr>
      </w:pPr>
      <w:r>
        <w:rPr>
          <w:rFonts w:cs="宋体"/>
          <w:color w:val="000000" w:themeColor="text1"/>
          <w:spacing w:val="3"/>
          <w14:textFill>
            <w14:solidFill>
              <w14:schemeClr w14:val="tx1"/>
            </w14:solidFill>
          </w14:textFill>
        </w:rPr>
        <w:t>设备及附件应采用防潮包装，并存放在正常环境温度、干燥的室内保管，以</w:t>
      </w:r>
      <w:r>
        <w:rPr>
          <w:rFonts w:cs="宋体"/>
          <w:color w:val="000000" w:themeColor="text1"/>
          <w14:textFill>
            <w14:solidFill>
              <w14:schemeClr w14:val="tx1"/>
            </w14:solidFill>
          </w14:textFill>
        </w:rPr>
        <w:t>防止储存过程中密封破坏而受潮。</w:t>
      </w:r>
    </w:p>
    <w:p w14:paraId="758E38E6">
      <w:pPr>
        <w:pStyle w:val="4"/>
        <w:bidi w:val="0"/>
        <w:rPr>
          <w:rFonts w:hint="default"/>
          <w:color w:val="000000" w:themeColor="text1"/>
          <w:lang w:val="en-US" w:eastAsia="zh-CN"/>
          <w14:textFill>
            <w14:solidFill>
              <w14:schemeClr w14:val="tx1"/>
            </w14:solidFill>
          </w14:textFill>
        </w:rPr>
      </w:pPr>
      <w:bookmarkStart w:id="33" w:name="_Toc22301"/>
      <w:r>
        <w:rPr>
          <w:rFonts w:hint="eastAsia"/>
          <w:color w:val="000000" w:themeColor="text1"/>
          <w:lang w:eastAsia="zh-CN"/>
          <w14:textFill>
            <w14:solidFill>
              <w14:schemeClr w14:val="tx1"/>
            </w14:solidFill>
          </w14:textFill>
        </w:rPr>
        <w:t>7.</w:t>
      </w:r>
      <w:r>
        <w:rPr>
          <w:rFonts w:hint="eastAsia"/>
          <w:color w:val="000000" w:themeColor="text1"/>
          <w14:textFill>
            <w14:solidFill>
              <w14:schemeClr w14:val="tx1"/>
            </w14:solidFill>
          </w14:textFill>
        </w:rPr>
        <w:t>交货时间</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内容及功能验收</w:t>
      </w:r>
      <w:bookmarkEnd w:id="33"/>
    </w:p>
    <w:p w14:paraId="3A5EADB9">
      <w:pPr>
        <w:keepLines w:val="0"/>
        <w:pageBreakBefore w:val="0"/>
        <w:kinsoku/>
        <w:wordWrap/>
        <w:bidi w:val="0"/>
        <w:spacing w:line="500" w:lineRule="exact"/>
        <w:ind w:left="410"/>
        <w:rPr>
          <w:rFonts w:hint="eastAsia"/>
          <w:color w:val="000000" w:themeColor="text1"/>
          <w:lang w:val="en-US" w:eastAsia="zh-CN"/>
          <w14:textFill>
            <w14:solidFill>
              <w14:schemeClr w14:val="tx1"/>
            </w14:solidFill>
          </w14:textFill>
        </w:rPr>
      </w:pPr>
      <w:r>
        <w:rPr>
          <w:rFonts w:hint="eastAsia" w:cs="Times New Roman"/>
          <w:color w:val="000000" w:themeColor="text1"/>
          <w:sz w:val="24"/>
          <w:szCs w:val="24"/>
          <w:highlight w:val="none"/>
          <w:lang w:val="en-US" w:eastAsia="zh-CN"/>
          <w14:textFill>
            <w14:solidFill>
              <w14:schemeClr w14:val="tx1"/>
            </w14:solidFill>
          </w14:textFill>
        </w:rPr>
        <w:t xml:space="preserve">7.1 </w:t>
      </w:r>
      <w:r>
        <w:rPr>
          <w:rFonts w:hint="eastAsia"/>
          <w:color w:val="000000" w:themeColor="text1"/>
          <w:lang w:val="en-US" w:eastAsia="zh-CN"/>
          <w14:textFill>
            <w14:solidFill>
              <w14:schemeClr w14:val="tx1"/>
            </w14:solidFill>
          </w14:textFill>
        </w:rPr>
        <w:t>功能验收</w:t>
      </w:r>
    </w:p>
    <w:p w14:paraId="1F3A34B2">
      <w:pPr>
        <w:keepLines w:val="0"/>
        <w:pageBreakBefore w:val="0"/>
        <w:kinsoku/>
        <w:wordWrap/>
        <w:bidi w:val="0"/>
        <w:spacing w:line="500" w:lineRule="exact"/>
        <w:ind w:left="410"/>
        <w:rPr>
          <w:rFonts w:hint="default"/>
          <w:color w:val="000000" w:themeColor="text1"/>
          <w:lang w:val="en-US" w:eastAsia="zh-CN"/>
          <w14:textFill>
            <w14:solidFill>
              <w14:schemeClr w14:val="tx1"/>
            </w14:solidFill>
          </w14:textFill>
        </w:rPr>
      </w:pPr>
      <w:r>
        <w:rPr>
          <w:rFonts w:hint="eastAsia" w:ascii="宋体" w:hAnsi="宋体" w:eastAsia="宋体" w:cs="Times New Roman"/>
          <w:color w:val="000000" w:themeColor="text1"/>
          <w:sz w:val="24"/>
          <w:szCs w:val="24"/>
          <w:highlight w:val="none"/>
          <w14:textFill>
            <w14:solidFill>
              <w14:schemeClr w14:val="tx1"/>
            </w14:solidFill>
          </w14:textFill>
        </w:rPr>
        <w:t>本标书采购设备</w:t>
      </w:r>
      <w:r>
        <w:rPr>
          <w:rFonts w:ascii="宋体" w:hAnsi="宋体" w:eastAsia="宋体" w:cs="Times New Roman"/>
          <w:color w:val="000000" w:themeColor="text1"/>
          <w:sz w:val="24"/>
          <w:szCs w:val="24"/>
          <w:highlight w:val="none"/>
          <w14:textFill>
            <w14:solidFill>
              <w14:schemeClr w14:val="tx1"/>
            </w14:solidFill>
          </w14:textFill>
        </w:rPr>
        <w:t>应进行现场交接试验</w:t>
      </w:r>
      <w:r>
        <w:rPr>
          <w:rFonts w:hint="eastAsia" w:ascii="宋体" w:hAnsi="宋体" w:eastAsia="宋体" w:cs="Times New Roman"/>
          <w:color w:val="000000" w:themeColor="text1"/>
          <w:sz w:val="24"/>
          <w:szCs w:val="24"/>
          <w:highlight w:val="none"/>
          <w14:textFill>
            <w14:solidFill>
              <w14:schemeClr w14:val="tx1"/>
            </w14:solidFill>
          </w14:textFill>
        </w:rPr>
        <w:t>和功能</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性</w:t>
      </w:r>
      <w:r>
        <w:rPr>
          <w:rFonts w:hint="eastAsia" w:ascii="宋体" w:hAnsi="宋体" w:eastAsia="宋体" w:cs="Times New Roman"/>
          <w:color w:val="000000" w:themeColor="text1"/>
          <w:sz w:val="24"/>
          <w:szCs w:val="24"/>
          <w:highlight w:val="none"/>
          <w14:textFill>
            <w14:solidFill>
              <w14:schemeClr w14:val="tx1"/>
            </w14:solidFill>
          </w14:textFill>
        </w:rPr>
        <w:t>验收</w:t>
      </w:r>
      <w:r>
        <w:rPr>
          <w:rFonts w:ascii="宋体" w:hAnsi="宋体" w:eastAsia="宋体" w:cs="Times New Roman"/>
          <w:color w:val="000000" w:themeColor="text1"/>
          <w:sz w:val="24"/>
          <w:szCs w:val="24"/>
          <w:highlight w:val="none"/>
          <w14:textFill>
            <w14:solidFill>
              <w14:schemeClr w14:val="tx1"/>
            </w14:solidFill>
          </w14:textFill>
        </w:rPr>
        <w:t>。交接试验</w:t>
      </w:r>
      <w:r>
        <w:rPr>
          <w:rFonts w:hint="eastAsia" w:ascii="宋体" w:hAnsi="宋体" w:eastAsia="宋体" w:cs="Times New Roman"/>
          <w:color w:val="000000" w:themeColor="text1"/>
          <w:sz w:val="24"/>
          <w:szCs w:val="24"/>
          <w:highlight w:val="none"/>
          <w14:textFill>
            <w14:solidFill>
              <w14:schemeClr w14:val="tx1"/>
            </w14:solidFill>
          </w14:textFill>
        </w:rPr>
        <w:t>和功能验收</w:t>
      </w:r>
      <w:r>
        <w:rPr>
          <w:rFonts w:ascii="宋体" w:hAnsi="宋体" w:eastAsia="宋体" w:cs="Times New Roman"/>
          <w:color w:val="000000" w:themeColor="text1"/>
          <w:sz w:val="24"/>
          <w:szCs w:val="24"/>
          <w:highlight w:val="none"/>
          <w14:textFill>
            <w14:solidFill>
              <w14:schemeClr w14:val="tx1"/>
            </w14:solidFill>
          </w14:textFill>
        </w:rPr>
        <w:t>是为了确认</w:t>
      </w:r>
      <w:r>
        <w:rPr>
          <w:rFonts w:hint="eastAsia" w:ascii="宋体" w:hAnsi="宋体" w:eastAsia="宋体" w:cs="Times New Roman"/>
          <w:color w:val="000000" w:themeColor="text1"/>
          <w:sz w:val="24"/>
          <w:szCs w:val="24"/>
          <w:highlight w:val="none"/>
          <w14:textFill>
            <w14:solidFill>
              <w14:schemeClr w14:val="tx1"/>
            </w14:solidFill>
          </w14:textFill>
        </w:rPr>
        <w:t>设备</w:t>
      </w:r>
      <w:r>
        <w:rPr>
          <w:rFonts w:ascii="宋体" w:hAnsi="宋体" w:eastAsia="宋体" w:cs="Times New Roman"/>
          <w:color w:val="000000" w:themeColor="text1"/>
          <w:sz w:val="24"/>
          <w:szCs w:val="24"/>
          <w:highlight w:val="none"/>
          <w14:textFill>
            <w14:solidFill>
              <w14:schemeClr w14:val="tx1"/>
            </w14:solidFill>
          </w14:textFill>
        </w:rPr>
        <w:t>经过运输、储存、现场安装或调整等过程后是否存在损坏、各个单元的兼容性、装配是否正确</w:t>
      </w:r>
      <w:r>
        <w:rPr>
          <w:rFonts w:hint="eastAsia" w:ascii="宋体" w:hAnsi="宋体" w:eastAsia="宋体" w:cs="Times New Roman"/>
          <w:color w:val="000000" w:themeColor="text1"/>
          <w:sz w:val="24"/>
          <w:szCs w:val="24"/>
          <w:highlight w:val="none"/>
          <w:lang w:eastAsia="zh-CN"/>
          <w14:textFill>
            <w14:solidFill>
              <w14:schemeClr w14:val="tx1"/>
            </w14:solidFill>
          </w14:textFill>
        </w:rPr>
        <w:t>、</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功能是否符合技术要求</w:t>
      </w:r>
      <w:r>
        <w:rPr>
          <w:rFonts w:ascii="宋体" w:hAnsi="宋体" w:eastAsia="宋体" w:cs="Times New Roman"/>
          <w:color w:val="000000" w:themeColor="text1"/>
          <w:sz w:val="24"/>
          <w:szCs w:val="24"/>
          <w:highlight w:val="none"/>
          <w14:textFill>
            <w14:solidFill>
              <w14:schemeClr w14:val="tx1"/>
            </w14:solidFill>
          </w14:textFill>
        </w:rPr>
        <w:t>。</w:t>
      </w:r>
      <w:r>
        <w:rPr>
          <w:rFonts w:hint="eastAsia" w:ascii="宋体" w:hAnsi="宋体" w:eastAsia="宋体" w:cs="Times New Roman"/>
          <w:color w:val="000000" w:themeColor="text1"/>
          <w:sz w:val="24"/>
          <w:szCs w:val="24"/>
          <w:highlight w:val="none"/>
          <w14:textFill>
            <w14:solidFill>
              <w14:schemeClr w14:val="tx1"/>
            </w14:solidFill>
          </w14:textFill>
        </w:rPr>
        <w:t>本标书采购现场交接试验和设备功能验收应</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严格</w:t>
      </w:r>
      <w:r>
        <w:rPr>
          <w:rFonts w:hint="eastAsia" w:ascii="宋体" w:hAnsi="宋体" w:eastAsia="宋体" w:cs="Times New Roman"/>
          <w:color w:val="000000" w:themeColor="text1"/>
          <w:sz w:val="24"/>
          <w:szCs w:val="24"/>
          <w:highlight w:val="none"/>
          <w14:textFill>
            <w14:solidFill>
              <w14:schemeClr w14:val="tx1"/>
            </w14:solidFill>
          </w14:textFill>
        </w:rPr>
        <w:t>按</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功能及技术参数</w:t>
      </w:r>
      <w:r>
        <w:rPr>
          <w:rFonts w:hint="eastAsia" w:ascii="宋体" w:hAnsi="宋体" w:eastAsia="宋体" w:cs="Times New Roman"/>
          <w:color w:val="000000" w:themeColor="text1"/>
          <w:sz w:val="24"/>
          <w:szCs w:val="24"/>
          <w:highlight w:val="none"/>
          <w14:textFill>
            <w14:solidFill>
              <w14:schemeClr w14:val="tx1"/>
            </w14:solidFill>
          </w14:textFill>
        </w:rPr>
        <w:t>要求执行</w:t>
      </w:r>
      <w:r>
        <w:rPr>
          <w:rFonts w:hint="eastAsia" w:ascii="宋体" w:hAnsi="宋体" w:eastAsia="宋体" w:cs="Times New Roman"/>
          <w:color w:val="000000" w:themeColor="text1"/>
          <w:sz w:val="24"/>
          <w:szCs w:val="24"/>
          <w:highlight w:val="none"/>
          <w:lang w:eastAsia="zh-CN"/>
          <w14:textFill>
            <w14:solidFill>
              <w14:schemeClr w14:val="tx1"/>
            </w14:solidFill>
          </w14:textFill>
        </w:rPr>
        <w:t>，</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如实际供货产品与招标采购所需功能及技术参数不符，视为虚假中标，</w:t>
      </w:r>
      <w:r>
        <w:rPr>
          <w:rFonts w:hint="eastAsia" w:cs="Times New Roman"/>
          <w:b/>
          <w:bCs/>
          <w:color w:val="000000" w:themeColor="text1"/>
          <w:sz w:val="24"/>
          <w:szCs w:val="24"/>
          <w:highlight w:val="none"/>
          <w:lang w:val="en-US" w:eastAsia="zh-CN"/>
          <w14:textFill>
            <w14:solidFill>
              <w14:schemeClr w14:val="tx1"/>
            </w14:solidFill>
          </w14:textFill>
        </w:rPr>
        <w:t>有权进行</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退货处理</w:t>
      </w:r>
      <w:r>
        <w:rPr>
          <w:rFonts w:hint="eastAsia" w:cs="Times New Roman"/>
          <w:b/>
          <w:bCs/>
          <w:color w:val="000000" w:themeColor="text1"/>
          <w:sz w:val="24"/>
          <w:szCs w:val="24"/>
          <w:highlight w:val="none"/>
          <w:lang w:val="en-US" w:eastAsia="zh-CN"/>
          <w14:textFill>
            <w14:solidFill>
              <w14:schemeClr w14:val="tx1"/>
            </w14:solidFill>
          </w14:textFill>
        </w:rPr>
        <w:t>，</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并</w:t>
      </w:r>
      <w:r>
        <w:rPr>
          <w:rFonts w:hint="eastAsia"/>
          <w:b/>
          <w:bCs/>
          <w:color w:val="000000" w:themeColor="text1"/>
          <w:lang w:val="en-US" w:eastAsia="zh-CN"/>
          <w14:textFill>
            <w14:solidFill>
              <w14:schemeClr w14:val="tx1"/>
            </w14:solidFill>
          </w14:textFill>
        </w:rPr>
        <w:t>按照《中国南方电网有限责任公司供应商不良行为处理管理细则》进行处理，同时纳入履约评价。</w:t>
      </w:r>
    </w:p>
    <w:p w14:paraId="25B10458">
      <w:pPr>
        <w:keepLines w:val="0"/>
        <w:pageBreakBefore w:val="0"/>
        <w:kinsoku/>
        <w:wordWrap/>
        <w:bidi w:val="0"/>
        <w:spacing w:line="500" w:lineRule="exact"/>
        <w:ind w:left="410"/>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7.</w:t>
      </w:r>
      <w:r>
        <w:rPr>
          <w:rFonts w:hint="eastAsia"/>
          <w:color w:val="000000" w:themeColor="text1"/>
          <w14:textFill>
            <w14:solidFill>
              <w14:schemeClr w14:val="tx1"/>
            </w14:solidFill>
          </w14:textFill>
        </w:rPr>
        <w:t>2 交货期：合同签订后</w:t>
      </w:r>
      <w:r>
        <w:rPr>
          <w:rFonts w:hint="eastAsia"/>
          <w:color w:val="000000" w:themeColor="text1"/>
          <w:lang w:val="en-US" w:eastAsia="zh-CN"/>
          <w14:textFill>
            <w14:solidFill>
              <w14:schemeClr w14:val="tx1"/>
            </w14:solidFill>
          </w14:textFill>
        </w:rPr>
        <w:t>15</w:t>
      </w:r>
      <w:r>
        <w:rPr>
          <w:rFonts w:hint="eastAsia"/>
          <w:color w:val="000000" w:themeColor="text1"/>
          <w14:textFill>
            <w14:solidFill>
              <w14:schemeClr w14:val="tx1"/>
            </w14:solidFill>
          </w14:textFill>
        </w:rPr>
        <w:t>天内。</w:t>
      </w:r>
    </w:p>
    <w:p w14:paraId="570841E9">
      <w:pPr>
        <w:keepLines w:val="0"/>
        <w:pageBreakBefore w:val="0"/>
        <w:kinsoku/>
        <w:wordWrap/>
        <w:bidi w:val="0"/>
        <w:spacing w:line="500" w:lineRule="exact"/>
        <w:ind w:left="410"/>
        <w:rPr>
          <w:rFonts w:hint="eastAsia" w:ascii="宋体" w:hAnsi="宋体" w:eastAsia="宋体"/>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7.3 交货资料：</w:t>
      </w:r>
      <w:r>
        <w:rPr>
          <w:rFonts w:hint="eastAsia" w:ascii="宋体" w:hAnsi="宋体" w:eastAsia="宋体"/>
          <w:color w:val="000000" w:themeColor="text1"/>
          <w:sz w:val="24"/>
          <w14:textFill>
            <w14:solidFill>
              <w14:schemeClr w14:val="tx1"/>
            </w14:solidFill>
          </w14:textFill>
        </w:rPr>
        <w:t>随产品提供的技术资料应完整无缺，并为中文版本。</w:t>
      </w:r>
    </w:p>
    <w:p w14:paraId="137AB2F2">
      <w:pPr>
        <w:pStyle w:val="31"/>
        <w:ind w:firstLine="0" w:firstLineChars="0"/>
        <w:rPr>
          <w:rFonts w:hint="eastAsia" w:ascii="宋体" w:hAnsi="宋体" w:eastAsia="宋体"/>
          <w:color w:val="000000" w:themeColor="text1"/>
          <w:sz w:val="24"/>
          <w14:textFill>
            <w14:solidFill>
              <w14:schemeClr w14:val="tx1"/>
            </w14:solidFill>
          </w14:textFill>
        </w:rPr>
      </w:pPr>
      <w:r>
        <w:rPr>
          <w:rFonts w:hint="eastAsia" w:ascii="宋体" w:hAnsi="宋体" w:eastAsia="宋体"/>
          <w:b w:val="0"/>
          <w:bCs w:val="0"/>
          <w:color w:val="000000" w:themeColor="text1"/>
          <w:sz w:val="24"/>
          <w14:textFill>
            <w14:solidFill>
              <w14:schemeClr w14:val="tx1"/>
            </w14:solidFill>
          </w14:textFill>
        </w:rPr>
        <w:t>①装箱资料应包括：</w:t>
      </w:r>
      <w:r>
        <w:rPr>
          <w:rFonts w:hint="eastAsia" w:ascii="宋体" w:hAnsi="宋体" w:eastAsia="宋体"/>
          <w:color w:val="000000" w:themeColor="text1"/>
          <w:sz w:val="24"/>
          <w14:textFill>
            <w14:solidFill>
              <w14:schemeClr w14:val="tx1"/>
            </w14:solidFill>
          </w14:textFill>
        </w:rPr>
        <w:t>仪器清单，出厂合格证，说明书，</w:t>
      </w:r>
      <w:r>
        <w:rPr>
          <w:rFonts w:hint="eastAsia" w:cs="宋体"/>
          <w:color w:val="000000" w:themeColor="text1"/>
          <w:spacing w:val="1"/>
          <w:lang w:val="en-US" w:eastAsia="zh-CN"/>
          <w14:textFill>
            <w14:solidFill>
              <w14:schemeClr w14:val="tx1"/>
            </w14:solidFill>
          </w14:textFill>
        </w:rPr>
        <w:t>第三方校准</w:t>
      </w:r>
      <w:r>
        <w:rPr>
          <w:rFonts w:cs="宋体"/>
          <w:color w:val="000000" w:themeColor="text1"/>
          <w:spacing w:val="1"/>
          <w14:textFill>
            <w14:solidFill>
              <w14:schemeClr w14:val="tx1"/>
            </w14:solidFill>
          </w14:textFill>
        </w:rPr>
        <w:t>报告</w:t>
      </w:r>
      <w:r>
        <w:rPr>
          <w:rFonts w:hint="eastAsia" w:ascii="宋体" w:hAnsi="宋体" w:eastAsia="宋体"/>
          <w:color w:val="000000" w:themeColor="text1"/>
          <w:sz w:val="24"/>
          <w14:textFill>
            <w14:solidFill>
              <w14:schemeClr w14:val="tx1"/>
            </w14:solidFill>
          </w14:textFill>
        </w:rPr>
        <w:t>报告。</w:t>
      </w:r>
    </w:p>
    <w:p w14:paraId="0EFDD5A1">
      <w:pPr>
        <w:pStyle w:val="31"/>
        <w:ind w:firstLine="0" w:firstLineChars="0"/>
        <w:rPr>
          <w:rFonts w:hint="eastAsia"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②使用说明书、技术说明书以及配套产品资料等各4份，另提供电子版全套资料1份。</w:t>
      </w:r>
    </w:p>
    <w:p w14:paraId="0C310ADD">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b/>
          <w:bCs/>
          <w:color w:val="000000" w:themeColor="text1"/>
          <w:lang w:val="en-US" w:eastAsia="zh-CN"/>
          <w14:textFill>
            <w14:solidFill>
              <w14:schemeClr w14:val="tx1"/>
            </w14:solidFill>
          </w14:textFill>
        </w:rPr>
        <w:t>其中设备</w:t>
      </w:r>
      <w:r>
        <w:rPr>
          <w:rFonts w:hint="eastAsia" w:cs="宋体"/>
          <w:b/>
          <w:bCs/>
          <w:color w:val="000000" w:themeColor="text1"/>
          <w:spacing w:val="1"/>
          <w:lang w:val="en-US" w:eastAsia="zh-CN"/>
          <w14:textFill>
            <w14:solidFill>
              <w14:schemeClr w14:val="tx1"/>
            </w14:solidFill>
          </w14:textFill>
        </w:rPr>
        <w:t>校准</w:t>
      </w:r>
      <w:r>
        <w:rPr>
          <w:rFonts w:cs="宋体"/>
          <w:b/>
          <w:bCs/>
          <w:color w:val="000000" w:themeColor="text1"/>
          <w:spacing w:val="1"/>
          <w14:textFill>
            <w14:solidFill>
              <w14:schemeClr w14:val="tx1"/>
            </w14:solidFill>
          </w14:textFill>
        </w:rPr>
        <w:t>报告</w:t>
      </w:r>
      <w:r>
        <w:rPr>
          <w:rFonts w:hint="eastAsia" w:cs="宋体"/>
          <w:b/>
          <w:bCs/>
          <w:color w:val="000000" w:themeColor="text1"/>
          <w:spacing w:val="1"/>
          <w:lang w:val="en-US" w:eastAsia="zh-CN"/>
          <w14:textFill>
            <w14:solidFill>
              <w14:schemeClr w14:val="tx1"/>
            </w14:solidFill>
          </w14:textFill>
        </w:rPr>
        <w:t>需经</w:t>
      </w:r>
      <w:r>
        <w:rPr>
          <w:rFonts w:cs="宋体"/>
          <w:b/>
          <w:bCs/>
          <w:color w:val="000000" w:themeColor="text1"/>
          <w:spacing w:val="1"/>
          <w14:textFill>
            <w14:solidFill>
              <w14:schemeClr w14:val="tx1"/>
            </w14:solidFill>
          </w14:textFill>
        </w:rPr>
        <w:t>中国合格评定国家认可委员会</w:t>
      </w:r>
      <w:r>
        <w:rPr>
          <w:rFonts w:hint="eastAsia" w:cs="宋体"/>
          <w:b/>
          <w:bCs/>
          <w:color w:val="000000" w:themeColor="text1"/>
          <w:spacing w:val="1"/>
          <w14:textFill>
            <w14:solidFill>
              <w14:schemeClr w14:val="tx1"/>
            </w14:solidFill>
          </w14:textFill>
        </w:rPr>
        <w:t>(CNAS)</w:t>
      </w:r>
      <w:r>
        <w:rPr>
          <w:rFonts w:cs="宋体"/>
          <w:b/>
          <w:bCs/>
          <w:color w:val="000000" w:themeColor="text1"/>
          <w:spacing w:val="1"/>
          <w14:textFill>
            <w14:solidFill>
              <w14:schemeClr w14:val="tx1"/>
            </w14:solidFill>
          </w14:textFill>
        </w:rPr>
        <w:t>认可的校准机构出具</w:t>
      </w:r>
      <w:r>
        <w:rPr>
          <w:rFonts w:hint="eastAsia" w:cs="宋体"/>
          <w:b/>
          <w:bCs/>
          <w:color w:val="000000" w:themeColor="text1"/>
          <w:spacing w:val="1"/>
          <w:lang w:eastAsia="zh-CN"/>
          <w14:textFill>
            <w14:solidFill>
              <w14:schemeClr w14:val="tx1"/>
            </w14:solidFill>
          </w14:textFill>
        </w:rPr>
        <w:t>。</w:t>
      </w:r>
    </w:p>
    <w:p w14:paraId="6C3AE994">
      <w:pPr>
        <w:pStyle w:val="4"/>
        <w:bidi w:val="0"/>
        <w:rPr>
          <w:color w:val="000000" w:themeColor="text1"/>
          <w14:textFill>
            <w14:solidFill>
              <w14:schemeClr w14:val="tx1"/>
            </w14:solidFill>
          </w14:textFill>
        </w:rPr>
      </w:pPr>
      <w:bookmarkStart w:id="34" w:name="_Toc25792"/>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.供货范围清单</w:t>
      </w:r>
      <w:bookmarkEnd w:id="34"/>
    </w:p>
    <w:tbl>
      <w:tblPr>
        <w:tblStyle w:val="12"/>
        <w:tblW w:w="4852" w:type="pct"/>
        <w:tblInd w:w="2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fixed"/>
        <w:tblCellMar>
          <w:top w:w="0" w:type="dxa"/>
          <w:left w:w="108" w:type="dxa"/>
          <w:bottom w:w="0" w:type="dxa"/>
          <w:right w:w="108" w:type="dxa"/>
        </w:tblCellMar>
      </w:tblPr>
      <w:tblGrid>
        <w:gridCol w:w="1061"/>
        <w:gridCol w:w="3414"/>
        <w:gridCol w:w="1577"/>
        <w:gridCol w:w="1105"/>
        <w:gridCol w:w="780"/>
        <w:gridCol w:w="1491"/>
      </w:tblGrid>
      <w:tr w14:paraId="22729A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FE25F">
            <w:pPr>
              <w:keepLines w:val="0"/>
              <w:pageBreakBefore w:val="0"/>
              <w:kinsoku/>
              <w:wordWrap/>
              <w:bidi w:val="0"/>
              <w:spacing w:line="500" w:lineRule="exact"/>
              <w:ind w:left="0" w:left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810" w:type="pct"/>
            <w:vMerge w:val="restart"/>
            <w:tcBorders>
              <w:top w:val="single" w:color="auto" w:sz="4" w:space="0"/>
              <w:left w:val="single" w:color="auto" w:sz="4" w:space="0"/>
              <w:right w:val="single" w:color="auto" w:sz="4" w:space="0"/>
            </w:tcBorders>
            <w:shd w:val="clear" w:color="auto" w:fill="FFFFFF"/>
            <w:vAlign w:val="center"/>
          </w:tcPr>
          <w:p w14:paraId="59C33D39">
            <w:pPr>
              <w:keepLines w:val="0"/>
              <w:pageBreakBefore w:val="0"/>
              <w:kinsoku/>
              <w:wordWrap/>
              <w:bidi w:val="0"/>
              <w:spacing w:line="500" w:lineRule="exact"/>
              <w:ind w:left="41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物资名称</w:t>
            </w:r>
          </w:p>
        </w:tc>
        <w:tc>
          <w:tcPr>
            <w:tcW w:w="2626"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A3DBE5B">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配置要求</w:t>
            </w:r>
          </w:p>
        </w:tc>
      </w:tr>
      <w:tr w14:paraId="659FAD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blHeader/>
        </w:trPr>
        <w:tc>
          <w:tcPr>
            <w:tcW w:w="56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AEA7D">
            <w:pPr>
              <w:keepLines w:val="0"/>
              <w:pageBreakBefore w:val="0"/>
              <w:kinsoku/>
              <w:wordWrap/>
              <w:bidi w:val="0"/>
              <w:spacing w:line="500" w:lineRule="exact"/>
              <w:ind w:left="410"/>
              <w:jc w:val="both"/>
              <w:rPr>
                <w:color w:val="000000" w:themeColor="text1"/>
                <w14:textFill>
                  <w14:solidFill>
                    <w14:schemeClr w14:val="tx1"/>
                  </w14:solidFill>
                </w14:textFill>
              </w:rPr>
            </w:pPr>
          </w:p>
        </w:tc>
        <w:tc>
          <w:tcPr>
            <w:tcW w:w="1810" w:type="pct"/>
            <w:vMerge w:val="continue"/>
            <w:tcBorders>
              <w:left w:val="single" w:color="auto" w:sz="4" w:space="0"/>
              <w:bottom w:val="single" w:color="auto" w:sz="4" w:space="0"/>
              <w:right w:val="single" w:color="auto" w:sz="4" w:space="0"/>
            </w:tcBorders>
            <w:shd w:val="clear" w:color="auto" w:fill="FFFFFF"/>
            <w:vAlign w:val="center"/>
          </w:tcPr>
          <w:p w14:paraId="3076FA43">
            <w:pPr>
              <w:keepLines w:val="0"/>
              <w:pageBreakBefore w:val="0"/>
              <w:kinsoku/>
              <w:wordWrap/>
              <w:bidi w:val="0"/>
              <w:spacing w:line="500" w:lineRule="exact"/>
              <w:ind w:left="410"/>
              <w:jc w:val="both"/>
              <w:rPr>
                <w:color w:val="000000" w:themeColor="text1"/>
                <w14:textFill>
                  <w14:solidFill>
                    <w14:schemeClr w14:val="tx1"/>
                  </w14:solidFill>
                </w14:textFill>
              </w:rPr>
            </w:pP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14:paraId="0CB73435">
            <w:pPr>
              <w:keepLines w:val="0"/>
              <w:pageBreakBefore w:val="0"/>
              <w:kinsoku/>
              <w:wordWrap/>
              <w:bidi w:val="0"/>
              <w:spacing w:line="500" w:lineRule="exact"/>
              <w:ind w:left="0" w:left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规格型号</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69C3628F">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单位</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223396E8">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数量</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6F6DC2F5">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14:paraId="02F682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5A96B98C">
            <w:pPr>
              <w:keepLines w:val="0"/>
              <w:pageBreakBefore w:val="0"/>
              <w:kinsoku/>
              <w:wordWrap/>
              <w:bidi w:val="0"/>
              <w:spacing w:line="500" w:lineRule="exact"/>
              <w:ind w:left="41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3501" w:type="dxa"/>
            <w:tcBorders>
              <w:top w:val="single" w:color="auto" w:sz="4" w:space="0"/>
              <w:left w:val="single" w:color="auto" w:sz="4" w:space="0"/>
              <w:bottom w:val="single" w:color="auto" w:sz="4" w:space="0"/>
              <w:right w:val="single" w:color="auto" w:sz="4" w:space="0"/>
            </w:tcBorders>
            <w:shd w:val="clear" w:color="auto" w:fill="FFFFFF"/>
            <w:vAlign w:val="center"/>
          </w:tcPr>
          <w:p w14:paraId="5BBAE3DE">
            <w:pPr>
              <w:ind w:left="410" w:leftChars="171"/>
              <w:jc w:val="both"/>
              <w:rPr>
                <w:rFonts w:ascii="Arial" w:hAnsi="Arial"/>
                <w:color w:val="000000" w:themeColor="text1"/>
                <w14:textFill>
                  <w14:solidFill>
                    <w14:schemeClr w14:val="tx1"/>
                  </w14:solidFill>
                </w14:textFill>
              </w:rPr>
            </w:pPr>
            <w:r>
              <w:rPr>
                <w:rFonts w:hint="eastAsia"/>
                <w:color w:val="000000" w:themeColor="text1"/>
                <w14:textFill>
                  <w14:solidFill>
                    <w14:schemeClr w14:val="tx1"/>
                  </w14:solidFill>
                </w14:textFill>
              </w:rPr>
              <w:t>主机</w:t>
            </w:r>
          </w:p>
        </w:tc>
        <w:tc>
          <w:tcPr>
            <w:tcW w:w="1617" w:type="dxa"/>
            <w:tcBorders>
              <w:top w:val="single" w:color="auto" w:sz="4" w:space="0"/>
              <w:left w:val="single" w:color="auto" w:sz="4" w:space="0"/>
              <w:bottom w:val="single" w:color="auto" w:sz="4" w:space="0"/>
              <w:right w:val="single" w:color="auto" w:sz="4" w:space="0"/>
            </w:tcBorders>
            <w:shd w:val="clear" w:color="auto" w:fill="FFFFFF"/>
            <w:vAlign w:val="center"/>
          </w:tcPr>
          <w:p w14:paraId="5FE45A72">
            <w:pPr>
              <w:ind w:left="410" w:leftChars="171"/>
              <w:jc w:val="center"/>
              <w:rPr>
                <w:color w:val="000000" w:themeColor="text1"/>
                <w14:textFill>
                  <w14:solidFill>
                    <w14:schemeClr w14:val="tx1"/>
                  </w14:solidFill>
                </w14:textFill>
              </w:rPr>
            </w:pPr>
          </w:p>
        </w:tc>
        <w:tc>
          <w:tcPr>
            <w:tcW w:w="1133" w:type="dxa"/>
            <w:tcBorders>
              <w:top w:val="single" w:color="auto" w:sz="4" w:space="0"/>
              <w:left w:val="single" w:color="auto" w:sz="4" w:space="0"/>
              <w:bottom w:val="single" w:color="auto" w:sz="4" w:space="0"/>
              <w:right w:val="single" w:color="auto" w:sz="4" w:space="0"/>
            </w:tcBorders>
            <w:shd w:val="clear" w:color="auto" w:fill="FFFFFF"/>
            <w:vAlign w:val="center"/>
          </w:tcPr>
          <w:p w14:paraId="4A7050CD">
            <w:pPr>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台</w:t>
            </w:r>
          </w:p>
        </w:tc>
        <w:tc>
          <w:tcPr>
            <w:tcW w:w="800" w:type="dxa"/>
            <w:tcBorders>
              <w:top w:val="single" w:color="auto" w:sz="4" w:space="0"/>
              <w:left w:val="single" w:color="auto" w:sz="4" w:space="0"/>
              <w:bottom w:val="single" w:color="auto" w:sz="4" w:space="0"/>
              <w:right w:val="single" w:color="auto" w:sz="4" w:space="0"/>
            </w:tcBorders>
            <w:shd w:val="clear" w:color="auto" w:fill="FFFFFF"/>
            <w:vAlign w:val="center"/>
          </w:tcPr>
          <w:p w14:paraId="24D3C118">
            <w:pPr>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69E189E4">
            <w:pPr>
              <w:keepLines w:val="0"/>
              <w:pageBreakBefore w:val="0"/>
              <w:kinsoku/>
              <w:wordWrap/>
              <w:bidi w:val="0"/>
              <w:spacing w:line="500" w:lineRule="exact"/>
              <w:ind w:left="410"/>
              <w:jc w:val="center"/>
              <w:rPr>
                <w:color w:val="000000" w:themeColor="text1"/>
                <w14:textFill>
                  <w14:solidFill>
                    <w14:schemeClr w14:val="tx1"/>
                  </w14:solidFill>
                </w14:textFill>
              </w:rPr>
            </w:pPr>
          </w:p>
        </w:tc>
      </w:tr>
      <w:tr w14:paraId="495B8F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2A3D843B">
            <w:pPr>
              <w:keepLines w:val="0"/>
              <w:pageBreakBefore w:val="0"/>
              <w:kinsoku/>
              <w:wordWrap/>
              <w:bidi w:val="0"/>
              <w:spacing w:line="500" w:lineRule="exact"/>
              <w:ind w:left="41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3501" w:type="dxa"/>
            <w:tcBorders>
              <w:top w:val="single" w:color="auto" w:sz="4" w:space="0"/>
              <w:left w:val="single" w:color="auto" w:sz="4" w:space="0"/>
              <w:bottom w:val="single" w:color="auto" w:sz="4" w:space="0"/>
              <w:right w:val="single" w:color="auto" w:sz="4" w:space="0"/>
            </w:tcBorders>
            <w:shd w:val="clear" w:color="auto" w:fill="FFFFFF"/>
            <w:vAlign w:val="center"/>
          </w:tcPr>
          <w:p w14:paraId="26ACA4D1">
            <w:pPr>
              <w:ind w:left="410" w:leftChars="171"/>
              <w:jc w:val="both"/>
              <w:rPr>
                <w:rFonts w:ascii="Arial" w:hAnsi="Arial"/>
                <w:color w:val="000000" w:themeColor="text1"/>
                <w14:textFill>
                  <w14:solidFill>
                    <w14:schemeClr w14:val="tx1"/>
                  </w14:solidFill>
                </w14:textFill>
              </w:rPr>
            </w:pPr>
            <w:r>
              <w:rPr>
                <w:rFonts w:hint="eastAsia"/>
                <w:color w:val="000000" w:themeColor="text1"/>
                <w14:textFill>
                  <w14:solidFill>
                    <w14:schemeClr w14:val="tx1"/>
                  </w14:solidFill>
                </w14:textFill>
              </w:rPr>
              <w:t>电源线</w:t>
            </w:r>
          </w:p>
        </w:tc>
        <w:tc>
          <w:tcPr>
            <w:tcW w:w="1617" w:type="dxa"/>
            <w:tcBorders>
              <w:top w:val="single" w:color="auto" w:sz="4" w:space="0"/>
              <w:left w:val="single" w:color="auto" w:sz="4" w:space="0"/>
              <w:bottom w:val="single" w:color="auto" w:sz="4" w:space="0"/>
              <w:right w:val="single" w:color="auto" w:sz="4" w:space="0"/>
            </w:tcBorders>
            <w:shd w:val="clear" w:color="auto" w:fill="FFFFFF"/>
            <w:vAlign w:val="center"/>
          </w:tcPr>
          <w:p w14:paraId="30978C81">
            <w:pPr>
              <w:ind w:left="410" w:leftChars="171"/>
              <w:jc w:val="center"/>
              <w:rPr>
                <w:color w:val="000000" w:themeColor="text1"/>
                <w14:textFill>
                  <w14:solidFill>
                    <w14:schemeClr w14:val="tx1"/>
                  </w14:solidFill>
                </w14:textFill>
              </w:rPr>
            </w:pPr>
          </w:p>
        </w:tc>
        <w:tc>
          <w:tcPr>
            <w:tcW w:w="1133" w:type="dxa"/>
            <w:tcBorders>
              <w:top w:val="single" w:color="auto" w:sz="4" w:space="0"/>
              <w:left w:val="single" w:color="auto" w:sz="4" w:space="0"/>
              <w:bottom w:val="single" w:color="auto" w:sz="4" w:space="0"/>
              <w:right w:val="single" w:color="auto" w:sz="4" w:space="0"/>
            </w:tcBorders>
            <w:shd w:val="clear" w:color="auto" w:fill="FFFFFF"/>
            <w:vAlign w:val="center"/>
          </w:tcPr>
          <w:p w14:paraId="4154A491">
            <w:pPr>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根</w:t>
            </w:r>
          </w:p>
        </w:tc>
        <w:tc>
          <w:tcPr>
            <w:tcW w:w="800" w:type="dxa"/>
            <w:tcBorders>
              <w:top w:val="single" w:color="auto" w:sz="4" w:space="0"/>
              <w:left w:val="single" w:color="auto" w:sz="4" w:space="0"/>
              <w:bottom w:val="single" w:color="auto" w:sz="4" w:space="0"/>
              <w:right w:val="single" w:color="auto" w:sz="4" w:space="0"/>
            </w:tcBorders>
            <w:shd w:val="clear" w:color="auto" w:fill="FFFFFF"/>
            <w:vAlign w:val="center"/>
          </w:tcPr>
          <w:p w14:paraId="3B1B6EA3">
            <w:pPr>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2979F39D">
            <w:pPr>
              <w:keepLines w:val="0"/>
              <w:pageBreakBefore w:val="0"/>
              <w:kinsoku/>
              <w:wordWrap/>
              <w:bidi w:val="0"/>
              <w:spacing w:line="500" w:lineRule="exact"/>
              <w:ind w:left="410"/>
              <w:jc w:val="center"/>
              <w:rPr>
                <w:color w:val="000000" w:themeColor="text1"/>
                <w14:textFill>
                  <w14:solidFill>
                    <w14:schemeClr w14:val="tx1"/>
                  </w14:solidFill>
                </w14:textFill>
              </w:rPr>
            </w:pPr>
          </w:p>
        </w:tc>
      </w:tr>
      <w:tr w14:paraId="52A6AC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29296698">
            <w:pPr>
              <w:keepLines w:val="0"/>
              <w:pageBreakBefore w:val="0"/>
              <w:kinsoku/>
              <w:wordWrap/>
              <w:bidi w:val="0"/>
              <w:spacing w:line="500" w:lineRule="exact"/>
              <w:ind w:left="410"/>
              <w:jc w:val="both"/>
              <w:rPr>
                <w:color w:val="000000" w:themeColor="text1"/>
                <w14:textFill>
                  <w14:solidFill>
                    <w14:schemeClr w14:val="tx1"/>
                  </w14:solidFill>
                </w14:textFill>
              </w:rPr>
            </w:pPr>
            <w:r>
              <w:rPr>
                <w:color w:val="000000" w:themeColor="text1"/>
                <w14:textFill>
                  <w14:solidFill>
                    <w14:schemeClr w14:val="tx1"/>
                  </w14:solidFill>
                </w14:textFill>
              </w:rPr>
              <w:t>3</w:t>
            </w:r>
          </w:p>
        </w:tc>
        <w:tc>
          <w:tcPr>
            <w:tcW w:w="3501" w:type="dxa"/>
            <w:tcBorders>
              <w:top w:val="single" w:color="auto" w:sz="4" w:space="0"/>
              <w:left w:val="single" w:color="auto" w:sz="4" w:space="0"/>
              <w:bottom w:val="single" w:color="auto" w:sz="4" w:space="0"/>
              <w:right w:val="single" w:color="auto" w:sz="4" w:space="0"/>
            </w:tcBorders>
            <w:shd w:val="clear" w:color="auto" w:fill="FFFFFF"/>
            <w:vAlign w:val="center"/>
          </w:tcPr>
          <w:p w14:paraId="4D38918A">
            <w:pPr>
              <w:ind w:left="410" w:leftChars="171"/>
              <w:jc w:val="both"/>
              <w:rPr>
                <w:rFonts w:ascii="Arial" w:hAnsi="Arial"/>
                <w:color w:val="000000" w:themeColor="text1"/>
                <w14:textFill>
                  <w14:solidFill>
                    <w14:schemeClr w14:val="tx1"/>
                  </w14:solidFill>
                </w14:textFill>
              </w:rPr>
            </w:pPr>
            <w:r>
              <w:rPr>
                <w:rFonts w:hint="eastAsia"/>
                <w:color w:val="000000" w:themeColor="text1"/>
                <w14:textFill>
                  <w14:solidFill>
                    <w14:schemeClr w14:val="tx1"/>
                  </w14:solidFill>
                </w14:textFill>
              </w:rPr>
              <w:t>测试线</w:t>
            </w:r>
          </w:p>
        </w:tc>
        <w:tc>
          <w:tcPr>
            <w:tcW w:w="1617" w:type="dxa"/>
            <w:tcBorders>
              <w:top w:val="single" w:color="auto" w:sz="4" w:space="0"/>
              <w:left w:val="single" w:color="auto" w:sz="4" w:space="0"/>
              <w:bottom w:val="single" w:color="auto" w:sz="4" w:space="0"/>
              <w:right w:val="single" w:color="auto" w:sz="4" w:space="0"/>
            </w:tcBorders>
            <w:shd w:val="clear" w:color="auto" w:fill="FFFFFF"/>
            <w:vAlign w:val="center"/>
          </w:tcPr>
          <w:p w14:paraId="02F1BF0B">
            <w:pPr>
              <w:ind w:left="0" w:leftChars="0"/>
              <w:jc w:val="both"/>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单根8米，双根16米；</w:t>
            </w:r>
          </w:p>
        </w:tc>
        <w:tc>
          <w:tcPr>
            <w:tcW w:w="1133" w:type="dxa"/>
            <w:tcBorders>
              <w:top w:val="single" w:color="auto" w:sz="4" w:space="0"/>
              <w:left w:val="single" w:color="auto" w:sz="4" w:space="0"/>
              <w:bottom w:val="single" w:color="auto" w:sz="4" w:space="0"/>
              <w:right w:val="single" w:color="auto" w:sz="4" w:space="0"/>
            </w:tcBorders>
            <w:shd w:val="clear" w:color="auto" w:fill="FFFFFF"/>
            <w:vAlign w:val="center"/>
          </w:tcPr>
          <w:p w14:paraId="6758192A">
            <w:pPr>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套</w:t>
            </w:r>
          </w:p>
        </w:tc>
        <w:tc>
          <w:tcPr>
            <w:tcW w:w="800" w:type="dxa"/>
            <w:tcBorders>
              <w:top w:val="single" w:color="auto" w:sz="4" w:space="0"/>
              <w:left w:val="single" w:color="auto" w:sz="4" w:space="0"/>
              <w:bottom w:val="single" w:color="auto" w:sz="4" w:space="0"/>
              <w:right w:val="single" w:color="auto" w:sz="4" w:space="0"/>
            </w:tcBorders>
            <w:shd w:val="clear" w:color="auto" w:fill="FFFFFF"/>
            <w:vAlign w:val="center"/>
          </w:tcPr>
          <w:p w14:paraId="7D11BFE9">
            <w:pPr>
              <w:ind w:left="0" w:leftChars="0"/>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698F4934">
            <w:pPr>
              <w:keepLines w:val="0"/>
              <w:pageBreakBefore w:val="0"/>
              <w:kinsoku/>
              <w:wordWrap/>
              <w:bidi w:val="0"/>
              <w:spacing w:line="500" w:lineRule="exact"/>
              <w:ind w:left="410"/>
              <w:jc w:val="center"/>
              <w:rPr>
                <w:color w:val="000000" w:themeColor="text1"/>
                <w14:textFill>
                  <w14:solidFill>
                    <w14:schemeClr w14:val="tx1"/>
                  </w14:solidFill>
                </w14:textFill>
              </w:rPr>
            </w:pPr>
          </w:p>
        </w:tc>
      </w:tr>
      <w:tr w14:paraId="27955F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79D61266">
            <w:pPr>
              <w:keepLines w:val="0"/>
              <w:pageBreakBefore w:val="0"/>
              <w:kinsoku/>
              <w:wordWrap/>
              <w:bidi w:val="0"/>
              <w:spacing w:line="500" w:lineRule="exact"/>
              <w:ind w:left="410"/>
              <w:jc w:val="both"/>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c>
          <w:tcPr>
            <w:tcW w:w="3501" w:type="dxa"/>
            <w:tcBorders>
              <w:top w:val="single" w:color="auto" w:sz="4" w:space="0"/>
              <w:left w:val="single" w:color="auto" w:sz="4" w:space="0"/>
              <w:bottom w:val="single" w:color="auto" w:sz="4" w:space="0"/>
              <w:right w:val="single" w:color="auto" w:sz="4" w:space="0"/>
            </w:tcBorders>
            <w:shd w:val="clear" w:color="auto" w:fill="FFFFFF"/>
            <w:vAlign w:val="center"/>
          </w:tcPr>
          <w:p w14:paraId="4393C12D">
            <w:pPr>
              <w:ind w:left="410" w:leftChars="171"/>
              <w:jc w:val="both"/>
              <w:rPr>
                <w:rFonts w:hint="eastAsia"/>
                <w:color w:val="000000" w:themeColor="text1"/>
                <w:kern w:val="0"/>
                <w:lang w:eastAsia="zh-CN"/>
                <w14:textFill>
                  <w14:solidFill>
                    <w14:schemeClr w14:val="tx1"/>
                  </w14:solidFill>
                </w14:textFill>
              </w:rPr>
            </w:pPr>
            <w:r>
              <w:rPr>
                <w:rFonts w:hint="eastAsia"/>
                <w:color w:val="000000" w:themeColor="text1"/>
                <w14:textFill>
                  <w14:solidFill>
                    <w14:schemeClr w14:val="tx1"/>
                  </w14:solidFill>
                </w14:textFill>
              </w:rPr>
              <w:t>接地线</w:t>
            </w:r>
          </w:p>
        </w:tc>
        <w:tc>
          <w:tcPr>
            <w:tcW w:w="1617" w:type="dxa"/>
            <w:tcBorders>
              <w:top w:val="single" w:color="auto" w:sz="4" w:space="0"/>
              <w:left w:val="single" w:color="auto" w:sz="4" w:space="0"/>
              <w:bottom w:val="single" w:color="auto" w:sz="4" w:space="0"/>
              <w:right w:val="single" w:color="auto" w:sz="4" w:space="0"/>
            </w:tcBorders>
            <w:shd w:val="clear" w:color="auto" w:fill="FFFFFF"/>
            <w:vAlign w:val="center"/>
          </w:tcPr>
          <w:p w14:paraId="72150F3C">
            <w:pPr>
              <w:ind w:left="410" w:leftChars="171"/>
              <w:jc w:val="center"/>
              <w:rPr>
                <w:rFonts w:hint="eastAsia"/>
                <w:color w:val="000000" w:themeColor="text1"/>
                <w:lang w:val="en-US" w:eastAsia="zh-CN"/>
                <w14:textFill>
                  <w14:solidFill>
                    <w14:schemeClr w14:val="tx1"/>
                  </w14:solidFill>
                </w14:textFill>
              </w:rPr>
            </w:pPr>
          </w:p>
        </w:tc>
        <w:tc>
          <w:tcPr>
            <w:tcW w:w="1133" w:type="dxa"/>
            <w:tcBorders>
              <w:top w:val="single" w:color="auto" w:sz="4" w:space="0"/>
              <w:left w:val="single" w:color="auto" w:sz="4" w:space="0"/>
              <w:bottom w:val="single" w:color="auto" w:sz="4" w:space="0"/>
              <w:right w:val="single" w:color="auto" w:sz="4" w:space="0"/>
            </w:tcBorders>
            <w:shd w:val="clear" w:color="auto" w:fill="FFFFFF"/>
            <w:vAlign w:val="center"/>
          </w:tcPr>
          <w:p w14:paraId="091204D2">
            <w:pPr>
              <w:ind w:left="0" w:leftChars="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根</w:t>
            </w:r>
          </w:p>
        </w:tc>
        <w:tc>
          <w:tcPr>
            <w:tcW w:w="800" w:type="dxa"/>
            <w:tcBorders>
              <w:top w:val="single" w:color="auto" w:sz="4" w:space="0"/>
              <w:left w:val="single" w:color="auto" w:sz="4" w:space="0"/>
              <w:bottom w:val="single" w:color="auto" w:sz="4" w:space="0"/>
              <w:right w:val="single" w:color="auto" w:sz="4" w:space="0"/>
            </w:tcBorders>
            <w:shd w:val="clear" w:color="auto" w:fill="FFFFFF"/>
            <w:vAlign w:val="center"/>
          </w:tcPr>
          <w:p w14:paraId="61B3FEF0">
            <w:pPr>
              <w:ind w:left="0" w:leftChars="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13A10B43">
            <w:pPr>
              <w:keepLines w:val="0"/>
              <w:pageBreakBefore w:val="0"/>
              <w:kinsoku/>
              <w:wordWrap/>
              <w:bidi w:val="0"/>
              <w:spacing w:line="500" w:lineRule="exact"/>
              <w:ind w:left="410"/>
              <w:jc w:val="center"/>
              <w:rPr>
                <w:color w:val="000000" w:themeColor="text1"/>
                <w14:textFill>
                  <w14:solidFill>
                    <w14:schemeClr w14:val="tx1"/>
                  </w14:solidFill>
                </w14:textFill>
              </w:rPr>
            </w:pPr>
          </w:p>
        </w:tc>
      </w:tr>
      <w:tr w14:paraId="6DD4AE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41"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3ABB814B">
            <w:pPr>
              <w:keepLines w:val="0"/>
              <w:pageBreakBefore w:val="0"/>
              <w:kinsoku/>
              <w:wordWrap/>
              <w:bidi w:val="0"/>
              <w:spacing w:line="500" w:lineRule="exact"/>
              <w:ind w:left="410"/>
              <w:jc w:val="both"/>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3501" w:type="dxa"/>
            <w:tcBorders>
              <w:top w:val="single" w:color="auto" w:sz="4" w:space="0"/>
              <w:left w:val="single" w:color="auto" w:sz="4" w:space="0"/>
              <w:bottom w:val="single" w:color="auto" w:sz="4" w:space="0"/>
              <w:right w:val="single" w:color="auto" w:sz="4" w:space="0"/>
            </w:tcBorders>
            <w:shd w:val="clear" w:color="auto" w:fill="FFFFFF"/>
            <w:vAlign w:val="center"/>
          </w:tcPr>
          <w:p w14:paraId="3AC58BFD">
            <w:pPr>
              <w:ind w:left="410" w:leftChars="171"/>
              <w:jc w:val="both"/>
              <w:rPr>
                <w:rFonts w:hint="eastAsia"/>
                <w:color w:val="000000" w:themeColor="text1"/>
                <w:kern w:val="0"/>
                <w:lang w:eastAsia="zh-CN"/>
                <w14:textFill>
                  <w14:solidFill>
                    <w14:schemeClr w14:val="tx1"/>
                  </w14:solidFill>
                </w14:textFill>
              </w:rPr>
            </w:pPr>
            <w:r>
              <w:rPr>
                <w:rFonts w:hint="eastAsia"/>
                <w:color w:val="000000" w:themeColor="text1"/>
                <w14:textFill>
                  <w14:solidFill>
                    <w14:schemeClr w14:val="tx1"/>
                  </w14:solidFill>
                </w14:textFill>
              </w:rPr>
              <w:t>保险管</w:t>
            </w:r>
          </w:p>
        </w:tc>
        <w:tc>
          <w:tcPr>
            <w:tcW w:w="1617" w:type="dxa"/>
            <w:tcBorders>
              <w:top w:val="single" w:color="auto" w:sz="4" w:space="0"/>
              <w:left w:val="single" w:color="auto" w:sz="4" w:space="0"/>
              <w:bottom w:val="single" w:color="auto" w:sz="4" w:space="0"/>
              <w:right w:val="single" w:color="auto" w:sz="4" w:space="0"/>
            </w:tcBorders>
            <w:shd w:val="clear" w:color="auto" w:fill="FFFFFF"/>
            <w:vAlign w:val="center"/>
          </w:tcPr>
          <w:p w14:paraId="6ED27A82">
            <w:pPr>
              <w:ind w:left="0" w:leftChars="0"/>
              <w:jc w:val="both"/>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30</w:t>
            </w:r>
            <w:r>
              <w:rPr>
                <w:color w:val="000000" w:themeColor="text1"/>
                <w14:textFill>
                  <w14:solidFill>
                    <w14:schemeClr w14:val="tx1"/>
                  </w14:solidFill>
                </w14:textFill>
              </w:rPr>
              <w:t>A</w:t>
            </w:r>
          </w:p>
        </w:tc>
        <w:tc>
          <w:tcPr>
            <w:tcW w:w="1133" w:type="dxa"/>
            <w:tcBorders>
              <w:top w:val="single" w:color="auto" w:sz="4" w:space="0"/>
              <w:left w:val="single" w:color="auto" w:sz="4" w:space="0"/>
              <w:bottom w:val="single" w:color="auto" w:sz="4" w:space="0"/>
              <w:right w:val="single" w:color="auto" w:sz="4" w:space="0"/>
            </w:tcBorders>
            <w:shd w:val="clear" w:color="auto" w:fill="FFFFFF"/>
            <w:vAlign w:val="center"/>
          </w:tcPr>
          <w:p w14:paraId="746FA5BB">
            <w:pPr>
              <w:ind w:left="0" w:leftChars="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只</w:t>
            </w:r>
          </w:p>
        </w:tc>
        <w:tc>
          <w:tcPr>
            <w:tcW w:w="800" w:type="dxa"/>
            <w:tcBorders>
              <w:top w:val="single" w:color="auto" w:sz="4" w:space="0"/>
              <w:left w:val="single" w:color="auto" w:sz="4" w:space="0"/>
              <w:bottom w:val="single" w:color="auto" w:sz="4" w:space="0"/>
              <w:right w:val="single" w:color="auto" w:sz="4" w:space="0"/>
            </w:tcBorders>
            <w:shd w:val="clear" w:color="auto" w:fill="FFFFFF"/>
            <w:vAlign w:val="center"/>
          </w:tcPr>
          <w:p w14:paraId="268AA932">
            <w:pPr>
              <w:ind w:left="0" w:leftChars="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3782329F">
            <w:pPr>
              <w:keepLines w:val="0"/>
              <w:pageBreakBefore w:val="0"/>
              <w:kinsoku/>
              <w:wordWrap/>
              <w:bidi w:val="0"/>
              <w:spacing w:line="500" w:lineRule="exact"/>
              <w:ind w:left="410"/>
              <w:jc w:val="center"/>
              <w:rPr>
                <w:color w:val="000000" w:themeColor="text1"/>
                <w14:textFill>
                  <w14:solidFill>
                    <w14:schemeClr w14:val="tx1"/>
                  </w14:solidFill>
                </w14:textFill>
              </w:rPr>
            </w:pPr>
          </w:p>
        </w:tc>
      </w:tr>
      <w:tr w14:paraId="36AF90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3E5BFDDF">
            <w:pPr>
              <w:keepLines w:val="0"/>
              <w:pageBreakBefore w:val="0"/>
              <w:kinsoku/>
              <w:wordWrap/>
              <w:bidi w:val="0"/>
              <w:spacing w:line="500" w:lineRule="exact"/>
              <w:ind w:left="410"/>
              <w:jc w:val="both"/>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w:t>
            </w:r>
          </w:p>
        </w:tc>
        <w:tc>
          <w:tcPr>
            <w:tcW w:w="3501" w:type="dxa"/>
            <w:tcBorders>
              <w:top w:val="single" w:color="auto" w:sz="4" w:space="0"/>
              <w:left w:val="single" w:color="auto" w:sz="4" w:space="0"/>
              <w:bottom w:val="single" w:color="auto" w:sz="4" w:space="0"/>
              <w:right w:val="single" w:color="auto" w:sz="4" w:space="0"/>
            </w:tcBorders>
            <w:shd w:val="clear" w:color="auto" w:fill="FFFFFF"/>
            <w:vAlign w:val="center"/>
          </w:tcPr>
          <w:p w14:paraId="5A93B4D6">
            <w:pPr>
              <w:ind w:left="410" w:leftChars="171"/>
              <w:jc w:val="both"/>
              <w:rPr>
                <w:rFonts w:hint="eastAsia"/>
                <w:color w:val="000000" w:themeColor="text1"/>
                <w:kern w:val="0"/>
                <w:lang w:eastAsia="zh-CN"/>
                <w14:textFill>
                  <w14:solidFill>
                    <w14:schemeClr w14:val="tx1"/>
                  </w14:solidFill>
                </w14:textFill>
              </w:rPr>
            </w:pPr>
            <w:r>
              <w:rPr>
                <w:rFonts w:hint="eastAsia"/>
                <w:color w:val="000000" w:themeColor="text1"/>
                <w14:textFill>
                  <w14:solidFill>
                    <w14:schemeClr w14:val="tx1"/>
                  </w14:solidFill>
                </w14:textFill>
              </w:rPr>
              <w:t>试验电阻</w:t>
            </w:r>
          </w:p>
        </w:tc>
        <w:tc>
          <w:tcPr>
            <w:tcW w:w="1617" w:type="dxa"/>
            <w:tcBorders>
              <w:top w:val="single" w:color="auto" w:sz="4" w:space="0"/>
              <w:left w:val="single" w:color="auto" w:sz="4" w:space="0"/>
              <w:bottom w:val="single" w:color="auto" w:sz="4" w:space="0"/>
              <w:right w:val="single" w:color="auto" w:sz="4" w:space="0"/>
            </w:tcBorders>
            <w:shd w:val="clear" w:color="auto" w:fill="FFFFFF"/>
            <w:vAlign w:val="center"/>
          </w:tcPr>
          <w:p w14:paraId="39EBA732">
            <w:pPr>
              <w:ind w:left="0" w:leftChars="0"/>
              <w:jc w:val="both"/>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150μΩ</w:t>
            </w:r>
          </w:p>
        </w:tc>
        <w:tc>
          <w:tcPr>
            <w:tcW w:w="1133" w:type="dxa"/>
            <w:tcBorders>
              <w:top w:val="single" w:color="auto" w:sz="4" w:space="0"/>
              <w:left w:val="single" w:color="auto" w:sz="4" w:space="0"/>
              <w:bottom w:val="single" w:color="auto" w:sz="4" w:space="0"/>
              <w:right w:val="single" w:color="auto" w:sz="4" w:space="0"/>
            </w:tcBorders>
            <w:shd w:val="clear" w:color="auto" w:fill="FFFFFF"/>
            <w:vAlign w:val="center"/>
          </w:tcPr>
          <w:p w14:paraId="2E921CD7">
            <w:pPr>
              <w:ind w:left="0" w:leftChars="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只</w:t>
            </w:r>
          </w:p>
        </w:tc>
        <w:tc>
          <w:tcPr>
            <w:tcW w:w="800" w:type="dxa"/>
            <w:tcBorders>
              <w:top w:val="single" w:color="auto" w:sz="4" w:space="0"/>
              <w:left w:val="single" w:color="auto" w:sz="4" w:space="0"/>
              <w:bottom w:val="single" w:color="auto" w:sz="4" w:space="0"/>
              <w:right w:val="single" w:color="auto" w:sz="4" w:space="0"/>
            </w:tcBorders>
            <w:shd w:val="clear" w:color="auto" w:fill="FFFFFF"/>
            <w:vAlign w:val="center"/>
          </w:tcPr>
          <w:p w14:paraId="6DFE8926">
            <w:pPr>
              <w:ind w:left="0" w:leftChars="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78704C9E">
            <w:pPr>
              <w:keepLines w:val="0"/>
              <w:pageBreakBefore w:val="0"/>
              <w:kinsoku/>
              <w:wordWrap/>
              <w:bidi w:val="0"/>
              <w:spacing w:line="500" w:lineRule="exact"/>
              <w:ind w:left="410"/>
              <w:jc w:val="center"/>
              <w:rPr>
                <w:color w:val="000000" w:themeColor="text1"/>
                <w14:textFill>
                  <w14:solidFill>
                    <w14:schemeClr w14:val="tx1"/>
                  </w14:solidFill>
                </w14:textFill>
              </w:rPr>
            </w:pPr>
          </w:p>
        </w:tc>
      </w:tr>
      <w:tr w14:paraId="085D70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42F0C604">
            <w:pPr>
              <w:keepLines w:val="0"/>
              <w:pageBreakBefore w:val="0"/>
              <w:kinsoku/>
              <w:wordWrap/>
              <w:bidi w:val="0"/>
              <w:spacing w:line="500" w:lineRule="exact"/>
              <w:ind w:left="410"/>
              <w:jc w:val="both"/>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7</w:t>
            </w:r>
          </w:p>
        </w:tc>
        <w:tc>
          <w:tcPr>
            <w:tcW w:w="3501" w:type="dxa"/>
            <w:tcBorders>
              <w:top w:val="single" w:color="auto" w:sz="4" w:space="0"/>
              <w:left w:val="single" w:color="auto" w:sz="4" w:space="0"/>
              <w:bottom w:val="single" w:color="auto" w:sz="4" w:space="0"/>
              <w:right w:val="single" w:color="auto" w:sz="4" w:space="0"/>
            </w:tcBorders>
            <w:shd w:val="clear" w:color="auto" w:fill="FFFFFF"/>
            <w:vAlign w:val="center"/>
          </w:tcPr>
          <w:p w14:paraId="7C59207C">
            <w:pPr>
              <w:ind w:left="410" w:leftChars="171"/>
              <w:jc w:val="both"/>
              <w:rPr>
                <w:rFonts w:hint="eastAsia"/>
                <w:color w:val="000000" w:themeColor="text1"/>
                <w:kern w:val="0"/>
                <w:lang w:eastAsia="zh-CN"/>
                <w14:textFill>
                  <w14:solidFill>
                    <w14:schemeClr w14:val="tx1"/>
                  </w14:solidFill>
                </w14:textFill>
              </w:rPr>
            </w:pPr>
            <w:r>
              <w:rPr>
                <w:rFonts w:hint="eastAsia"/>
                <w:color w:val="000000" w:themeColor="text1"/>
                <w14:textFill>
                  <w14:solidFill>
                    <w14:schemeClr w14:val="tx1"/>
                  </w14:solidFill>
                </w14:textFill>
              </w:rPr>
              <w:t>打印纸</w:t>
            </w:r>
          </w:p>
        </w:tc>
        <w:tc>
          <w:tcPr>
            <w:tcW w:w="1617" w:type="dxa"/>
            <w:tcBorders>
              <w:top w:val="single" w:color="auto" w:sz="4" w:space="0"/>
              <w:left w:val="single" w:color="auto" w:sz="4" w:space="0"/>
              <w:bottom w:val="single" w:color="auto" w:sz="4" w:space="0"/>
              <w:right w:val="single" w:color="auto" w:sz="4" w:space="0"/>
            </w:tcBorders>
            <w:shd w:val="clear" w:color="auto" w:fill="FFFFFF"/>
            <w:vAlign w:val="center"/>
          </w:tcPr>
          <w:p w14:paraId="44B5C6C6">
            <w:pPr>
              <w:ind w:left="0" w:leftChars="0"/>
              <w:jc w:val="both"/>
              <w:rPr>
                <w:rFonts w:hint="eastAsia"/>
                <w:color w:val="000000" w:themeColor="text1"/>
                <w:lang w:val="en-US" w:eastAsia="zh-CN"/>
                <w14:textFill>
                  <w14:solidFill>
                    <w14:schemeClr w14:val="tx1"/>
                  </w14:solidFill>
                </w14:textFill>
              </w:rPr>
            </w:pPr>
          </w:p>
        </w:tc>
        <w:tc>
          <w:tcPr>
            <w:tcW w:w="1133" w:type="dxa"/>
            <w:tcBorders>
              <w:top w:val="single" w:color="auto" w:sz="4" w:space="0"/>
              <w:left w:val="single" w:color="auto" w:sz="4" w:space="0"/>
              <w:bottom w:val="single" w:color="auto" w:sz="4" w:space="0"/>
              <w:right w:val="single" w:color="auto" w:sz="4" w:space="0"/>
            </w:tcBorders>
            <w:shd w:val="clear" w:color="auto" w:fill="FFFFFF"/>
            <w:vAlign w:val="center"/>
          </w:tcPr>
          <w:p w14:paraId="3E3ADA5F">
            <w:pPr>
              <w:ind w:left="0" w:leftChars="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卷</w:t>
            </w:r>
          </w:p>
        </w:tc>
        <w:tc>
          <w:tcPr>
            <w:tcW w:w="800" w:type="dxa"/>
            <w:tcBorders>
              <w:top w:val="single" w:color="auto" w:sz="4" w:space="0"/>
              <w:left w:val="single" w:color="auto" w:sz="4" w:space="0"/>
              <w:bottom w:val="single" w:color="auto" w:sz="4" w:space="0"/>
              <w:right w:val="single" w:color="auto" w:sz="4" w:space="0"/>
            </w:tcBorders>
            <w:shd w:val="clear" w:color="auto" w:fill="FFFFFF"/>
            <w:vAlign w:val="center"/>
          </w:tcPr>
          <w:p w14:paraId="2D5CB5D4">
            <w:pPr>
              <w:ind w:left="0" w:leftChars="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4625846A">
            <w:pPr>
              <w:keepLines w:val="0"/>
              <w:pageBreakBefore w:val="0"/>
              <w:kinsoku/>
              <w:wordWrap/>
              <w:bidi w:val="0"/>
              <w:spacing w:line="500" w:lineRule="exact"/>
              <w:ind w:left="410"/>
              <w:jc w:val="center"/>
              <w:rPr>
                <w:color w:val="000000" w:themeColor="text1"/>
                <w14:textFill>
                  <w14:solidFill>
                    <w14:schemeClr w14:val="tx1"/>
                  </w14:solidFill>
                </w14:textFill>
              </w:rPr>
            </w:pPr>
          </w:p>
        </w:tc>
      </w:tr>
    </w:tbl>
    <w:p w14:paraId="6DD08294">
      <w:pPr>
        <w:pStyle w:val="19"/>
        <w:keepLines w:val="0"/>
        <w:pageBreakBefore w:val="0"/>
        <w:kinsoku/>
        <w:wordWrap/>
        <w:bidi w:val="0"/>
        <w:spacing w:line="500" w:lineRule="exact"/>
        <w:ind w:left="0" w:leftChars="0"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备品备件及专用工具：</w:t>
      </w:r>
    </w:p>
    <w:p w14:paraId="55B03581">
      <w:pPr>
        <w:pStyle w:val="19"/>
        <w:keepLines w:val="0"/>
        <w:pageBreakBefore w:val="0"/>
        <w:kinsoku/>
        <w:wordWrap/>
        <w:bidi w:val="0"/>
        <w:spacing w:line="500" w:lineRule="exact"/>
        <w:ind w:left="410" w:firstLine="480"/>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应向采购方提供必备的备品备件、专用工具和仪器仪表清单见下表, 要求提供的备品备件、专用工具和仪器仪表应是新品, 与仪器同型号、同工艺。需单独购买的配件在下表中列明。</w:t>
      </w:r>
      <w:bookmarkStart w:id="35" w:name="_Toc397006841"/>
    </w:p>
    <w:p w14:paraId="4B1AA14A">
      <w:pPr>
        <w:pStyle w:val="19"/>
        <w:keepLines w:val="0"/>
        <w:pageBreakBefore w:val="0"/>
        <w:kinsoku/>
        <w:wordWrap/>
        <w:bidi w:val="0"/>
        <w:spacing w:line="500" w:lineRule="exact"/>
        <w:ind w:left="410" w:firstLine="480"/>
        <w:rPr>
          <w:b/>
          <w:bCs/>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备品备件及专用工具一览表</w:t>
      </w:r>
      <w:bookmarkEnd w:id="35"/>
    </w:p>
    <w:tbl>
      <w:tblPr>
        <w:tblStyle w:val="12"/>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14:paraId="098F8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14:paraId="6D964DBF">
            <w:pPr>
              <w:pStyle w:val="6"/>
              <w:keepLines w:val="0"/>
              <w:pageBreakBefore w:val="0"/>
              <w:kinsoku/>
              <w:wordWrap/>
              <w:bidi w:val="0"/>
              <w:spacing w:line="500" w:lineRule="exact"/>
              <w:ind w:left="0" w:left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1377" w:type="dxa"/>
            <w:tcBorders>
              <w:top w:val="single" w:color="auto" w:sz="4" w:space="0"/>
              <w:bottom w:val="single" w:color="auto" w:sz="4" w:space="0"/>
            </w:tcBorders>
            <w:vAlign w:val="center"/>
          </w:tcPr>
          <w:p w14:paraId="0CC85CD9">
            <w:pPr>
              <w:pStyle w:val="6"/>
              <w:keepLines w:val="0"/>
              <w:pageBreakBefore w:val="0"/>
              <w:kinsoku/>
              <w:wordWrap/>
              <w:bidi w:val="0"/>
              <w:spacing w:line="500" w:lineRule="exact"/>
              <w:ind w:left="0" w:left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配件名称</w:t>
            </w:r>
          </w:p>
        </w:tc>
        <w:tc>
          <w:tcPr>
            <w:tcW w:w="1447" w:type="dxa"/>
            <w:tcBorders>
              <w:top w:val="single" w:color="auto" w:sz="4" w:space="0"/>
              <w:bottom w:val="single" w:color="auto" w:sz="4" w:space="0"/>
            </w:tcBorders>
            <w:vAlign w:val="center"/>
          </w:tcPr>
          <w:p w14:paraId="581324F6">
            <w:pPr>
              <w:pStyle w:val="6"/>
              <w:keepLines w:val="0"/>
              <w:pageBreakBefore w:val="0"/>
              <w:kinsoku/>
              <w:wordWrap/>
              <w:bidi w:val="0"/>
              <w:spacing w:line="500" w:lineRule="exact"/>
              <w:ind w:left="0" w:left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型号及规格</w:t>
            </w:r>
          </w:p>
        </w:tc>
        <w:tc>
          <w:tcPr>
            <w:tcW w:w="1033" w:type="dxa"/>
            <w:tcBorders>
              <w:top w:val="single" w:color="auto" w:sz="4" w:space="0"/>
              <w:bottom w:val="single" w:color="auto" w:sz="4" w:space="0"/>
            </w:tcBorders>
            <w:vAlign w:val="center"/>
          </w:tcPr>
          <w:p w14:paraId="5349C93C">
            <w:pPr>
              <w:pStyle w:val="6"/>
              <w:keepLines w:val="0"/>
              <w:pageBreakBefore w:val="0"/>
              <w:kinsoku/>
              <w:wordWrap/>
              <w:bidi w:val="0"/>
              <w:spacing w:line="500" w:lineRule="exact"/>
              <w:ind w:left="0" w:left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单位</w:t>
            </w:r>
          </w:p>
        </w:tc>
        <w:tc>
          <w:tcPr>
            <w:tcW w:w="829" w:type="dxa"/>
            <w:tcBorders>
              <w:top w:val="single" w:color="auto" w:sz="4" w:space="0"/>
              <w:bottom w:val="single" w:color="auto" w:sz="4" w:space="0"/>
            </w:tcBorders>
            <w:vAlign w:val="center"/>
          </w:tcPr>
          <w:p w14:paraId="6B6A60D3">
            <w:pPr>
              <w:pStyle w:val="6"/>
              <w:keepLines w:val="0"/>
              <w:pageBreakBefore w:val="0"/>
              <w:kinsoku/>
              <w:wordWrap/>
              <w:bidi w:val="0"/>
              <w:spacing w:line="500" w:lineRule="exact"/>
              <w:ind w:left="0" w:left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数量</w:t>
            </w:r>
          </w:p>
        </w:tc>
        <w:tc>
          <w:tcPr>
            <w:tcW w:w="1114" w:type="dxa"/>
            <w:tcBorders>
              <w:top w:val="single" w:color="auto" w:sz="4" w:space="0"/>
              <w:bottom w:val="single" w:color="auto" w:sz="4" w:space="0"/>
            </w:tcBorders>
            <w:vAlign w:val="center"/>
          </w:tcPr>
          <w:p w14:paraId="3503D761">
            <w:pPr>
              <w:pStyle w:val="6"/>
              <w:keepLines w:val="0"/>
              <w:pageBreakBefore w:val="0"/>
              <w:kinsoku/>
              <w:wordWrap/>
              <w:bidi w:val="0"/>
              <w:spacing w:line="500" w:lineRule="exact"/>
              <w:ind w:left="41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用途</w:t>
            </w:r>
          </w:p>
        </w:tc>
        <w:tc>
          <w:tcPr>
            <w:tcW w:w="2445" w:type="dxa"/>
            <w:tcBorders>
              <w:top w:val="single" w:color="auto" w:sz="4" w:space="0"/>
              <w:bottom w:val="single" w:color="auto" w:sz="4" w:space="0"/>
              <w:right w:val="single" w:color="auto" w:sz="4" w:space="0"/>
            </w:tcBorders>
            <w:vAlign w:val="center"/>
          </w:tcPr>
          <w:p w14:paraId="2BAACB41">
            <w:pPr>
              <w:pStyle w:val="6"/>
              <w:keepLines w:val="0"/>
              <w:pageBreakBefore w:val="0"/>
              <w:kinsoku/>
              <w:wordWrap/>
              <w:bidi w:val="0"/>
              <w:spacing w:line="500" w:lineRule="exact"/>
              <w:ind w:left="41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备  注</w:t>
            </w:r>
          </w:p>
        </w:tc>
      </w:tr>
      <w:tr w14:paraId="2583BE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14:paraId="4D13C614">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377" w:type="dxa"/>
            <w:tcBorders>
              <w:top w:val="single" w:color="auto" w:sz="4" w:space="0"/>
              <w:bottom w:val="single" w:color="auto" w:sz="4" w:space="0"/>
            </w:tcBorders>
          </w:tcPr>
          <w:p w14:paraId="46308F45">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447" w:type="dxa"/>
            <w:tcBorders>
              <w:top w:val="single" w:color="auto" w:sz="4" w:space="0"/>
              <w:bottom w:val="single" w:color="auto" w:sz="4" w:space="0"/>
            </w:tcBorders>
          </w:tcPr>
          <w:p w14:paraId="3438808C">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033" w:type="dxa"/>
            <w:tcBorders>
              <w:top w:val="single" w:color="auto" w:sz="4" w:space="0"/>
              <w:bottom w:val="single" w:color="auto" w:sz="4" w:space="0"/>
            </w:tcBorders>
          </w:tcPr>
          <w:p w14:paraId="063240BA">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829" w:type="dxa"/>
            <w:tcBorders>
              <w:top w:val="single" w:color="auto" w:sz="4" w:space="0"/>
              <w:bottom w:val="single" w:color="auto" w:sz="4" w:space="0"/>
            </w:tcBorders>
          </w:tcPr>
          <w:p w14:paraId="568B1F5C">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114" w:type="dxa"/>
            <w:tcBorders>
              <w:top w:val="single" w:color="auto" w:sz="4" w:space="0"/>
              <w:bottom w:val="single" w:color="auto" w:sz="4" w:space="0"/>
            </w:tcBorders>
          </w:tcPr>
          <w:p w14:paraId="16CBD5F9">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2445" w:type="dxa"/>
            <w:tcBorders>
              <w:top w:val="single" w:color="auto" w:sz="4" w:space="0"/>
              <w:bottom w:val="single" w:color="auto" w:sz="4" w:space="0"/>
              <w:right w:val="single" w:color="auto" w:sz="4" w:space="0"/>
            </w:tcBorders>
          </w:tcPr>
          <w:p w14:paraId="37946EF2">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r>
      <w:tr w14:paraId="73D544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14:paraId="0331CF21">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377" w:type="dxa"/>
            <w:tcBorders>
              <w:top w:val="single" w:color="auto" w:sz="4" w:space="0"/>
              <w:bottom w:val="single" w:color="auto" w:sz="4" w:space="0"/>
            </w:tcBorders>
          </w:tcPr>
          <w:p w14:paraId="76718179">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447" w:type="dxa"/>
            <w:tcBorders>
              <w:top w:val="single" w:color="auto" w:sz="4" w:space="0"/>
              <w:bottom w:val="single" w:color="auto" w:sz="4" w:space="0"/>
            </w:tcBorders>
          </w:tcPr>
          <w:p w14:paraId="2682E021">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033" w:type="dxa"/>
            <w:tcBorders>
              <w:top w:val="single" w:color="auto" w:sz="4" w:space="0"/>
              <w:bottom w:val="single" w:color="auto" w:sz="4" w:space="0"/>
            </w:tcBorders>
          </w:tcPr>
          <w:p w14:paraId="0C3AF28A">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829" w:type="dxa"/>
            <w:tcBorders>
              <w:top w:val="single" w:color="auto" w:sz="4" w:space="0"/>
              <w:bottom w:val="single" w:color="auto" w:sz="4" w:space="0"/>
            </w:tcBorders>
          </w:tcPr>
          <w:p w14:paraId="3082F36E">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114" w:type="dxa"/>
            <w:tcBorders>
              <w:top w:val="single" w:color="auto" w:sz="4" w:space="0"/>
              <w:bottom w:val="single" w:color="auto" w:sz="4" w:space="0"/>
            </w:tcBorders>
          </w:tcPr>
          <w:p w14:paraId="12C938D4">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2445" w:type="dxa"/>
            <w:tcBorders>
              <w:top w:val="single" w:color="auto" w:sz="4" w:space="0"/>
              <w:bottom w:val="single" w:color="auto" w:sz="4" w:space="0"/>
              <w:right w:val="single" w:color="auto" w:sz="4" w:space="0"/>
            </w:tcBorders>
          </w:tcPr>
          <w:p w14:paraId="606D8AF0">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r>
      <w:tr w14:paraId="087A1A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14:paraId="2E588034">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377" w:type="dxa"/>
            <w:tcBorders>
              <w:top w:val="single" w:color="auto" w:sz="4" w:space="0"/>
              <w:bottom w:val="single" w:color="auto" w:sz="4" w:space="0"/>
            </w:tcBorders>
          </w:tcPr>
          <w:p w14:paraId="45F74E2B">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447" w:type="dxa"/>
            <w:tcBorders>
              <w:top w:val="single" w:color="auto" w:sz="4" w:space="0"/>
              <w:bottom w:val="single" w:color="auto" w:sz="4" w:space="0"/>
            </w:tcBorders>
          </w:tcPr>
          <w:p w14:paraId="059FC289">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033" w:type="dxa"/>
            <w:tcBorders>
              <w:top w:val="single" w:color="auto" w:sz="4" w:space="0"/>
              <w:bottom w:val="single" w:color="auto" w:sz="4" w:space="0"/>
            </w:tcBorders>
          </w:tcPr>
          <w:p w14:paraId="53F7B6E1">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829" w:type="dxa"/>
            <w:tcBorders>
              <w:top w:val="single" w:color="auto" w:sz="4" w:space="0"/>
              <w:bottom w:val="single" w:color="auto" w:sz="4" w:space="0"/>
            </w:tcBorders>
          </w:tcPr>
          <w:p w14:paraId="4AF60B90">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114" w:type="dxa"/>
            <w:tcBorders>
              <w:top w:val="single" w:color="auto" w:sz="4" w:space="0"/>
              <w:bottom w:val="single" w:color="auto" w:sz="4" w:space="0"/>
            </w:tcBorders>
          </w:tcPr>
          <w:p w14:paraId="014DD96C">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2445" w:type="dxa"/>
            <w:tcBorders>
              <w:top w:val="single" w:color="auto" w:sz="4" w:space="0"/>
              <w:bottom w:val="single" w:color="auto" w:sz="4" w:space="0"/>
              <w:right w:val="single" w:color="auto" w:sz="4" w:space="0"/>
            </w:tcBorders>
          </w:tcPr>
          <w:p w14:paraId="0BE37C78">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r>
    </w:tbl>
    <w:p w14:paraId="0CEC2637">
      <w:pPr>
        <w:keepLines w:val="0"/>
        <w:pageBreakBefore w:val="0"/>
        <w:kinsoku/>
        <w:wordWrap/>
        <w:bidi w:val="0"/>
        <w:spacing w:line="500" w:lineRule="exact"/>
        <w:ind w:left="0" w:leftChars="0" w:firstLine="0" w:firstLineChars="0"/>
        <w:rPr>
          <w:color w:val="000000" w:themeColor="text1"/>
          <w14:textFill>
            <w14:solidFill>
              <w14:schemeClr w14:val="tx1"/>
            </w14:solidFill>
          </w14:textFill>
        </w:rPr>
      </w:pPr>
    </w:p>
    <w:p w14:paraId="180A661E">
      <w:pPr>
        <w:pStyle w:val="4"/>
        <w:bidi w:val="0"/>
        <w:rPr>
          <w:color w:val="000000" w:themeColor="text1"/>
          <w14:textFill>
            <w14:solidFill>
              <w14:schemeClr w14:val="tx1"/>
            </w14:solidFill>
          </w14:textFill>
        </w:rPr>
      </w:pPr>
      <w:bookmarkStart w:id="36" w:name="_Toc21346"/>
      <w:r>
        <w:rPr>
          <w:rFonts w:hint="eastAsia"/>
          <w:color w:val="000000" w:themeColor="text1"/>
          <w:lang w:eastAsia="zh-CN"/>
          <w14:textFill>
            <w14:solidFill>
              <w14:schemeClr w14:val="tx1"/>
            </w14:solidFill>
          </w14:textFill>
        </w:rPr>
        <w:t>9.</w:t>
      </w:r>
      <w:r>
        <w:rPr>
          <w:rFonts w:cs="宋体"/>
          <w:color w:val="000000" w:themeColor="text1"/>
          <w:spacing w:val="1"/>
          <w14:textFill>
            <w14:solidFill>
              <w14:schemeClr w14:val="tx1"/>
            </w14:solidFill>
          </w14:textFill>
        </w:rPr>
        <w:t>设备的售后服务要求</w:t>
      </w:r>
      <w:bookmarkEnd w:id="36"/>
    </w:p>
    <w:p w14:paraId="7C92AF81">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9.</w:t>
      </w:r>
      <w:r>
        <w:rPr>
          <w:rFonts w:hint="eastAsia"/>
          <w:color w:val="000000" w:themeColor="text1"/>
          <w14:textFill>
            <w14:solidFill>
              <w14:schemeClr w14:val="tx1"/>
            </w14:solidFill>
          </w14:textFill>
        </w:rPr>
        <w:t>1现场验收和试验在</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的技术指导下由采购方完成，</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协助采购方按标准检查仪器质量, 处理调试运行过程中出现的问题，并提供备品、备件，做好销售服务工作。</w:t>
      </w:r>
    </w:p>
    <w:p w14:paraId="565AF42B">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9.</w:t>
      </w:r>
      <w:r>
        <w:rPr>
          <w:rFonts w:hint="eastAsia"/>
          <w:color w:val="000000" w:themeColor="text1"/>
          <w14:textFill>
            <w14:solidFill>
              <w14:schemeClr w14:val="tx1"/>
            </w14:solidFill>
          </w14:textFill>
        </w:rPr>
        <w:t>2</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应协助采购方解决仪器运行中出现的问题。</w:t>
      </w:r>
    </w:p>
    <w:p w14:paraId="4CB03853">
      <w:pPr>
        <w:keepLines w:val="0"/>
        <w:pageBreakBefore w:val="0"/>
        <w:kinsoku/>
        <w:wordWrap/>
        <w:bidi w:val="0"/>
        <w:spacing w:line="500" w:lineRule="exact"/>
        <w:ind w:left="410"/>
        <w:rPr>
          <w:b w:val="0"/>
          <w:bCs w:val="0"/>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9.</w:t>
      </w:r>
      <w:r>
        <w:rPr>
          <w:rFonts w:hint="eastAsia"/>
          <w:color w:val="000000" w:themeColor="text1"/>
          <w14:textFill>
            <w14:solidFill>
              <w14:schemeClr w14:val="tx1"/>
            </w14:solidFill>
          </w14:textFill>
        </w:rPr>
        <w:t>3</w:t>
      </w:r>
      <w:r>
        <w:rPr>
          <w:rFonts w:hint="eastAsia" w:ascii="宋体" w:hAnsi="宋体" w:eastAsia="宋体" w:cs="Times New Roman"/>
          <w:b/>
          <w:bCs/>
          <w:color w:val="000000" w:themeColor="text1"/>
          <w:sz w:val="24"/>
          <w:szCs w:val="24"/>
          <w:highlight w:val="none"/>
          <w14:textFill>
            <w14:solidFill>
              <w14:schemeClr w14:val="tx1"/>
            </w14:solidFill>
          </w14:textFill>
        </w:rPr>
        <w:t>本标书采购设备安装、调试</w:t>
      </w:r>
      <w:r>
        <w:rPr>
          <w:rFonts w:hint="eastAsia" w:ascii="宋体" w:hAnsi="宋体" w:eastAsia="宋体" w:cs="Times New Roman"/>
          <w:b/>
          <w:bCs/>
          <w:color w:val="000000" w:themeColor="text1"/>
          <w:sz w:val="24"/>
          <w:szCs w:val="24"/>
          <w:highlight w:val="none"/>
          <w:lang w:eastAsia="zh-CN"/>
          <w14:textFill>
            <w14:solidFill>
              <w14:schemeClr w14:val="tx1"/>
            </w14:solidFill>
          </w14:textFill>
        </w:rPr>
        <w:t>，</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并经招标方</w:t>
      </w:r>
      <w:r>
        <w:rPr>
          <w:rFonts w:hint="eastAsia" w:ascii="宋体" w:hAnsi="宋体" w:eastAsia="宋体" w:cs="Times New Roman"/>
          <w:b/>
          <w:bCs/>
          <w:color w:val="000000" w:themeColor="text1"/>
          <w:sz w:val="24"/>
          <w:szCs w:val="24"/>
          <w:highlight w:val="none"/>
          <w14:textFill>
            <w14:solidFill>
              <w14:schemeClr w14:val="tx1"/>
            </w14:solidFill>
          </w14:textFill>
        </w:rPr>
        <w:t>现场</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收货</w:t>
      </w:r>
      <w:r>
        <w:rPr>
          <w:rFonts w:hint="eastAsia" w:ascii="宋体" w:hAnsi="宋体" w:eastAsia="宋体" w:cs="Times New Roman"/>
          <w:b/>
          <w:bCs/>
          <w:color w:val="000000" w:themeColor="text1"/>
          <w:sz w:val="24"/>
          <w:szCs w:val="24"/>
          <w:highlight w:val="none"/>
          <w14:textFill>
            <w14:solidFill>
              <w14:schemeClr w14:val="tx1"/>
            </w14:solidFill>
          </w14:textFill>
        </w:rPr>
        <w:t>交接验收和</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性能性验收</w:t>
      </w:r>
      <w:r>
        <w:rPr>
          <w:rFonts w:hint="eastAsia" w:ascii="宋体" w:hAnsi="宋体" w:eastAsia="宋体" w:cs="Times New Roman"/>
          <w:b/>
          <w:bCs/>
          <w:color w:val="000000" w:themeColor="text1"/>
          <w:sz w:val="24"/>
          <w:szCs w:val="24"/>
          <w:highlight w:val="none"/>
          <w14:textFill>
            <w14:solidFill>
              <w14:schemeClr w14:val="tx1"/>
            </w14:solidFill>
          </w14:textFill>
        </w:rPr>
        <w:t>合格后</w:t>
      </w:r>
      <w:r>
        <w:rPr>
          <w:rFonts w:hint="eastAsia" w:ascii="宋体" w:hAnsi="宋体" w:eastAsia="宋体" w:cs="Times New Roman"/>
          <w:b/>
          <w:bCs/>
          <w:color w:val="000000" w:themeColor="text1"/>
          <w:sz w:val="24"/>
          <w:szCs w:val="24"/>
          <w:highlight w:val="none"/>
          <w:lang w:eastAsia="zh-CN"/>
          <w14:textFill>
            <w14:solidFill>
              <w14:schemeClr w14:val="tx1"/>
            </w14:solidFill>
          </w14:textFill>
        </w:rPr>
        <w:t>，</w:t>
      </w:r>
      <w:r>
        <w:rPr>
          <w:rFonts w:hint="eastAsia" w:ascii="宋体" w:hAnsi="宋体" w:eastAsia="宋体" w:cs="Times New Roman"/>
          <w:b/>
          <w:bCs/>
          <w:color w:val="000000" w:themeColor="text1"/>
          <w:sz w:val="24"/>
          <w:szCs w:val="24"/>
          <w:highlight w:val="none"/>
          <w14:textFill>
            <w14:solidFill>
              <w14:schemeClr w14:val="tx1"/>
            </w14:solidFill>
          </w14:textFill>
        </w:rPr>
        <w:t>方可</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视为合同履约正式完成</w:t>
      </w:r>
      <w:r>
        <w:rPr>
          <w:rFonts w:hint="eastAsia" w:ascii="宋体" w:hAnsi="宋体" w:eastAsia="宋体" w:cs="Times New Roman"/>
          <w:b/>
          <w:bCs/>
          <w:color w:val="000000" w:themeColor="text1"/>
          <w:sz w:val="24"/>
          <w:szCs w:val="24"/>
          <w:highlight w:val="none"/>
          <w14:textFill>
            <w14:solidFill>
              <w14:schemeClr w14:val="tx1"/>
            </w14:solidFill>
          </w14:textFill>
        </w:rPr>
        <w:t>。</w:t>
      </w:r>
      <w:r>
        <w:rPr>
          <w:rFonts w:hint="eastAsia" w:ascii="宋体" w:hAnsi="宋体" w:eastAsia="宋体" w:cs="Times New Roman"/>
          <w:b w:val="0"/>
          <w:bCs w:val="0"/>
          <w:color w:val="000000" w:themeColor="text1"/>
          <w:sz w:val="24"/>
          <w:szCs w:val="24"/>
          <w:highlight w:val="none"/>
          <w14:textFill>
            <w14:solidFill>
              <w14:schemeClr w14:val="tx1"/>
            </w14:solidFill>
          </w14:textFill>
        </w:rPr>
        <w:t>设备正常使用后，</w:t>
      </w:r>
      <w:r>
        <w:rPr>
          <w:rFonts w:hint="eastAsia" w:ascii="宋体" w:hAnsi="宋体" w:eastAsia="宋体" w:cs="Times New Roman"/>
          <w:b w:val="0"/>
          <w:bCs w:val="0"/>
          <w:color w:val="000000" w:themeColor="text1"/>
          <w:sz w:val="24"/>
          <w:szCs w:val="24"/>
          <w:highlight w:val="none"/>
          <w:lang w:eastAsia="zh-CN"/>
          <w14:textFill>
            <w14:solidFill>
              <w14:schemeClr w14:val="tx1"/>
            </w14:solidFill>
          </w14:textFill>
        </w:rPr>
        <w:t>报价人</w:t>
      </w:r>
      <w:r>
        <w:rPr>
          <w:rFonts w:hint="eastAsia" w:ascii="宋体" w:hAnsi="宋体" w:eastAsia="宋体" w:cs="Times New Roman"/>
          <w:b w:val="0"/>
          <w:bCs w:val="0"/>
          <w:color w:val="000000" w:themeColor="text1"/>
          <w:sz w:val="24"/>
          <w:szCs w:val="24"/>
          <w:highlight w:val="none"/>
          <w14:textFill>
            <w14:solidFill>
              <w14:schemeClr w14:val="tx1"/>
            </w14:solidFill>
          </w14:textFill>
        </w:rPr>
        <w:t>和</w:t>
      </w:r>
      <w:r>
        <w:rPr>
          <w:rFonts w:hint="eastAsia" w:ascii="宋体" w:hAnsi="宋体" w:eastAsia="宋体" w:cs="Times New Roman"/>
          <w:b w:val="0"/>
          <w:bCs w:val="0"/>
          <w:color w:val="000000" w:themeColor="text1"/>
          <w:sz w:val="24"/>
          <w:szCs w:val="24"/>
          <w:highlight w:val="none"/>
          <w:lang w:val="en-US" w:eastAsia="zh-CN"/>
          <w14:textFill>
            <w14:solidFill>
              <w14:schemeClr w14:val="tx1"/>
            </w14:solidFill>
          </w14:textFill>
        </w:rPr>
        <w:t>采购</w:t>
      </w:r>
      <w:r>
        <w:rPr>
          <w:rFonts w:hint="eastAsia" w:ascii="宋体" w:hAnsi="宋体" w:eastAsia="宋体" w:cs="Times New Roman"/>
          <w:b w:val="0"/>
          <w:bCs w:val="0"/>
          <w:color w:val="000000" w:themeColor="text1"/>
          <w:sz w:val="24"/>
          <w:szCs w:val="24"/>
          <w:highlight w:val="none"/>
          <w14:textFill>
            <w14:solidFill>
              <w14:schemeClr w14:val="tx1"/>
            </w14:solidFill>
          </w14:textFill>
        </w:rPr>
        <w:t>方双方应根据相关法律、法规和公司管理制度签署合同设备的验收证明书。该证明书共两份，双方各执一份</w:t>
      </w:r>
      <w:r>
        <w:rPr>
          <w:rFonts w:hint="eastAsia"/>
          <w:b w:val="0"/>
          <w:bCs w:val="0"/>
          <w:color w:val="000000" w:themeColor="text1"/>
          <w14:textFill>
            <w14:solidFill>
              <w14:schemeClr w14:val="tx1"/>
            </w14:solidFill>
          </w14:textFill>
        </w:rPr>
        <w:t>。</w:t>
      </w:r>
    </w:p>
    <w:p w14:paraId="4F1E66BC">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9.</w:t>
      </w:r>
      <w:r>
        <w:rPr>
          <w:rFonts w:hint="eastAsia"/>
          <w:color w:val="000000" w:themeColor="text1"/>
          <w14:textFill>
            <w14:solidFill>
              <w14:schemeClr w14:val="tx1"/>
            </w14:solidFill>
          </w14:textFill>
        </w:rPr>
        <w:t>4如果验收、调试、性能试验、使用中及质保期内技术指标一项或多项不能满足合同技术部分要求，</w:t>
      </w:r>
      <w:r>
        <w:rPr>
          <w:rFonts w:hint="eastAsia"/>
          <w:color w:val="000000" w:themeColor="text1"/>
          <w:lang w:eastAsia="zh-CN"/>
          <w14:textFill>
            <w14:solidFill>
              <w14:schemeClr w14:val="tx1"/>
            </w14:solidFill>
          </w14:textFill>
        </w:rPr>
        <w:t>招投标人</w:t>
      </w:r>
      <w:r>
        <w:rPr>
          <w:rFonts w:hint="eastAsia"/>
          <w:color w:val="000000" w:themeColor="text1"/>
          <w14:textFill>
            <w14:solidFill>
              <w14:schemeClr w14:val="tx1"/>
            </w14:solidFill>
          </w14:textFill>
        </w:rPr>
        <w:t>共同分析原因，分清责任，如属制造方面的原因，或涉及索赔部分，按商务部分有关条款执行。</w:t>
      </w:r>
    </w:p>
    <w:p w14:paraId="1D9DF4A4">
      <w:pPr>
        <w:keepLines w:val="0"/>
        <w:pageBreakBefore w:val="0"/>
        <w:kinsoku/>
        <w:wordWrap/>
        <w:bidi w:val="0"/>
        <w:spacing w:line="500" w:lineRule="exact"/>
        <w:ind w:left="410"/>
        <w:rPr>
          <w:b/>
          <w:bCs/>
          <w:color w:val="000000" w:themeColor="text1"/>
          <w14:textFill>
            <w14:solidFill>
              <w14:schemeClr w14:val="tx1"/>
            </w14:solidFill>
          </w14:textFill>
        </w:rPr>
      </w:pPr>
      <w:r>
        <w:rPr>
          <w:rFonts w:hint="eastAsia" w:cs="宋体"/>
          <w:b/>
          <w:bCs/>
          <w:color w:val="000000" w:themeColor="text1"/>
          <w:spacing w:val="3"/>
          <w:lang w:eastAsia="zh-CN"/>
          <w14:textFill>
            <w14:solidFill>
              <w14:schemeClr w14:val="tx1"/>
            </w14:solidFill>
          </w14:textFill>
        </w:rPr>
        <w:t>9.</w:t>
      </w:r>
      <w:r>
        <w:rPr>
          <w:rFonts w:hint="eastAsia" w:cs="宋体"/>
          <w:b/>
          <w:bCs/>
          <w:color w:val="000000" w:themeColor="text1"/>
          <w:spacing w:val="3"/>
          <w14:textFill>
            <w14:solidFill>
              <w14:schemeClr w14:val="tx1"/>
            </w14:solidFill>
          </w14:textFill>
        </w:rPr>
        <w:t>5</w:t>
      </w:r>
      <w:r>
        <w:rPr>
          <w:rFonts w:cs="宋体"/>
          <w:b/>
          <w:bCs/>
          <w:color w:val="000000" w:themeColor="text1"/>
          <w:spacing w:val="3"/>
          <w14:textFill>
            <w14:solidFill>
              <w14:schemeClr w14:val="tx1"/>
            </w14:solidFill>
          </w14:textFill>
        </w:rPr>
        <w:t>从最终验收通过双方签字之日起开始计算设备质保期，保修质保周期不</w:t>
      </w:r>
      <w:r>
        <w:rPr>
          <w:rFonts w:cs="宋体"/>
          <w:b/>
          <w:bCs/>
          <w:color w:val="000000" w:themeColor="text1"/>
          <w14:textFill>
            <w14:solidFill>
              <w14:schemeClr w14:val="tx1"/>
            </w14:solidFill>
          </w14:textFill>
        </w:rPr>
        <w:t>少于</w:t>
      </w:r>
      <w:r>
        <w:rPr>
          <w:b/>
          <w:bCs/>
          <w:color w:val="000000" w:themeColor="text1"/>
          <w14:textFill>
            <w14:solidFill>
              <w14:schemeClr w14:val="tx1"/>
            </w14:solidFill>
          </w14:textFill>
        </w:rPr>
        <w:t>3</w:t>
      </w:r>
      <w:r>
        <w:rPr>
          <w:rFonts w:cs="宋体"/>
          <w:b/>
          <w:bCs/>
          <w:color w:val="000000" w:themeColor="text1"/>
          <w14:textFill>
            <w14:solidFill>
              <w14:schemeClr w14:val="tx1"/>
            </w14:solidFill>
          </w14:textFill>
        </w:rPr>
        <w:t>年（</w:t>
      </w:r>
      <w:r>
        <w:rPr>
          <w:rFonts w:hint="eastAsia"/>
          <w:b/>
          <w:bCs/>
          <w:color w:val="000000" w:themeColor="text1"/>
          <w14:textFill>
            <w14:solidFill>
              <w14:schemeClr w14:val="tx1"/>
            </w14:solidFill>
          </w14:textFill>
        </w:rPr>
        <w:t>36</w:t>
      </w:r>
      <w:r>
        <w:rPr>
          <w:rFonts w:cs="宋体"/>
          <w:b/>
          <w:bCs/>
          <w:color w:val="000000" w:themeColor="text1"/>
          <w14:textFill>
            <w14:solidFill>
              <w14:schemeClr w14:val="tx1"/>
            </w14:solidFill>
          </w14:textFill>
        </w:rPr>
        <w:t>个月），质保期内免费维修设备；</w:t>
      </w:r>
    </w:p>
    <w:p w14:paraId="66112DAB">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color w:val="000000" w:themeColor="text1"/>
          <w:spacing w:val="3"/>
          <w:lang w:eastAsia="zh-CN"/>
          <w14:textFill>
            <w14:solidFill>
              <w14:schemeClr w14:val="tx1"/>
            </w14:solidFill>
          </w14:textFill>
        </w:rPr>
        <w:t>9.</w:t>
      </w:r>
      <w:r>
        <w:rPr>
          <w:rFonts w:hint="eastAsia" w:cs="宋体"/>
          <w:color w:val="000000" w:themeColor="text1"/>
          <w:spacing w:val="3"/>
          <w14:textFill>
            <w14:solidFill>
              <w14:schemeClr w14:val="tx1"/>
            </w14:solidFill>
          </w14:textFill>
        </w:rPr>
        <w:t>6</w:t>
      </w:r>
      <w:r>
        <w:rPr>
          <w:rFonts w:cs="宋体"/>
          <w:color w:val="000000" w:themeColor="text1"/>
          <w:spacing w:val="3"/>
          <w14:textFill>
            <w14:solidFill>
              <w14:schemeClr w14:val="tx1"/>
            </w14:solidFill>
          </w14:textFill>
        </w:rPr>
        <w:t>在质保期内系统运行发生故障或一般零部件损坏，由</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在</w:t>
      </w:r>
      <w:r>
        <w:rPr>
          <w:color w:val="000000" w:themeColor="text1"/>
          <w:spacing w:val="-1"/>
          <w14:textFill>
            <w14:solidFill>
              <w14:schemeClr w14:val="tx1"/>
            </w14:solidFill>
          </w14:textFill>
        </w:rPr>
        <w:t>15</w:t>
      </w:r>
      <w:r>
        <w:rPr>
          <w:rFonts w:cs="宋体"/>
          <w:color w:val="000000" w:themeColor="text1"/>
          <w:spacing w:val="4"/>
          <w14:textFill>
            <w14:solidFill>
              <w14:schemeClr w14:val="tx1"/>
            </w14:solidFill>
          </w14:textFill>
        </w:rPr>
        <w:t>工作日</w:t>
      </w:r>
      <w:r>
        <w:rPr>
          <w:rFonts w:cs="宋体"/>
          <w:color w:val="000000" w:themeColor="text1"/>
          <w14:textFill>
            <w14:solidFill>
              <w14:schemeClr w14:val="tx1"/>
            </w14:solidFill>
          </w14:textFill>
        </w:rPr>
        <w:t>内免费检修或更换部件，检修期从质保期内扣除；在质保期内系统运行发生重大部件损坏，由</w:t>
      </w:r>
      <w:r>
        <w:rPr>
          <w:rFonts w:hint="eastAsia" w:cs="宋体"/>
          <w:color w:val="000000" w:themeColor="text1"/>
          <w:lang w:eastAsia="zh-CN"/>
          <w14:textFill>
            <w14:solidFill>
              <w14:schemeClr w14:val="tx1"/>
            </w14:solidFill>
          </w14:textFill>
        </w:rPr>
        <w:t>投标人</w:t>
      </w:r>
      <w:r>
        <w:rPr>
          <w:rFonts w:cs="宋体"/>
          <w:color w:val="000000" w:themeColor="text1"/>
          <w14:textFill>
            <w14:solidFill>
              <w14:schemeClr w14:val="tx1"/>
            </w14:solidFill>
          </w14:textFill>
        </w:rPr>
        <w:t>在</w:t>
      </w:r>
      <w:r>
        <w:rPr>
          <w:color w:val="000000" w:themeColor="text1"/>
          <w14:textFill>
            <w14:solidFill>
              <w14:schemeClr w14:val="tx1"/>
            </w14:solidFill>
          </w14:textFill>
        </w:rPr>
        <w:t>15</w:t>
      </w:r>
      <w:r>
        <w:rPr>
          <w:rFonts w:cs="宋体"/>
          <w:color w:val="000000" w:themeColor="text1"/>
          <w14:textFill>
            <w14:solidFill>
              <w14:schemeClr w14:val="tx1"/>
            </w14:solidFill>
          </w14:textFill>
        </w:rPr>
        <w:t>工作日内免费检修或更换部件，检修期从质保期内扣除；</w:t>
      </w:r>
    </w:p>
    <w:p w14:paraId="25702A8E">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color w:val="000000" w:themeColor="text1"/>
          <w:spacing w:val="3"/>
          <w:lang w:eastAsia="zh-CN"/>
          <w14:textFill>
            <w14:solidFill>
              <w14:schemeClr w14:val="tx1"/>
            </w14:solidFill>
          </w14:textFill>
        </w:rPr>
        <w:t>9.</w:t>
      </w:r>
      <w:r>
        <w:rPr>
          <w:rFonts w:hint="eastAsia" w:cs="宋体"/>
          <w:color w:val="000000" w:themeColor="text1"/>
          <w:spacing w:val="3"/>
          <w14:textFill>
            <w14:solidFill>
              <w14:schemeClr w14:val="tx1"/>
            </w14:solidFill>
          </w14:textFill>
        </w:rPr>
        <w:t>7</w:t>
      </w:r>
      <w:r>
        <w:rPr>
          <w:rFonts w:cs="宋体"/>
          <w:color w:val="000000" w:themeColor="text1"/>
          <w:spacing w:val="3"/>
          <w14:textFill>
            <w14:solidFill>
              <w14:schemeClr w14:val="tx1"/>
            </w14:solidFill>
          </w14:textFill>
        </w:rPr>
        <w:t>在质保期内，通过有效证据证明设备存在缺陷，包括潜在的缺陷或使用</w:t>
      </w:r>
      <w:r>
        <w:rPr>
          <w:rFonts w:cs="宋体"/>
          <w:color w:val="000000" w:themeColor="text1"/>
          <w:spacing w:val="-1"/>
          <w14:textFill>
            <w14:solidFill>
              <w14:schemeClr w14:val="tx1"/>
            </w14:solidFill>
          </w14:textFill>
        </w:rPr>
        <w:t>不符合要求的材料等，采购方以书面形式通知</w:t>
      </w:r>
      <w:r>
        <w:rPr>
          <w:rFonts w:hint="eastAsia" w:cs="宋体"/>
          <w:color w:val="000000" w:themeColor="text1"/>
          <w:spacing w:val="-1"/>
          <w:lang w:eastAsia="zh-CN"/>
          <w14:textFill>
            <w14:solidFill>
              <w14:schemeClr w14:val="tx1"/>
            </w14:solidFill>
          </w14:textFill>
        </w:rPr>
        <w:t>投标人</w:t>
      </w:r>
      <w:r>
        <w:rPr>
          <w:rFonts w:cs="宋体"/>
          <w:color w:val="000000" w:themeColor="text1"/>
          <w:spacing w:val="-1"/>
          <w14:textFill>
            <w14:solidFill>
              <w14:schemeClr w14:val="tx1"/>
            </w14:solidFill>
          </w14:textFill>
        </w:rPr>
        <w:t>。</w:t>
      </w:r>
      <w:r>
        <w:rPr>
          <w:rFonts w:hint="eastAsia" w:cs="宋体"/>
          <w:color w:val="000000" w:themeColor="text1"/>
          <w:spacing w:val="-1"/>
          <w:lang w:eastAsia="zh-CN"/>
          <w14:textFill>
            <w14:solidFill>
              <w14:schemeClr w14:val="tx1"/>
            </w14:solidFill>
          </w14:textFill>
        </w:rPr>
        <w:t>投标人</w:t>
      </w:r>
      <w:r>
        <w:rPr>
          <w:rFonts w:cs="宋体"/>
          <w:color w:val="000000" w:themeColor="text1"/>
          <w:spacing w:val="-1"/>
          <w14:textFill>
            <w14:solidFill>
              <w14:schemeClr w14:val="tx1"/>
            </w14:solidFill>
          </w14:textFill>
        </w:rPr>
        <w:t>在收到通知后</w:t>
      </w:r>
      <w:r>
        <w:rPr>
          <w:color w:val="000000" w:themeColor="text1"/>
          <w:spacing w:val="1"/>
          <w14:textFill>
            <w14:solidFill>
              <w14:schemeClr w14:val="tx1"/>
            </w14:solidFill>
          </w14:textFill>
        </w:rPr>
        <w:t xml:space="preserve"> </w:t>
      </w:r>
      <w:r>
        <w:rPr>
          <w:rFonts w:hint="eastAsia"/>
          <w:color w:val="000000" w:themeColor="text1"/>
          <w14:textFill>
            <w14:solidFill>
              <w14:schemeClr w14:val="tx1"/>
            </w14:solidFill>
          </w14:textFill>
        </w:rPr>
        <w:t>15</w:t>
      </w:r>
      <w:r>
        <w:rPr>
          <w:rFonts w:cs="宋体"/>
          <w:color w:val="000000" w:themeColor="text1"/>
          <w14:textFill>
            <w14:solidFill>
              <w14:schemeClr w14:val="tx1"/>
            </w14:solidFill>
          </w14:textFill>
        </w:rPr>
        <w:t>日内应免费补齐、检修或更换有质量缺陷的设备或部件；</w:t>
      </w:r>
    </w:p>
    <w:p w14:paraId="5C9185C5">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color w:val="000000" w:themeColor="text1"/>
          <w:spacing w:val="3"/>
          <w:lang w:eastAsia="zh-CN"/>
          <w14:textFill>
            <w14:solidFill>
              <w14:schemeClr w14:val="tx1"/>
            </w14:solidFill>
          </w14:textFill>
        </w:rPr>
        <w:t>9.</w:t>
      </w:r>
      <w:r>
        <w:rPr>
          <w:rFonts w:hint="eastAsia" w:cs="宋体"/>
          <w:color w:val="000000" w:themeColor="text1"/>
          <w:spacing w:val="3"/>
          <w14:textFill>
            <w14:solidFill>
              <w14:schemeClr w14:val="tx1"/>
            </w14:solidFill>
          </w14:textFill>
        </w:rPr>
        <w:t>8</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有责任对其供货产品提供终身维护，质保期内如设备出现重大故</w:t>
      </w:r>
      <w:r>
        <w:rPr>
          <w:rFonts w:cs="宋体"/>
          <w:color w:val="000000" w:themeColor="text1"/>
          <w14:textFill>
            <w14:solidFill>
              <w14:schemeClr w14:val="tx1"/>
            </w14:solidFill>
          </w14:textFill>
        </w:rPr>
        <w:t>障导致设备停止工作，质保期顺延，自故障修复之日起重新开始计算；</w:t>
      </w:r>
      <w:r>
        <w:rPr>
          <w:rFonts w:hint="eastAsia" w:ascii="宋体" w:hAnsi="宋体" w:eastAsia="宋体"/>
          <w:b/>
          <w:bCs/>
          <w:color w:val="000000" w:themeColor="text1"/>
          <w:sz w:val="24"/>
          <w14:textFill>
            <w14:solidFill>
              <w14:schemeClr w14:val="tx1"/>
            </w14:solidFill>
          </w14:textFill>
        </w:rPr>
        <w:t>软件终身免费升级。</w:t>
      </w:r>
    </w:p>
    <w:p w14:paraId="1F04BEE2">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color w:val="000000" w:themeColor="text1"/>
          <w:spacing w:val="3"/>
          <w:lang w:eastAsia="zh-CN"/>
          <w14:textFill>
            <w14:solidFill>
              <w14:schemeClr w14:val="tx1"/>
            </w14:solidFill>
          </w14:textFill>
        </w:rPr>
        <w:t>9.</w:t>
      </w:r>
      <w:r>
        <w:rPr>
          <w:rFonts w:hint="eastAsia" w:cs="宋体"/>
          <w:color w:val="000000" w:themeColor="text1"/>
          <w:spacing w:val="3"/>
          <w14:textFill>
            <w14:solidFill>
              <w14:schemeClr w14:val="tx1"/>
            </w14:solidFill>
          </w14:textFill>
        </w:rPr>
        <w:t>9</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应提供本设备所使用的易损易耗产品清单（如有），内容包括名</w:t>
      </w:r>
      <w:r>
        <w:rPr>
          <w:rFonts w:cs="宋体"/>
          <w:color w:val="000000" w:themeColor="text1"/>
          <w14:textFill>
            <w14:solidFill>
              <w14:schemeClr w14:val="tx1"/>
            </w14:solidFill>
          </w14:textFill>
        </w:rPr>
        <w:t>称、代号、规格型号、厂商等；</w:t>
      </w:r>
    </w:p>
    <w:p w14:paraId="2A352882">
      <w:pPr>
        <w:keepLines w:val="0"/>
        <w:pageBreakBefore w:val="0"/>
        <w:kinsoku/>
        <w:wordWrap/>
        <w:bidi w:val="0"/>
        <w:spacing w:line="500" w:lineRule="exact"/>
        <w:ind w:left="410"/>
        <w:rPr>
          <w:b/>
          <w:bCs/>
          <w:color w:val="000000" w:themeColor="text1"/>
          <w14:textFill>
            <w14:solidFill>
              <w14:schemeClr w14:val="tx1"/>
            </w14:solidFill>
          </w14:textFill>
        </w:rPr>
      </w:pPr>
      <w:r>
        <w:rPr>
          <w:rFonts w:hint="eastAsia" w:cs="宋体"/>
          <w:color w:val="000000" w:themeColor="text1"/>
          <w:spacing w:val="3"/>
          <w:lang w:eastAsia="zh-CN"/>
          <w14:textFill>
            <w14:solidFill>
              <w14:schemeClr w14:val="tx1"/>
            </w14:solidFill>
          </w14:textFill>
        </w:rPr>
        <w:t>9.</w:t>
      </w:r>
      <w:r>
        <w:rPr>
          <w:rFonts w:hint="eastAsia" w:cs="宋体"/>
          <w:color w:val="000000" w:themeColor="text1"/>
          <w:spacing w:val="3"/>
          <w14:textFill>
            <w14:solidFill>
              <w14:schemeClr w14:val="tx1"/>
            </w14:solidFill>
          </w14:textFill>
        </w:rPr>
        <w:t>10</w:t>
      </w:r>
      <w:r>
        <w:rPr>
          <w:rFonts w:cs="宋体"/>
          <w:b/>
          <w:bCs/>
          <w:color w:val="000000" w:themeColor="text1"/>
          <w:spacing w:val="3"/>
          <w14:textFill>
            <w14:solidFill>
              <w14:schemeClr w14:val="tx1"/>
            </w14:solidFill>
          </w14:textFill>
        </w:rPr>
        <w:t>厂商技术工程师须免费到现场对采购方技术人员进行不少于</w:t>
      </w:r>
      <w:r>
        <w:rPr>
          <w:rFonts w:hint="eastAsia"/>
          <w:b/>
          <w:bCs/>
          <w:color w:val="000000" w:themeColor="text1"/>
          <w14:textFill>
            <w14:solidFill>
              <w14:schemeClr w14:val="tx1"/>
            </w14:solidFill>
          </w14:textFill>
        </w:rPr>
        <w:t>3</w:t>
      </w:r>
      <w:r>
        <w:rPr>
          <w:rFonts w:cs="宋体"/>
          <w:b/>
          <w:bCs/>
          <w:color w:val="000000" w:themeColor="text1"/>
          <w:spacing w:val="3"/>
          <w14:textFill>
            <w14:solidFill>
              <w14:schemeClr w14:val="tx1"/>
            </w14:solidFill>
          </w14:textFill>
        </w:rPr>
        <w:t>天的设备</w:t>
      </w:r>
      <w:r>
        <w:rPr>
          <w:rFonts w:cs="宋体"/>
          <w:b/>
          <w:bCs/>
          <w:color w:val="000000" w:themeColor="text1"/>
          <w14:textFill>
            <w14:solidFill>
              <w14:schemeClr w14:val="tx1"/>
            </w14:solidFill>
          </w14:textFill>
        </w:rPr>
        <w:t>使用培训；</w:t>
      </w:r>
    </w:p>
    <w:p w14:paraId="47A7E9B7">
      <w:pPr>
        <w:keepLines w:val="0"/>
        <w:pageBreakBefore w:val="0"/>
        <w:kinsoku/>
        <w:wordWrap/>
        <w:bidi w:val="0"/>
        <w:spacing w:line="500" w:lineRule="exact"/>
        <w:ind w:left="410"/>
        <w:rPr>
          <w:b/>
          <w:bCs/>
          <w:color w:val="000000" w:themeColor="text1"/>
          <w14:textFill>
            <w14:solidFill>
              <w14:schemeClr w14:val="tx1"/>
            </w14:solidFill>
          </w14:textFill>
        </w:rPr>
      </w:pPr>
      <w:r>
        <w:rPr>
          <w:rFonts w:hint="eastAsia" w:cs="宋体"/>
          <w:b/>
          <w:bCs/>
          <w:color w:val="000000" w:themeColor="text1"/>
          <w:spacing w:val="3"/>
          <w:lang w:eastAsia="zh-CN"/>
          <w14:textFill>
            <w14:solidFill>
              <w14:schemeClr w14:val="tx1"/>
            </w14:solidFill>
          </w14:textFill>
        </w:rPr>
        <w:t>9.</w:t>
      </w:r>
      <w:r>
        <w:rPr>
          <w:rFonts w:hint="eastAsia" w:cs="宋体"/>
          <w:b/>
          <w:bCs/>
          <w:color w:val="000000" w:themeColor="text1"/>
          <w:spacing w:val="3"/>
          <w14:textFill>
            <w14:solidFill>
              <w14:schemeClr w14:val="tx1"/>
            </w14:solidFill>
          </w14:textFill>
        </w:rPr>
        <w:t>11</w:t>
      </w:r>
      <w:r>
        <w:rPr>
          <w:rFonts w:hint="eastAsia" w:cs="宋体"/>
          <w:b/>
          <w:bCs/>
          <w:color w:val="000000" w:themeColor="text1"/>
          <w:spacing w:val="3"/>
          <w:lang w:eastAsia="zh-CN"/>
          <w14:textFill>
            <w14:solidFill>
              <w14:schemeClr w14:val="tx1"/>
            </w14:solidFill>
          </w14:textFill>
        </w:rPr>
        <w:t>投标人</w:t>
      </w:r>
      <w:r>
        <w:rPr>
          <w:rFonts w:cs="宋体"/>
          <w:b/>
          <w:bCs/>
          <w:color w:val="000000" w:themeColor="text1"/>
          <w:spacing w:val="3"/>
          <w14:textFill>
            <w14:solidFill>
              <w14:schemeClr w14:val="tx1"/>
            </w14:solidFill>
          </w14:textFill>
        </w:rPr>
        <w:t>应在接到采购方通知后</w:t>
      </w:r>
      <w:r>
        <w:rPr>
          <w:b/>
          <w:bCs/>
          <w:color w:val="000000" w:themeColor="text1"/>
          <w:spacing w:val="1"/>
          <w14:textFill>
            <w14:solidFill>
              <w14:schemeClr w14:val="tx1"/>
            </w14:solidFill>
          </w14:textFill>
        </w:rPr>
        <w:t xml:space="preserve"> </w:t>
      </w:r>
      <w:r>
        <w:rPr>
          <w:b/>
          <w:bCs/>
          <w:color w:val="000000" w:themeColor="text1"/>
          <w14:textFill>
            <w14:solidFill>
              <w14:schemeClr w14:val="tx1"/>
            </w14:solidFill>
          </w14:textFill>
        </w:rPr>
        <w:t>24</w:t>
      </w:r>
      <w:r>
        <w:rPr>
          <w:b/>
          <w:bCs/>
          <w:color w:val="000000" w:themeColor="text1"/>
          <w:spacing w:val="2"/>
          <w14:textFill>
            <w14:solidFill>
              <w14:schemeClr w14:val="tx1"/>
            </w14:solidFill>
          </w14:textFill>
        </w:rPr>
        <w:t xml:space="preserve"> </w:t>
      </w:r>
      <w:r>
        <w:rPr>
          <w:rFonts w:cs="宋体"/>
          <w:b/>
          <w:bCs/>
          <w:color w:val="000000" w:themeColor="text1"/>
          <w:spacing w:val="4"/>
          <w14:textFill>
            <w14:solidFill>
              <w14:schemeClr w14:val="tx1"/>
            </w14:solidFill>
          </w14:textFill>
        </w:rPr>
        <w:t>小时内响应，必要时</w:t>
      </w:r>
      <w:r>
        <w:rPr>
          <w:b/>
          <w:bCs/>
          <w:color w:val="000000" w:themeColor="text1"/>
          <w:spacing w:val="1"/>
          <w14:textFill>
            <w14:solidFill>
              <w14:schemeClr w14:val="tx1"/>
            </w14:solidFill>
          </w14:textFill>
        </w:rPr>
        <w:t xml:space="preserve"> </w:t>
      </w:r>
      <w:r>
        <w:rPr>
          <w:b/>
          <w:bCs/>
          <w:color w:val="000000" w:themeColor="text1"/>
          <w14:textFill>
            <w14:solidFill>
              <w14:schemeClr w14:val="tx1"/>
            </w14:solidFill>
          </w14:textFill>
        </w:rPr>
        <w:t>48</w:t>
      </w:r>
      <w:r>
        <w:rPr>
          <w:b/>
          <w:bCs/>
          <w:color w:val="000000" w:themeColor="text1"/>
          <w:spacing w:val="2"/>
          <w14:textFill>
            <w14:solidFill>
              <w14:schemeClr w14:val="tx1"/>
            </w14:solidFill>
          </w14:textFill>
        </w:rPr>
        <w:t xml:space="preserve"> </w:t>
      </w:r>
      <w:r>
        <w:rPr>
          <w:rFonts w:cs="宋体"/>
          <w:b/>
          <w:bCs/>
          <w:color w:val="000000" w:themeColor="text1"/>
          <w:spacing w:val="3"/>
          <w14:textFill>
            <w14:solidFill>
              <w14:schemeClr w14:val="tx1"/>
            </w14:solidFill>
          </w14:textFill>
        </w:rPr>
        <w:t>小时内赶到现</w:t>
      </w:r>
      <w:r>
        <w:rPr>
          <w:rFonts w:cs="宋体"/>
          <w:b/>
          <w:bCs/>
          <w:color w:val="000000" w:themeColor="text1"/>
          <w14:textFill>
            <w14:solidFill>
              <w14:schemeClr w14:val="tx1"/>
            </w14:solidFill>
          </w14:textFill>
        </w:rPr>
        <w:t>场，期间产生的费用及损失，除属采购方责任和不可抗力除外，均由</w:t>
      </w:r>
      <w:r>
        <w:rPr>
          <w:rFonts w:hint="eastAsia" w:cs="宋体"/>
          <w:b/>
          <w:bCs/>
          <w:color w:val="000000" w:themeColor="text1"/>
          <w:lang w:eastAsia="zh-CN"/>
          <w14:textFill>
            <w14:solidFill>
              <w14:schemeClr w14:val="tx1"/>
            </w14:solidFill>
          </w14:textFill>
        </w:rPr>
        <w:t>投标人</w:t>
      </w:r>
      <w:r>
        <w:rPr>
          <w:rFonts w:cs="宋体"/>
          <w:b/>
          <w:bCs/>
          <w:color w:val="000000" w:themeColor="text1"/>
          <w14:textFill>
            <w14:solidFill>
              <w14:schemeClr w14:val="tx1"/>
            </w14:solidFill>
          </w14:textFill>
        </w:rPr>
        <w:t>负责。</w:t>
      </w:r>
    </w:p>
    <w:p w14:paraId="5E5CB189">
      <w:pPr>
        <w:keepLines w:val="0"/>
        <w:pageBreakBefore w:val="0"/>
        <w:kinsoku/>
        <w:wordWrap/>
        <w:bidi w:val="0"/>
        <w:spacing w:line="500" w:lineRule="exact"/>
        <w:ind w:left="410"/>
        <w:rPr>
          <w:color w:val="000000" w:themeColor="text1"/>
          <w:spacing w:val="-6"/>
          <w14:textFill>
            <w14:solidFill>
              <w14:schemeClr w14:val="tx1"/>
            </w14:solidFill>
          </w14:textFill>
        </w:rPr>
      </w:pPr>
    </w:p>
    <w:p w14:paraId="654A8083">
      <w:pPr>
        <w:pStyle w:val="4"/>
        <w:bidi w:val="0"/>
        <w:rPr>
          <w:color w:val="000000" w:themeColor="text1"/>
          <w14:textFill>
            <w14:solidFill>
              <w14:schemeClr w14:val="tx1"/>
            </w14:solidFill>
          </w14:textFill>
        </w:rPr>
      </w:pPr>
      <w:bookmarkStart w:id="37" w:name="_Toc10126"/>
      <w:r>
        <w:rPr>
          <w:rFonts w:hint="eastAsia"/>
          <w:color w:val="000000" w:themeColor="text1"/>
          <w:spacing w:val="-6"/>
          <w:lang w:eastAsia="zh-CN"/>
          <w14:textFill>
            <w14:solidFill>
              <w14:schemeClr w14:val="tx1"/>
            </w14:solidFill>
          </w14:textFill>
        </w:rPr>
        <w:t>10.</w:t>
      </w:r>
      <w:r>
        <w:rPr>
          <w:rFonts w:cs="宋体"/>
          <w:color w:val="000000" w:themeColor="text1"/>
          <w14:textFill>
            <w14:solidFill>
              <w14:schemeClr w14:val="tx1"/>
            </w14:solidFill>
          </w14:textFill>
        </w:rPr>
        <w:t>验收</w:t>
      </w:r>
      <w:bookmarkEnd w:id="37"/>
    </w:p>
    <w:p w14:paraId="3BE40F30">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spacing w:val="-2"/>
          <w:lang w:eastAsia="zh-CN"/>
          <w14:textFill>
            <w14:solidFill>
              <w14:schemeClr w14:val="tx1"/>
            </w14:solidFill>
          </w14:textFill>
        </w:rPr>
        <w:t>10.</w:t>
      </w:r>
      <w:r>
        <w:rPr>
          <w:color w:val="000000" w:themeColor="text1"/>
          <w:spacing w:val="-2"/>
          <w14:textFill>
            <w14:solidFill>
              <w14:schemeClr w14:val="tx1"/>
            </w14:solidFill>
          </w14:textFill>
        </w:rPr>
        <w:t>1</w:t>
      </w:r>
      <w:r>
        <w:rPr>
          <w:color w:val="000000" w:themeColor="text1"/>
          <w:spacing w:val="60"/>
          <w14:textFill>
            <w14:solidFill>
              <w14:schemeClr w14:val="tx1"/>
            </w14:solidFill>
          </w14:textFill>
        </w:rPr>
        <w:t xml:space="preserve"> </w:t>
      </w:r>
      <w:r>
        <w:rPr>
          <w:rFonts w:hint="eastAsia" w:cs="宋体"/>
          <w:color w:val="000000" w:themeColor="text1"/>
          <w:spacing w:val="2"/>
          <w:lang w:eastAsia="zh-CN"/>
          <w14:textFill>
            <w14:solidFill>
              <w14:schemeClr w14:val="tx1"/>
            </w14:solidFill>
          </w14:textFill>
        </w:rPr>
        <w:t>投标人</w:t>
      </w:r>
      <w:r>
        <w:rPr>
          <w:rFonts w:cs="宋体"/>
          <w:color w:val="000000" w:themeColor="text1"/>
          <w:spacing w:val="2"/>
          <w14:textFill>
            <w14:solidFill>
              <w14:schemeClr w14:val="tx1"/>
            </w14:solidFill>
          </w14:textFill>
        </w:rPr>
        <w:t>依据技术规范所要求内容供货，采购方根据采购技术规范内容验</w:t>
      </w:r>
      <w:r>
        <w:rPr>
          <w:rFonts w:cs="宋体"/>
          <w:color w:val="000000" w:themeColor="text1"/>
          <w:spacing w:val="3"/>
          <w14:textFill>
            <w14:solidFill>
              <w14:schemeClr w14:val="tx1"/>
            </w14:solidFill>
          </w14:textFill>
        </w:rPr>
        <w:t>收，如</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提供货物与技术规范书存在差异，又未在报价差异表中列出的，采购</w:t>
      </w:r>
      <w:r>
        <w:rPr>
          <w:rFonts w:cs="宋体"/>
          <w:color w:val="000000" w:themeColor="text1"/>
          <w14:textFill>
            <w14:solidFill>
              <w14:schemeClr w14:val="tx1"/>
            </w14:solidFill>
          </w14:textFill>
        </w:rPr>
        <w:t>方有权拒收。</w:t>
      </w:r>
    </w:p>
    <w:p w14:paraId="6E04FC87">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spacing w:val="-2"/>
          <w:lang w:eastAsia="zh-CN"/>
          <w14:textFill>
            <w14:solidFill>
              <w14:schemeClr w14:val="tx1"/>
            </w14:solidFill>
          </w14:textFill>
        </w:rPr>
        <w:t>10.</w:t>
      </w:r>
      <w:r>
        <w:rPr>
          <w:color w:val="000000" w:themeColor="text1"/>
          <w:spacing w:val="-2"/>
          <w14:textFill>
            <w14:solidFill>
              <w14:schemeClr w14:val="tx1"/>
            </w14:solidFill>
          </w14:textFill>
        </w:rPr>
        <w:t>2</w:t>
      </w:r>
      <w:r>
        <w:rPr>
          <w:color w:val="000000" w:themeColor="text1"/>
          <w:spacing w:val="60"/>
          <w14:textFill>
            <w14:solidFill>
              <w14:schemeClr w14:val="tx1"/>
            </w14:solidFill>
          </w14:textFill>
        </w:rPr>
        <w:t xml:space="preserve"> </w:t>
      </w:r>
      <w:r>
        <w:rPr>
          <w:rFonts w:cs="宋体"/>
          <w:color w:val="000000" w:themeColor="text1"/>
          <w14:textFill>
            <w14:solidFill>
              <w14:schemeClr w14:val="tx1"/>
            </w14:solidFill>
          </w14:textFill>
        </w:rPr>
        <w:t>到货验收</w:t>
      </w:r>
    </w:p>
    <w:p w14:paraId="41FC177E">
      <w:pPr>
        <w:keepLines w:val="0"/>
        <w:pageBreakBefore w:val="0"/>
        <w:kinsoku/>
        <w:wordWrap/>
        <w:bidi w:val="0"/>
        <w:spacing w:line="500" w:lineRule="exact"/>
        <w:ind w:left="410"/>
        <w:rPr>
          <w:rFonts w:hint="eastAsia" w:eastAsia="宋体" w:cs="宋体"/>
          <w:b/>
          <w:bCs/>
          <w:color w:val="000000" w:themeColor="text1"/>
          <w:lang w:eastAsia="zh-CN"/>
          <w14:textFill>
            <w14:solidFill>
              <w14:schemeClr w14:val="tx1"/>
            </w14:solidFill>
          </w14:textFill>
        </w:rPr>
      </w:pPr>
      <w:r>
        <w:rPr>
          <w:rFonts w:cs="宋体"/>
          <w:color w:val="000000" w:themeColor="text1"/>
          <w:spacing w:val="3"/>
          <w14:textFill>
            <w14:solidFill>
              <w14:schemeClr w14:val="tx1"/>
            </w14:solidFill>
          </w14:textFill>
        </w:rPr>
        <w:t>到货验收分为开箱验收和功能验收</w:t>
      </w:r>
      <w:r>
        <w:rPr>
          <w:rFonts w:hint="eastAsia" w:cs="宋体"/>
          <w:color w:val="000000" w:themeColor="text1"/>
          <w:spacing w:val="3"/>
          <w:lang w:eastAsia="zh-CN"/>
          <w14:textFill>
            <w14:solidFill>
              <w14:schemeClr w14:val="tx1"/>
            </w14:solidFill>
          </w14:textFill>
        </w:rPr>
        <w:t>。</w:t>
      </w:r>
      <w:r>
        <w:rPr>
          <w:rFonts w:cs="宋体"/>
          <w:b/>
          <w:bCs/>
          <w:color w:val="000000" w:themeColor="text1"/>
          <w:spacing w:val="3"/>
          <w14:textFill>
            <w14:solidFill>
              <w14:schemeClr w14:val="tx1"/>
            </w14:solidFill>
          </w14:textFill>
        </w:rPr>
        <w:t>开箱验收包括对</w:t>
      </w:r>
      <w:r>
        <w:rPr>
          <w:rFonts w:cs="宋体"/>
          <w:b/>
          <w:bCs/>
          <w:color w:val="000000" w:themeColor="text1"/>
          <w:spacing w:val="1"/>
          <w14:textFill>
            <w14:solidFill>
              <w14:schemeClr w14:val="tx1"/>
            </w14:solidFill>
          </w14:textFill>
        </w:rPr>
        <w:t>仪</w:t>
      </w:r>
      <w:r>
        <w:rPr>
          <w:rFonts w:hint="eastAsia" w:cs="宋体"/>
          <w:b/>
          <w:bCs/>
          <w:color w:val="000000" w:themeColor="text1"/>
          <w:spacing w:val="1"/>
          <w14:textFill>
            <w14:solidFill>
              <w14:schemeClr w14:val="tx1"/>
            </w14:solidFill>
          </w14:textFill>
        </w:rPr>
        <w:t>器</w:t>
      </w:r>
      <w:r>
        <w:rPr>
          <w:rFonts w:cs="宋体"/>
          <w:b/>
          <w:bCs/>
          <w:color w:val="000000" w:themeColor="text1"/>
          <w:spacing w:val="1"/>
          <w14:textFill>
            <w14:solidFill>
              <w14:schemeClr w14:val="tx1"/>
            </w14:solidFill>
          </w14:textFill>
        </w:rPr>
        <w:t>、</w:t>
      </w:r>
      <w:r>
        <w:rPr>
          <w:rFonts w:hint="eastAsia" w:cs="宋体"/>
          <w:b/>
          <w:bCs/>
          <w:color w:val="000000" w:themeColor="text1"/>
          <w:spacing w:val="1"/>
          <w14:textFill>
            <w14:solidFill>
              <w14:schemeClr w14:val="tx1"/>
            </w14:solidFill>
          </w14:textFill>
        </w:rPr>
        <w:t>配件</w:t>
      </w:r>
      <w:r>
        <w:rPr>
          <w:rFonts w:cs="宋体"/>
          <w:b/>
          <w:bCs/>
          <w:color w:val="000000" w:themeColor="text1"/>
          <w:spacing w:val="1"/>
          <w14:textFill>
            <w14:solidFill>
              <w14:schemeClr w14:val="tx1"/>
            </w14:solidFill>
          </w14:textFill>
        </w:rPr>
        <w:t>、</w:t>
      </w:r>
      <w:r>
        <w:rPr>
          <w:rFonts w:hint="eastAsia" w:cs="宋体"/>
          <w:b/>
          <w:bCs/>
          <w:color w:val="000000" w:themeColor="text1"/>
          <w:spacing w:val="1"/>
          <w:lang w:val="en-US" w:eastAsia="zh-CN"/>
          <w14:textFill>
            <w14:solidFill>
              <w14:schemeClr w14:val="tx1"/>
            </w14:solidFill>
          </w14:textFill>
        </w:rPr>
        <w:t>第三方校准</w:t>
      </w:r>
      <w:r>
        <w:rPr>
          <w:rFonts w:cs="宋体"/>
          <w:b/>
          <w:bCs/>
          <w:color w:val="000000" w:themeColor="text1"/>
          <w:spacing w:val="1"/>
          <w14:textFill>
            <w14:solidFill>
              <w14:schemeClr w14:val="tx1"/>
            </w14:solidFill>
          </w14:textFill>
        </w:rPr>
        <w:t>报告和合格证等设备</w:t>
      </w:r>
      <w:r>
        <w:rPr>
          <w:b/>
          <w:bCs/>
          <w:color w:val="000000" w:themeColor="text1"/>
          <w:spacing w:val="3"/>
          <w14:textFill>
            <w14:solidFill>
              <w14:schemeClr w14:val="tx1"/>
            </w14:solidFill>
          </w14:textFill>
        </w:rPr>
        <w:t>/</w:t>
      </w:r>
      <w:r>
        <w:rPr>
          <w:rFonts w:cs="宋体"/>
          <w:b/>
          <w:bCs/>
          <w:color w:val="000000" w:themeColor="text1"/>
          <w:spacing w:val="1"/>
          <w14:textFill>
            <w14:solidFill>
              <w14:schemeClr w14:val="tx1"/>
            </w14:solidFill>
          </w14:textFill>
        </w:rPr>
        <w:t>材料是否齐全；功能验收指设备</w:t>
      </w:r>
      <w:r>
        <w:rPr>
          <w:rFonts w:cs="宋体"/>
          <w:b/>
          <w:bCs/>
          <w:color w:val="000000" w:themeColor="text1"/>
          <w14:textFill>
            <w14:solidFill>
              <w14:schemeClr w14:val="tx1"/>
            </w14:solidFill>
          </w14:textFill>
        </w:rPr>
        <w:t>各项功能参数是否满足技术规范要求</w:t>
      </w:r>
      <w:r>
        <w:rPr>
          <w:rFonts w:hint="eastAsia" w:cs="宋体"/>
          <w:b/>
          <w:bCs/>
          <w:color w:val="000000" w:themeColor="text1"/>
          <w:lang w:eastAsia="zh-CN"/>
          <w14:textFill>
            <w14:solidFill>
              <w14:schemeClr w14:val="tx1"/>
            </w14:solidFill>
          </w14:textFill>
        </w:rPr>
        <w:t>。</w:t>
      </w:r>
    </w:p>
    <w:p w14:paraId="68D0041D">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spacing w:val="-2"/>
          <w:lang w:eastAsia="zh-CN"/>
          <w14:textFill>
            <w14:solidFill>
              <w14:schemeClr w14:val="tx1"/>
            </w14:solidFill>
          </w14:textFill>
        </w:rPr>
        <w:t>10.</w:t>
      </w:r>
      <w:r>
        <w:rPr>
          <w:color w:val="000000" w:themeColor="text1"/>
          <w:spacing w:val="-2"/>
          <w14:textFill>
            <w14:solidFill>
              <w14:schemeClr w14:val="tx1"/>
            </w14:solidFill>
          </w14:textFill>
        </w:rPr>
        <w:t>3</w:t>
      </w:r>
      <w:r>
        <w:rPr>
          <w:color w:val="000000" w:themeColor="text1"/>
          <w:spacing w:val="60"/>
          <w14:textFill>
            <w14:solidFill>
              <w14:schemeClr w14:val="tx1"/>
            </w14:solidFill>
          </w14:textFill>
        </w:rPr>
        <w:t xml:space="preserve"> </w:t>
      </w:r>
      <w:r>
        <w:rPr>
          <w:rFonts w:cs="宋体"/>
          <w:color w:val="000000" w:themeColor="text1"/>
          <w14:textFill>
            <w14:solidFill>
              <w14:schemeClr w14:val="tx1"/>
            </w14:solidFill>
          </w14:textFill>
        </w:rPr>
        <w:t>现场验收</w:t>
      </w:r>
    </w:p>
    <w:p w14:paraId="74422EC9">
      <w:pPr>
        <w:keepLines w:val="0"/>
        <w:pageBreakBefore w:val="0"/>
        <w:kinsoku/>
        <w:wordWrap/>
        <w:bidi w:val="0"/>
        <w:spacing w:line="500" w:lineRule="exact"/>
        <w:ind w:left="410"/>
        <w:rPr>
          <w:color w:val="000000" w:themeColor="text1"/>
          <w14:textFill>
            <w14:solidFill>
              <w14:schemeClr w14:val="tx1"/>
            </w14:solidFill>
          </w14:textFill>
        </w:rPr>
      </w:pPr>
      <w:r>
        <w:rPr>
          <w:rFonts w:cs="宋体"/>
          <w:color w:val="000000" w:themeColor="text1"/>
          <w:spacing w:val="3"/>
          <w14:textFill>
            <w14:solidFill>
              <w14:schemeClr w14:val="tx1"/>
            </w14:solidFill>
          </w14:textFill>
        </w:rPr>
        <w:t>在采购方指定试验室安装调试完成后，以</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协助采购方完成技术培训内</w:t>
      </w:r>
      <w:r>
        <w:rPr>
          <w:rFonts w:cs="宋体"/>
          <w:color w:val="000000" w:themeColor="text1"/>
          <w14:textFill>
            <w14:solidFill>
              <w14:schemeClr w14:val="tx1"/>
            </w14:solidFill>
          </w14:textFill>
        </w:rPr>
        <w:t>容为标准进行验收，验收合格后由</w:t>
      </w:r>
      <w:r>
        <w:rPr>
          <w:rFonts w:hint="eastAsia" w:cs="宋体"/>
          <w:color w:val="000000" w:themeColor="text1"/>
          <w:lang w:eastAsia="zh-CN"/>
          <w14:textFill>
            <w14:solidFill>
              <w14:schemeClr w14:val="tx1"/>
            </w14:solidFill>
          </w14:textFill>
        </w:rPr>
        <w:t>投标人</w:t>
      </w:r>
      <w:r>
        <w:rPr>
          <w:rFonts w:cs="宋体"/>
          <w:color w:val="000000" w:themeColor="text1"/>
          <w14:textFill>
            <w14:solidFill>
              <w14:schemeClr w14:val="tx1"/>
            </w14:solidFill>
          </w14:textFill>
        </w:rPr>
        <w:t>提供验收报告。</w:t>
      </w:r>
    </w:p>
    <w:p w14:paraId="538C61FF">
      <w:pPr>
        <w:pStyle w:val="4"/>
        <w:bidi w:val="0"/>
        <w:rPr>
          <w:color w:val="000000" w:themeColor="text1"/>
          <w14:textFill>
            <w14:solidFill>
              <w14:schemeClr w14:val="tx1"/>
            </w14:solidFill>
          </w14:textFill>
        </w:rPr>
      </w:pPr>
      <w:bookmarkStart w:id="38" w:name="_Toc22211"/>
      <w:r>
        <w:rPr>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14:textFill>
            <w14:solidFill>
              <w14:schemeClr w14:val="tx1"/>
            </w14:solidFill>
          </w14:textFill>
        </w:rPr>
        <w:t>.</w:t>
      </w:r>
      <w:r>
        <w:rPr>
          <w:rFonts w:cs="宋体"/>
          <w:color w:val="000000" w:themeColor="text1"/>
          <w:spacing w:val="1"/>
          <w14:textFill>
            <w14:solidFill>
              <w14:schemeClr w14:val="tx1"/>
            </w14:solidFill>
          </w14:textFill>
        </w:rPr>
        <w:t>技术差异表</w:t>
      </w:r>
      <w:bookmarkEnd w:id="38"/>
    </w:p>
    <w:p w14:paraId="4AC56A8A">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color w:val="000000" w:themeColor="text1"/>
          <w:spacing w:val="-1"/>
          <w14:textFill>
            <w14:solidFill>
              <w14:schemeClr w14:val="tx1"/>
            </w14:solidFill>
          </w14:textFill>
        </w:rPr>
        <w:tab/>
      </w:r>
      <w:r>
        <w:rPr>
          <w:rFonts w:hint="eastAsia" w:cs="宋体"/>
          <w:color w:val="000000" w:themeColor="text1"/>
          <w:spacing w:val="-1"/>
          <w14:textFill>
            <w14:solidFill>
              <w14:schemeClr w14:val="tx1"/>
            </w14:solidFill>
          </w14:textFill>
        </w:rPr>
        <w:tab/>
      </w:r>
      <w:r>
        <w:rPr>
          <w:rFonts w:hint="eastAsia" w:cs="宋体"/>
          <w:color w:val="000000" w:themeColor="text1"/>
          <w:spacing w:val="-1"/>
          <w:lang w:eastAsia="zh-CN"/>
          <w14:textFill>
            <w14:solidFill>
              <w14:schemeClr w14:val="tx1"/>
            </w14:solidFill>
          </w14:textFill>
        </w:rPr>
        <w:t>投标人</w:t>
      </w:r>
      <w:r>
        <w:rPr>
          <w:rFonts w:cs="宋体"/>
          <w:color w:val="000000" w:themeColor="text1"/>
          <w:spacing w:val="-1"/>
          <w14:textFill>
            <w14:solidFill>
              <w14:schemeClr w14:val="tx1"/>
            </w14:solidFill>
          </w14:textFill>
        </w:rPr>
        <w:t>应将所供设备与本采购书技术文件有差异之处，无论优于或劣于本</w:t>
      </w:r>
      <w:r>
        <w:rPr>
          <w:rFonts w:hint="eastAsia" w:cs="宋体"/>
          <w:color w:val="000000" w:themeColor="text1"/>
          <w:spacing w:val="-1"/>
          <w14:textFill>
            <w14:solidFill>
              <w14:schemeClr w14:val="tx1"/>
            </w14:solidFill>
          </w14:textFill>
        </w:rPr>
        <w:t>规范书</w:t>
      </w:r>
      <w:r>
        <w:rPr>
          <w:rFonts w:cs="宋体"/>
          <w:color w:val="000000" w:themeColor="text1"/>
          <w14:textFill>
            <w14:solidFill>
              <w14:schemeClr w14:val="tx1"/>
            </w14:solidFill>
          </w14:textFill>
        </w:rPr>
        <w:t>要求，均汇集成此表。</w:t>
      </w:r>
    </w:p>
    <w:p w14:paraId="56B6E384">
      <w:pPr>
        <w:keepLines w:val="0"/>
        <w:pageBreakBefore w:val="0"/>
        <w:kinsoku/>
        <w:wordWrap/>
        <w:bidi w:val="0"/>
        <w:spacing w:line="500" w:lineRule="exact"/>
        <w:ind w:left="410"/>
        <w:rPr>
          <w:color w:val="000000" w:themeColor="text1"/>
          <w14:textFill>
            <w14:solidFill>
              <w14:schemeClr w14:val="tx1"/>
            </w14:solidFill>
          </w14:textFill>
        </w:rPr>
      </w:pPr>
      <w:r>
        <w:rPr>
          <w:rFonts w:cs="宋体"/>
          <w:color w:val="000000" w:themeColor="text1"/>
          <w14:textFill>
            <w14:solidFill>
              <w14:schemeClr w14:val="tx1"/>
            </w14:solidFill>
          </w14:textFill>
        </w:rPr>
        <w:t>技术差异表</w:t>
      </w:r>
    </w:p>
    <w:tbl>
      <w:tblPr>
        <w:tblStyle w:val="12"/>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14:paraId="11075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14:paraId="1D0FB2B1">
            <w:pPr>
              <w:keepLines w:val="0"/>
              <w:pageBreakBefore w:val="0"/>
              <w:kinsoku/>
              <w:wordWrap/>
              <w:bidi w:val="0"/>
              <w:spacing w:line="500" w:lineRule="exact"/>
              <w:ind w:left="0" w:leftChars="0"/>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4313" w:type="dxa"/>
            <w:gridSpan w:val="2"/>
            <w:vAlign w:val="center"/>
          </w:tcPr>
          <w:p w14:paraId="544F7619">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采购文件</w:t>
            </w:r>
          </w:p>
        </w:tc>
        <w:tc>
          <w:tcPr>
            <w:tcW w:w="4369" w:type="dxa"/>
            <w:gridSpan w:val="2"/>
            <w:vAlign w:val="center"/>
          </w:tcPr>
          <w:p w14:paraId="06667930">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报价文件</w:t>
            </w:r>
          </w:p>
        </w:tc>
      </w:tr>
      <w:tr w14:paraId="25432D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14:paraId="6FB43635">
            <w:pPr>
              <w:keepLines w:val="0"/>
              <w:pageBreakBefore w:val="0"/>
              <w:kinsoku/>
              <w:wordWrap/>
              <w:bidi w:val="0"/>
              <w:spacing w:line="500" w:lineRule="exact"/>
              <w:ind w:left="410"/>
              <w:jc w:val="center"/>
              <w:rPr>
                <w:color w:val="000000" w:themeColor="text1"/>
                <w14:textFill>
                  <w14:solidFill>
                    <w14:schemeClr w14:val="tx1"/>
                  </w14:solidFill>
                </w14:textFill>
              </w:rPr>
            </w:pPr>
          </w:p>
        </w:tc>
        <w:tc>
          <w:tcPr>
            <w:tcW w:w="2077" w:type="dxa"/>
            <w:vAlign w:val="center"/>
          </w:tcPr>
          <w:p w14:paraId="7237C4C1">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条目</w:t>
            </w:r>
          </w:p>
        </w:tc>
        <w:tc>
          <w:tcPr>
            <w:tcW w:w="2236" w:type="dxa"/>
            <w:vAlign w:val="center"/>
          </w:tcPr>
          <w:p w14:paraId="1C0302FD">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简要内容</w:t>
            </w:r>
          </w:p>
        </w:tc>
        <w:tc>
          <w:tcPr>
            <w:tcW w:w="2077" w:type="dxa"/>
            <w:vAlign w:val="center"/>
          </w:tcPr>
          <w:p w14:paraId="223A690C">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条目</w:t>
            </w:r>
          </w:p>
        </w:tc>
        <w:tc>
          <w:tcPr>
            <w:tcW w:w="2292" w:type="dxa"/>
            <w:vAlign w:val="center"/>
          </w:tcPr>
          <w:p w14:paraId="257BA86D">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简要内容</w:t>
            </w:r>
          </w:p>
        </w:tc>
      </w:tr>
      <w:tr w14:paraId="79574D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4A44C8E7">
            <w:pPr>
              <w:keepLines w:val="0"/>
              <w:pageBreakBefore w:val="0"/>
              <w:numPr>
                <w:ilvl w:val="0"/>
                <w:numId w:val="2"/>
              </w:numPr>
              <w:kinsoku/>
              <w:wordWrap/>
              <w:bidi w:val="0"/>
              <w:spacing w:line="500" w:lineRule="exact"/>
              <w:ind w:leftChars="0"/>
              <w:jc w:val="both"/>
              <w:rPr>
                <w:color w:val="000000" w:themeColor="text1"/>
                <w14:textFill>
                  <w14:solidFill>
                    <w14:schemeClr w14:val="tx1"/>
                  </w14:solidFill>
                </w14:textFill>
              </w:rPr>
            </w:pPr>
          </w:p>
        </w:tc>
        <w:tc>
          <w:tcPr>
            <w:tcW w:w="2077" w:type="dxa"/>
          </w:tcPr>
          <w:p w14:paraId="1EDDBF3B">
            <w:pPr>
              <w:keepLines w:val="0"/>
              <w:pageBreakBefore w:val="0"/>
              <w:kinsoku/>
              <w:wordWrap/>
              <w:bidi w:val="0"/>
              <w:spacing w:line="500" w:lineRule="exact"/>
              <w:ind w:left="410"/>
              <w:rPr>
                <w:color w:val="000000" w:themeColor="text1"/>
                <w14:textFill>
                  <w14:solidFill>
                    <w14:schemeClr w14:val="tx1"/>
                  </w14:solidFill>
                </w14:textFill>
              </w:rPr>
            </w:pPr>
          </w:p>
        </w:tc>
        <w:tc>
          <w:tcPr>
            <w:tcW w:w="2236" w:type="dxa"/>
          </w:tcPr>
          <w:p w14:paraId="128D02B9">
            <w:pPr>
              <w:keepLines w:val="0"/>
              <w:pageBreakBefore w:val="0"/>
              <w:kinsoku/>
              <w:wordWrap/>
              <w:bidi w:val="0"/>
              <w:spacing w:line="500" w:lineRule="exact"/>
              <w:ind w:left="410"/>
              <w:rPr>
                <w:color w:val="000000" w:themeColor="text1"/>
                <w14:textFill>
                  <w14:solidFill>
                    <w14:schemeClr w14:val="tx1"/>
                  </w14:solidFill>
                </w14:textFill>
              </w:rPr>
            </w:pPr>
          </w:p>
        </w:tc>
        <w:tc>
          <w:tcPr>
            <w:tcW w:w="2077" w:type="dxa"/>
          </w:tcPr>
          <w:p w14:paraId="5D91FA91">
            <w:pPr>
              <w:keepLines w:val="0"/>
              <w:pageBreakBefore w:val="0"/>
              <w:kinsoku/>
              <w:wordWrap/>
              <w:bidi w:val="0"/>
              <w:spacing w:line="500" w:lineRule="exact"/>
              <w:ind w:left="410"/>
              <w:rPr>
                <w:color w:val="000000" w:themeColor="text1"/>
                <w14:textFill>
                  <w14:solidFill>
                    <w14:schemeClr w14:val="tx1"/>
                  </w14:solidFill>
                </w14:textFill>
              </w:rPr>
            </w:pPr>
          </w:p>
        </w:tc>
        <w:tc>
          <w:tcPr>
            <w:tcW w:w="2292" w:type="dxa"/>
          </w:tcPr>
          <w:p w14:paraId="7097C903">
            <w:pPr>
              <w:keepLines w:val="0"/>
              <w:pageBreakBefore w:val="0"/>
              <w:kinsoku/>
              <w:wordWrap/>
              <w:bidi w:val="0"/>
              <w:spacing w:line="500" w:lineRule="exact"/>
              <w:ind w:left="410"/>
              <w:jc w:val="center"/>
              <w:rPr>
                <w:color w:val="000000" w:themeColor="text1"/>
                <w14:textFill>
                  <w14:solidFill>
                    <w14:schemeClr w14:val="tx1"/>
                  </w14:solidFill>
                </w14:textFill>
              </w:rPr>
            </w:pPr>
          </w:p>
        </w:tc>
      </w:tr>
      <w:tr w14:paraId="3898E9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0BC194F6">
            <w:pPr>
              <w:keepLines w:val="0"/>
              <w:pageBreakBefore w:val="0"/>
              <w:numPr>
                <w:ilvl w:val="0"/>
                <w:numId w:val="2"/>
              </w:numPr>
              <w:kinsoku/>
              <w:wordWrap/>
              <w:bidi w:val="0"/>
              <w:spacing w:line="500" w:lineRule="exact"/>
              <w:ind w:leftChars="0"/>
              <w:jc w:val="both"/>
              <w:rPr>
                <w:color w:val="000000" w:themeColor="text1"/>
                <w14:textFill>
                  <w14:solidFill>
                    <w14:schemeClr w14:val="tx1"/>
                  </w14:solidFill>
                </w14:textFill>
              </w:rPr>
            </w:pPr>
          </w:p>
        </w:tc>
        <w:tc>
          <w:tcPr>
            <w:tcW w:w="2077" w:type="dxa"/>
          </w:tcPr>
          <w:p w14:paraId="56FAAFEC">
            <w:pPr>
              <w:keepLines w:val="0"/>
              <w:pageBreakBefore w:val="0"/>
              <w:kinsoku/>
              <w:wordWrap/>
              <w:bidi w:val="0"/>
              <w:spacing w:line="500" w:lineRule="exact"/>
              <w:ind w:left="410"/>
              <w:rPr>
                <w:color w:val="000000" w:themeColor="text1"/>
                <w14:textFill>
                  <w14:solidFill>
                    <w14:schemeClr w14:val="tx1"/>
                  </w14:solidFill>
                </w14:textFill>
              </w:rPr>
            </w:pPr>
          </w:p>
        </w:tc>
        <w:tc>
          <w:tcPr>
            <w:tcW w:w="2236" w:type="dxa"/>
          </w:tcPr>
          <w:p w14:paraId="6EB092BE">
            <w:pPr>
              <w:keepLines w:val="0"/>
              <w:pageBreakBefore w:val="0"/>
              <w:kinsoku/>
              <w:wordWrap/>
              <w:bidi w:val="0"/>
              <w:spacing w:line="500" w:lineRule="exact"/>
              <w:ind w:left="410"/>
              <w:rPr>
                <w:color w:val="000000" w:themeColor="text1"/>
                <w14:textFill>
                  <w14:solidFill>
                    <w14:schemeClr w14:val="tx1"/>
                  </w14:solidFill>
                </w14:textFill>
              </w:rPr>
            </w:pPr>
          </w:p>
        </w:tc>
        <w:tc>
          <w:tcPr>
            <w:tcW w:w="2077" w:type="dxa"/>
          </w:tcPr>
          <w:p w14:paraId="4833C365">
            <w:pPr>
              <w:keepLines w:val="0"/>
              <w:pageBreakBefore w:val="0"/>
              <w:kinsoku/>
              <w:wordWrap/>
              <w:bidi w:val="0"/>
              <w:spacing w:line="500" w:lineRule="exact"/>
              <w:ind w:left="410"/>
              <w:rPr>
                <w:color w:val="000000" w:themeColor="text1"/>
                <w14:textFill>
                  <w14:solidFill>
                    <w14:schemeClr w14:val="tx1"/>
                  </w14:solidFill>
                </w14:textFill>
              </w:rPr>
            </w:pPr>
          </w:p>
        </w:tc>
        <w:tc>
          <w:tcPr>
            <w:tcW w:w="2292" w:type="dxa"/>
          </w:tcPr>
          <w:p w14:paraId="1086574E">
            <w:pPr>
              <w:keepLines w:val="0"/>
              <w:pageBreakBefore w:val="0"/>
              <w:kinsoku/>
              <w:wordWrap/>
              <w:bidi w:val="0"/>
              <w:spacing w:line="500" w:lineRule="exact"/>
              <w:ind w:left="410"/>
              <w:rPr>
                <w:color w:val="000000" w:themeColor="text1"/>
                <w14:textFill>
                  <w14:solidFill>
                    <w14:schemeClr w14:val="tx1"/>
                  </w14:solidFill>
                </w14:textFill>
              </w:rPr>
            </w:pPr>
          </w:p>
        </w:tc>
      </w:tr>
      <w:tr w14:paraId="5543F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479F47CC">
            <w:pPr>
              <w:keepLines w:val="0"/>
              <w:pageBreakBefore w:val="0"/>
              <w:numPr>
                <w:ilvl w:val="0"/>
                <w:numId w:val="2"/>
              </w:numPr>
              <w:kinsoku/>
              <w:wordWrap/>
              <w:bidi w:val="0"/>
              <w:spacing w:line="500" w:lineRule="exact"/>
              <w:ind w:leftChars="0"/>
              <w:jc w:val="both"/>
              <w:rPr>
                <w:color w:val="000000" w:themeColor="text1"/>
                <w14:textFill>
                  <w14:solidFill>
                    <w14:schemeClr w14:val="tx1"/>
                  </w14:solidFill>
                </w14:textFill>
              </w:rPr>
            </w:pPr>
          </w:p>
        </w:tc>
        <w:tc>
          <w:tcPr>
            <w:tcW w:w="2077" w:type="dxa"/>
          </w:tcPr>
          <w:p w14:paraId="2AEDC035">
            <w:pPr>
              <w:keepLines w:val="0"/>
              <w:pageBreakBefore w:val="0"/>
              <w:kinsoku/>
              <w:wordWrap/>
              <w:bidi w:val="0"/>
              <w:spacing w:line="500" w:lineRule="exact"/>
              <w:ind w:left="410"/>
              <w:rPr>
                <w:color w:val="000000" w:themeColor="text1"/>
                <w14:textFill>
                  <w14:solidFill>
                    <w14:schemeClr w14:val="tx1"/>
                  </w14:solidFill>
                </w14:textFill>
              </w:rPr>
            </w:pPr>
          </w:p>
        </w:tc>
        <w:tc>
          <w:tcPr>
            <w:tcW w:w="2236" w:type="dxa"/>
          </w:tcPr>
          <w:p w14:paraId="0A49CD90">
            <w:pPr>
              <w:keepLines w:val="0"/>
              <w:pageBreakBefore w:val="0"/>
              <w:kinsoku/>
              <w:wordWrap/>
              <w:bidi w:val="0"/>
              <w:spacing w:line="500" w:lineRule="exact"/>
              <w:ind w:left="410"/>
              <w:rPr>
                <w:color w:val="000000" w:themeColor="text1"/>
                <w14:textFill>
                  <w14:solidFill>
                    <w14:schemeClr w14:val="tx1"/>
                  </w14:solidFill>
                </w14:textFill>
              </w:rPr>
            </w:pPr>
          </w:p>
        </w:tc>
        <w:tc>
          <w:tcPr>
            <w:tcW w:w="2077" w:type="dxa"/>
          </w:tcPr>
          <w:p w14:paraId="3A15CD4A">
            <w:pPr>
              <w:keepLines w:val="0"/>
              <w:pageBreakBefore w:val="0"/>
              <w:kinsoku/>
              <w:wordWrap/>
              <w:bidi w:val="0"/>
              <w:spacing w:line="500" w:lineRule="exact"/>
              <w:ind w:left="410"/>
              <w:rPr>
                <w:color w:val="000000" w:themeColor="text1"/>
                <w14:textFill>
                  <w14:solidFill>
                    <w14:schemeClr w14:val="tx1"/>
                  </w14:solidFill>
                </w14:textFill>
              </w:rPr>
            </w:pPr>
          </w:p>
        </w:tc>
        <w:tc>
          <w:tcPr>
            <w:tcW w:w="2292" w:type="dxa"/>
          </w:tcPr>
          <w:p w14:paraId="7302C035">
            <w:pPr>
              <w:keepLines w:val="0"/>
              <w:pageBreakBefore w:val="0"/>
              <w:kinsoku/>
              <w:wordWrap/>
              <w:bidi w:val="0"/>
              <w:spacing w:line="500" w:lineRule="exact"/>
              <w:ind w:left="410"/>
              <w:rPr>
                <w:color w:val="000000" w:themeColor="text1"/>
                <w14:textFill>
                  <w14:solidFill>
                    <w14:schemeClr w14:val="tx1"/>
                  </w14:solidFill>
                </w14:textFill>
              </w:rPr>
            </w:pPr>
          </w:p>
        </w:tc>
      </w:tr>
      <w:tr w14:paraId="68B878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14:paraId="5FF952D0">
            <w:pPr>
              <w:keepLines w:val="0"/>
              <w:pageBreakBefore w:val="0"/>
              <w:numPr>
                <w:ilvl w:val="0"/>
                <w:numId w:val="2"/>
              </w:numPr>
              <w:kinsoku/>
              <w:wordWrap/>
              <w:bidi w:val="0"/>
              <w:spacing w:line="500" w:lineRule="exact"/>
              <w:ind w:leftChars="0"/>
              <w:jc w:val="both"/>
              <w:rPr>
                <w:color w:val="000000" w:themeColor="text1"/>
                <w14:textFill>
                  <w14:solidFill>
                    <w14:schemeClr w14:val="tx1"/>
                  </w14:solidFill>
                </w14:textFill>
              </w:rPr>
            </w:pPr>
          </w:p>
        </w:tc>
        <w:tc>
          <w:tcPr>
            <w:tcW w:w="2077" w:type="dxa"/>
          </w:tcPr>
          <w:p w14:paraId="50700DF8">
            <w:pPr>
              <w:keepLines w:val="0"/>
              <w:pageBreakBefore w:val="0"/>
              <w:kinsoku/>
              <w:wordWrap/>
              <w:bidi w:val="0"/>
              <w:spacing w:line="500" w:lineRule="exact"/>
              <w:ind w:left="410"/>
              <w:rPr>
                <w:color w:val="000000" w:themeColor="text1"/>
                <w14:textFill>
                  <w14:solidFill>
                    <w14:schemeClr w14:val="tx1"/>
                  </w14:solidFill>
                </w14:textFill>
              </w:rPr>
            </w:pPr>
          </w:p>
        </w:tc>
        <w:tc>
          <w:tcPr>
            <w:tcW w:w="2236" w:type="dxa"/>
          </w:tcPr>
          <w:p w14:paraId="2E1E422B">
            <w:pPr>
              <w:keepLines w:val="0"/>
              <w:pageBreakBefore w:val="0"/>
              <w:kinsoku/>
              <w:wordWrap/>
              <w:bidi w:val="0"/>
              <w:spacing w:line="500" w:lineRule="exact"/>
              <w:ind w:left="410"/>
              <w:rPr>
                <w:color w:val="000000" w:themeColor="text1"/>
                <w14:textFill>
                  <w14:solidFill>
                    <w14:schemeClr w14:val="tx1"/>
                  </w14:solidFill>
                </w14:textFill>
              </w:rPr>
            </w:pPr>
          </w:p>
        </w:tc>
        <w:tc>
          <w:tcPr>
            <w:tcW w:w="2077" w:type="dxa"/>
          </w:tcPr>
          <w:p w14:paraId="48B1FDA8">
            <w:pPr>
              <w:keepLines w:val="0"/>
              <w:pageBreakBefore w:val="0"/>
              <w:kinsoku/>
              <w:wordWrap/>
              <w:bidi w:val="0"/>
              <w:spacing w:line="500" w:lineRule="exact"/>
              <w:ind w:left="410"/>
              <w:rPr>
                <w:color w:val="000000" w:themeColor="text1"/>
                <w14:textFill>
                  <w14:solidFill>
                    <w14:schemeClr w14:val="tx1"/>
                  </w14:solidFill>
                </w14:textFill>
              </w:rPr>
            </w:pPr>
          </w:p>
        </w:tc>
        <w:tc>
          <w:tcPr>
            <w:tcW w:w="2292" w:type="dxa"/>
          </w:tcPr>
          <w:p w14:paraId="1CEBBAFB">
            <w:pPr>
              <w:keepLines w:val="0"/>
              <w:pageBreakBefore w:val="0"/>
              <w:kinsoku/>
              <w:wordWrap/>
              <w:bidi w:val="0"/>
              <w:spacing w:line="500" w:lineRule="exact"/>
              <w:ind w:left="410"/>
              <w:rPr>
                <w:color w:val="000000" w:themeColor="text1"/>
                <w14:textFill>
                  <w14:solidFill>
                    <w14:schemeClr w14:val="tx1"/>
                  </w14:solidFill>
                </w14:textFill>
              </w:rPr>
            </w:pPr>
          </w:p>
        </w:tc>
      </w:tr>
    </w:tbl>
    <w:p w14:paraId="18724747">
      <w:pPr>
        <w:pStyle w:val="2"/>
        <w:keepLines w:val="0"/>
        <w:pageBreakBefore w:val="0"/>
        <w:kinsoku/>
        <w:wordWrap/>
        <w:bidi w:val="0"/>
        <w:spacing w:line="500" w:lineRule="exact"/>
        <w:ind w:left="410" w:firstLine="240"/>
        <w:rPr>
          <w:color w:val="000000" w:themeColor="text1"/>
          <w14:textFill>
            <w14:solidFill>
              <w14:schemeClr w14:val="tx1"/>
            </w14:solidFill>
          </w14:textFill>
        </w:rPr>
      </w:pPr>
    </w:p>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14:paraId="74E855B2">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E9E55">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AD308"/>
    <w:multiLevelType w:val="singleLevel"/>
    <w:tmpl w:val="11FAD308"/>
    <w:lvl w:ilvl="0" w:tentative="0">
      <w:start w:val="1"/>
      <w:numFmt w:val="decimal"/>
      <w:suff w:val="nothing"/>
      <w:lvlText w:val="（%1）"/>
      <w:lvlJc w:val="left"/>
    </w:lvl>
  </w:abstractNum>
  <w:abstractNum w:abstractNumId="1">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2742095"/>
    <w:rsid w:val="052208DA"/>
    <w:rsid w:val="05DE7F94"/>
    <w:rsid w:val="07B66435"/>
    <w:rsid w:val="08575FBE"/>
    <w:rsid w:val="0B564557"/>
    <w:rsid w:val="0BAB653E"/>
    <w:rsid w:val="0BED48A0"/>
    <w:rsid w:val="0D344206"/>
    <w:rsid w:val="0E8E3B6F"/>
    <w:rsid w:val="105D08E7"/>
    <w:rsid w:val="11606388"/>
    <w:rsid w:val="11624E20"/>
    <w:rsid w:val="11CA303C"/>
    <w:rsid w:val="12921148"/>
    <w:rsid w:val="12EF3EDA"/>
    <w:rsid w:val="13066AFF"/>
    <w:rsid w:val="16406CB6"/>
    <w:rsid w:val="165375A8"/>
    <w:rsid w:val="17486E4C"/>
    <w:rsid w:val="18BD6DA2"/>
    <w:rsid w:val="19277699"/>
    <w:rsid w:val="1967503C"/>
    <w:rsid w:val="1C79220A"/>
    <w:rsid w:val="1C8772B6"/>
    <w:rsid w:val="1D3614FA"/>
    <w:rsid w:val="1FA263E4"/>
    <w:rsid w:val="22703D10"/>
    <w:rsid w:val="23B96AFD"/>
    <w:rsid w:val="250A7DD1"/>
    <w:rsid w:val="25161906"/>
    <w:rsid w:val="254B663C"/>
    <w:rsid w:val="25EF71CB"/>
    <w:rsid w:val="262B372C"/>
    <w:rsid w:val="273F6164"/>
    <w:rsid w:val="27E502D5"/>
    <w:rsid w:val="2BD25271"/>
    <w:rsid w:val="2C3F36A7"/>
    <w:rsid w:val="2D9B20A2"/>
    <w:rsid w:val="2EAE6CA3"/>
    <w:rsid w:val="2EBE0C3A"/>
    <w:rsid w:val="2EF27956"/>
    <w:rsid w:val="30427C69"/>
    <w:rsid w:val="32345EF8"/>
    <w:rsid w:val="32A974A8"/>
    <w:rsid w:val="33342978"/>
    <w:rsid w:val="33C00172"/>
    <w:rsid w:val="34234DD5"/>
    <w:rsid w:val="34DB0F5E"/>
    <w:rsid w:val="367B35A2"/>
    <w:rsid w:val="36C94D6E"/>
    <w:rsid w:val="38771CDA"/>
    <w:rsid w:val="388E2157"/>
    <w:rsid w:val="39061A6B"/>
    <w:rsid w:val="3B733902"/>
    <w:rsid w:val="3F3F3186"/>
    <w:rsid w:val="3FBF5061"/>
    <w:rsid w:val="41F6735B"/>
    <w:rsid w:val="428E22BD"/>
    <w:rsid w:val="430E6611"/>
    <w:rsid w:val="45A4731D"/>
    <w:rsid w:val="47874069"/>
    <w:rsid w:val="47B84838"/>
    <w:rsid w:val="48C17269"/>
    <w:rsid w:val="48CC7BFD"/>
    <w:rsid w:val="49244D8F"/>
    <w:rsid w:val="493C6BB3"/>
    <w:rsid w:val="49765E8C"/>
    <w:rsid w:val="4AC9763E"/>
    <w:rsid w:val="4C39659B"/>
    <w:rsid w:val="4CC77104"/>
    <w:rsid w:val="4D051DBB"/>
    <w:rsid w:val="4D603DFF"/>
    <w:rsid w:val="4EC35C45"/>
    <w:rsid w:val="4FFE5DAB"/>
    <w:rsid w:val="50552B58"/>
    <w:rsid w:val="506444A8"/>
    <w:rsid w:val="53952E53"/>
    <w:rsid w:val="5571253B"/>
    <w:rsid w:val="56D36553"/>
    <w:rsid w:val="576C35FB"/>
    <w:rsid w:val="5834174D"/>
    <w:rsid w:val="58B95CBA"/>
    <w:rsid w:val="5D8E4A8A"/>
    <w:rsid w:val="5E375A3D"/>
    <w:rsid w:val="5EC33DB0"/>
    <w:rsid w:val="5F471779"/>
    <w:rsid w:val="613F394C"/>
    <w:rsid w:val="6268037D"/>
    <w:rsid w:val="62740596"/>
    <w:rsid w:val="62CD7EA4"/>
    <w:rsid w:val="64F943AD"/>
    <w:rsid w:val="67F7461E"/>
    <w:rsid w:val="68434A9E"/>
    <w:rsid w:val="6B4355EC"/>
    <w:rsid w:val="6B8E792C"/>
    <w:rsid w:val="6BEE7AA2"/>
    <w:rsid w:val="6CA32F55"/>
    <w:rsid w:val="70CA591E"/>
    <w:rsid w:val="72CE3F81"/>
    <w:rsid w:val="72DF0305"/>
    <w:rsid w:val="740116E1"/>
    <w:rsid w:val="755A7576"/>
    <w:rsid w:val="76211CFF"/>
    <w:rsid w:val="7867742D"/>
    <w:rsid w:val="7ACF26F6"/>
    <w:rsid w:val="7CB6538D"/>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4">
    <w:name w:val="heading 1"/>
    <w:basedOn w:val="1"/>
    <w:next w:val="1"/>
    <w:link w:val="22"/>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5">
    <w:name w:val="heading 2"/>
    <w:basedOn w:val="1"/>
    <w:next w:val="1"/>
    <w:link w:val="2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8"/>
    <w:unhideWhenUsed/>
    <w:qFormat/>
    <w:uiPriority w:val="99"/>
    <w:pPr>
      <w:ind w:firstLine="420" w:firstLineChars="100"/>
    </w:pPr>
  </w:style>
  <w:style w:type="paragraph" w:styleId="3">
    <w:name w:val="Body Text"/>
    <w:basedOn w:val="1"/>
    <w:link w:val="17"/>
    <w:semiHidden/>
    <w:unhideWhenUsed/>
    <w:qFormat/>
    <w:uiPriority w:val="99"/>
    <w:pPr>
      <w:spacing w:after="120"/>
    </w:pPr>
  </w:style>
  <w:style w:type="paragraph" w:styleId="6">
    <w:name w:val="Plain Text"/>
    <w:basedOn w:val="1"/>
    <w:link w:val="24"/>
    <w:qFormat/>
    <w:uiPriority w:val="0"/>
    <w:rPr>
      <w:rFonts w:hAnsi="Courier New"/>
      <w:color w:val="auto"/>
      <w:sz w:val="21"/>
      <w:szCs w:val="20"/>
    </w:rPr>
  </w:style>
  <w:style w:type="paragraph" w:styleId="7">
    <w:name w:val="Balloon Text"/>
    <w:basedOn w:val="1"/>
    <w:link w:val="25"/>
    <w:semiHidden/>
    <w:unhideWhenUsed/>
    <w:qFormat/>
    <w:uiPriority w:val="99"/>
    <w:pPr>
      <w:spacing w:line="240" w:lineRule="auto"/>
    </w:pPr>
    <w:rPr>
      <w:sz w:val="18"/>
      <w:szCs w:val="18"/>
    </w:rPr>
  </w:style>
  <w:style w:type="paragraph" w:styleId="8">
    <w:name w:val="footer"/>
    <w:basedOn w:val="1"/>
    <w:link w:val="16"/>
    <w:unhideWhenUsed/>
    <w:qFormat/>
    <w:uiPriority w:val="99"/>
    <w:pPr>
      <w:tabs>
        <w:tab w:val="center" w:pos="4153"/>
        <w:tab w:val="right" w:pos="8306"/>
      </w:tabs>
      <w:snapToGrid w:val="0"/>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table" w:styleId="13">
    <w:name w:val="Table Grid"/>
    <w:basedOn w:val="12"/>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9"/>
    <w:qFormat/>
    <w:uiPriority w:val="99"/>
    <w:rPr>
      <w:sz w:val="18"/>
      <w:szCs w:val="18"/>
    </w:rPr>
  </w:style>
  <w:style w:type="character" w:customStyle="1" w:styleId="16">
    <w:name w:val="页脚 字符"/>
    <w:basedOn w:val="14"/>
    <w:link w:val="8"/>
    <w:qFormat/>
    <w:uiPriority w:val="99"/>
    <w:rPr>
      <w:sz w:val="18"/>
      <w:szCs w:val="18"/>
    </w:rPr>
  </w:style>
  <w:style w:type="character" w:customStyle="1" w:styleId="17">
    <w:name w:val="正文文本 字符"/>
    <w:basedOn w:val="14"/>
    <w:link w:val="3"/>
    <w:semiHidden/>
    <w:qFormat/>
    <w:uiPriority w:val="99"/>
    <w:rPr>
      <w:rFonts w:ascii="宋体" w:hAnsi="宋体" w:eastAsia="宋体" w:cs="Times New Roman"/>
      <w:color w:val="000000"/>
      <w:sz w:val="24"/>
      <w:szCs w:val="24"/>
    </w:rPr>
  </w:style>
  <w:style w:type="character" w:customStyle="1" w:styleId="18">
    <w:name w:val="正文文本首行缩进 字符"/>
    <w:basedOn w:val="17"/>
    <w:link w:val="2"/>
    <w:qFormat/>
    <w:uiPriority w:val="99"/>
    <w:rPr>
      <w:rFonts w:ascii="宋体" w:hAnsi="宋体" w:eastAsia="宋体" w:cs="Times New Roman"/>
      <w:color w:val="000000"/>
      <w:sz w:val="24"/>
      <w:szCs w:val="24"/>
    </w:rPr>
  </w:style>
  <w:style w:type="paragraph" w:customStyle="1" w:styleId="19">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0">
    <w:name w:val="List Paragraph"/>
    <w:basedOn w:val="1"/>
    <w:qFormat/>
    <w:uiPriority w:val="34"/>
    <w:pPr>
      <w:ind w:firstLine="420" w:firstLineChars="200"/>
    </w:pPr>
  </w:style>
  <w:style w:type="paragraph" w:customStyle="1" w:styleId="2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2">
    <w:name w:val="标题 1 字符"/>
    <w:basedOn w:val="14"/>
    <w:link w:val="4"/>
    <w:qFormat/>
    <w:uiPriority w:val="0"/>
    <w:rPr>
      <w:rFonts w:ascii="仿宋体" w:hAnsi="Times New Roman" w:eastAsia="仿宋体" w:cs="Times New Roman"/>
      <w:b/>
      <w:kern w:val="28"/>
      <w:sz w:val="26"/>
      <w:szCs w:val="20"/>
    </w:rPr>
  </w:style>
  <w:style w:type="character" w:customStyle="1" w:styleId="23">
    <w:name w:val="纯文本 Char"/>
    <w:qFormat/>
    <w:uiPriority w:val="0"/>
    <w:rPr>
      <w:rFonts w:ascii="宋体" w:hAnsi="Courier New" w:eastAsia="宋体" w:cs="Times New Roman"/>
      <w:szCs w:val="20"/>
    </w:rPr>
  </w:style>
  <w:style w:type="character" w:customStyle="1" w:styleId="24">
    <w:name w:val="纯文本 字符"/>
    <w:basedOn w:val="14"/>
    <w:link w:val="6"/>
    <w:semiHidden/>
    <w:qFormat/>
    <w:uiPriority w:val="99"/>
    <w:rPr>
      <w:rFonts w:ascii="宋体" w:hAnsi="Courier New" w:eastAsia="宋体" w:cs="Courier New"/>
      <w:color w:val="000000"/>
      <w:szCs w:val="21"/>
    </w:rPr>
  </w:style>
  <w:style w:type="character" w:customStyle="1" w:styleId="25">
    <w:name w:val="批注框文本 字符"/>
    <w:basedOn w:val="14"/>
    <w:link w:val="7"/>
    <w:semiHidden/>
    <w:qFormat/>
    <w:uiPriority w:val="99"/>
    <w:rPr>
      <w:rFonts w:ascii="宋体" w:hAnsi="宋体" w:eastAsia="宋体" w:cs="Times New Roman"/>
      <w:color w:val="000000"/>
      <w:sz w:val="18"/>
      <w:szCs w:val="18"/>
    </w:rPr>
  </w:style>
  <w:style w:type="paragraph" w:customStyle="1" w:styleId="26">
    <w:name w:val="内容"/>
    <w:basedOn w:val="1"/>
    <w:link w:val="27"/>
    <w:qFormat/>
    <w:uiPriority w:val="0"/>
    <w:pPr>
      <w:adjustRightInd w:val="0"/>
      <w:snapToGrid w:val="0"/>
      <w:spacing w:line="312" w:lineRule="auto"/>
      <w:ind w:left="0" w:leftChars="0" w:firstLine="240" w:firstLineChars="100"/>
      <w:jc w:val="both"/>
    </w:pPr>
    <w:rPr>
      <w:bCs/>
      <w:color w:val="auto"/>
      <w:kern w:val="0"/>
    </w:rPr>
  </w:style>
  <w:style w:type="character" w:customStyle="1" w:styleId="27">
    <w:name w:val="内容 Char"/>
    <w:basedOn w:val="14"/>
    <w:link w:val="26"/>
    <w:qFormat/>
    <w:uiPriority w:val="0"/>
    <w:rPr>
      <w:rFonts w:ascii="宋体" w:hAnsi="宋体" w:eastAsia="宋体" w:cs="Times New Roman"/>
      <w:bCs/>
      <w:sz w:val="24"/>
      <w:szCs w:val="24"/>
    </w:rPr>
  </w:style>
  <w:style w:type="character" w:customStyle="1" w:styleId="28">
    <w:name w:val="标题 2 字符"/>
    <w:basedOn w:val="14"/>
    <w:link w:val="5"/>
    <w:semiHidden/>
    <w:qFormat/>
    <w:uiPriority w:val="9"/>
    <w:rPr>
      <w:rFonts w:asciiTheme="majorHAnsi" w:hAnsiTheme="majorHAnsi" w:eastAsiaTheme="majorEastAsia" w:cstheme="majorBidi"/>
      <w:b/>
      <w:bCs/>
      <w:color w:val="000000"/>
      <w:kern w:val="2"/>
      <w:sz w:val="32"/>
      <w:szCs w:val="32"/>
    </w:rPr>
  </w:style>
  <w:style w:type="character" w:customStyle="1" w:styleId="29">
    <w:name w:val="keyword"/>
    <w:basedOn w:val="14"/>
    <w:qFormat/>
    <w:uiPriority w:val="0"/>
  </w:style>
  <w:style w:type="paragraph" w:customStyle="1" w:styleId="30">
    <w:name w:val="WPSOffice手动目录 1"/>
    <w:qFormat/>
    <w:uiPriority w:val="0"/>
    <w:pPr>
      <w:ind w:leftChars="0"/>
    </w:pPr>
    <w:rPr>
      <w:rFonts w:asciiTheme="minorHAnsi" w:hAnsiTheme="minorHAnsi" w:eastAsiaTheme="minorEastAsia" w:cstheme="minorBidi"/>
      <w:sz w:val="20"/>
      <w:szCs w:val="20"/>
    </w:rPr>
  </w:style>
  <w:style w:type="paragraph" w:customStyle="1" w:styleId="31">
    <w:name w:val=" Char"/>
    <w:basedOn w:val="1"/>
    <w:qFormat/>
    <w:uiPriority w:val="0"/>
    <w:rPr>
      <w:rFonts w:ascii="Calibri"/>
      <w:szCs w:val="24"/>
    </w:rPr>
  </w:style>
  <w:style w:type="character" w:customStyle="1" w:styleId="32">
    <w:name w:val="font11"/>
    <w:basedOn w:val="1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4391</Words>
  <Characters>4718</Characters>
  <Lines>30</Lines>
  <Paragraphs>8</Paragraphs>
  <TotalTime>3</TotalTime>
  <ScaleCrop>false</ScaleCrop>
  <LinksUpToDate>false</LinksUpToDate>
  <CharactersWithSpaces>4972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邹环宇</cp:lastModifiedBy>
  <cp:lastPrinted>2022-05-17T03:01:00Z</cp:lastPrinted>
  <dcterms:modified xsi:type="dcterms:W3CDTF">2026-07-09T02:56:15Z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