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4612B">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14:paraId="68A4F79F">
      <w:pPr>
        <w:keepLines w:val="0"/>
        <w:pageBreakBefore w:val="0"/>
        <w:kinsoku/>
        <w:wordWrap/>
        <w:bidi w:val="0"/>
        <w:spacing w:line="500" w:lineRule="exact"/>
        <w:ind w:left="410"/>
        <w:rPr>
          <w:highlight w:val="none"/>
        </w:rPr>
      </w:pPr>
    </w:p>
    <w:p w14:paraId="43602DCD">
      <w:pPr>
        <w:keepLines w:val="0"/>
        <w:pageBreakBefore w:val="0"/>
        <w:kinsoku/>
        <w:wordWrap/>
        <w:bidi w:val="0"/>
        <w:spacing w:line="500" w:lineRule="exact"/>
        <w:ind w:left="410"/>
        <w:rPr>
          <w:highlight w:val="none"/>
        </w:rPr>
      </w:pPr>
    </w:p>
    <w:p w14:paraId="28F66B97">
      <w:pPr>
        <w:keepLines w:val="0"/>
        <w:pageBreakBefore w:val="0"/>
        <w:kinsoku/>
        <w:wordWrap/>
        <w:bidi w:val="0"/>
        <w:spacing w:line="500" w:lineRule="exact"/>
        <w:ind w:left="410"/>
        <w:rPr>
          <w:highlight w:val="none"/>
        </w:rPr>
      </w:pPr>
    </w:p>
    <w:p w14:paraId="149DAEA1">
      <w:pPr>
        <w:keepLines w:val="0"/>
        <w:pageBreakBefore w:val="0"/>
        <w:kinsoku/>
        <w:wordWrap/>
        <w:bidi w:val="0"/>
        <w:spacing w:line="500" w:lineRule="exact"/>
        <w:ind w:left="410"/>
        <w:rPr>
          <w:highlight w:val="none"/>
        </w:rPr>
      </w:pPr>
    </w:p>
    <w:p w14:paraId="647E9F30">
      <w:pPr>
        <w:keepLines w:val="0"/>
        <w:pageBreakBefore w:val="0"/>
        <w:kinsoku/>
        <w:wordWrap/>
        <w:bidi w:val="0"/>
        <w:spacing w:line="500" w:lineRule="exact"/>
        <w:ind w:left="410"/>
        <w:rPr>
          <w:highlight w:val="none"/>
        </w:rPr>
      </w:pPr>
    </w:p>
    <w:p w14:paraId="6FF8C8CD">
      <w:pPr>
        <w:keepLines w:val="0"/>
        <w:pageBreakBefore w:val="0"/>
        <w:kinsoku/>
        <w:wordWrap/>
        <w:bidi w:val="0"/>
        <w:spacing w:line="500" w:lineRule="exact"/>
        <w:ind w:left="410"/>
        <w:rPr>
          <w:highlight w:val="none"/>
        </w:rPr>
      </w:pPr>
    </w:p>
    <w:p w14:paraId="505A8B10">
      <w:pPr>
        <w:keepLines w:val="0"/>
        <w:pageBreakBefore w:val="0"/>
        <w:kinsoku/>
        <w:wordWrap/>
        <w:bidi w:val="0"/>
        <w:spacing w:line="500" w:lineRule="exact"/>
        <w:ind w:left="410"/>
        <w:rPr>
          <w:highlight w:val="none"/>
        </w:rPr>
      </w:pPr>
    </w:p>
    <w:p w14:paraId="62042F71">
      <w:pPr>
        <w:keepLines w:val="0"/>
        <w:pageBreakBefore w:val="0"/>
        <w:kinsoku/>
        <w:wordWrap/>
        <w:bidi w:val="0"/>
        <w:spacing w:line="500" w:lineRule="exact"/>
        <w:ind w:left="410"/>
        <w:rPr>
          <w:highlight w:val="none"/>
        </w:rPr>
      </w:pPr>
    </w:p>
    <w:p w14:paraId="3CD28D7A">
      <w:pPr>
        <w:keepLines w:val="0"/>
        <w:pageBreakBefore w:val="0"/>
        <w:kinsoku/>
        <w:wordWrap/>
        <w:bidi w:val="0"/>
        <w:spacing w:line="500" w:lineRule="exact"/>
        <w:ind w:left="0" w:leftChars="0"/>
        <w:jc w:val="both"/>
        <w:rPr>
          <w:b/>
          <w:sz w:val="36"/>
          <w:szCs w:val="36"/>
          <w:highlight w:val="none"/>
        </w:rPr>
      </w:pPr>
    </w:p>
    <w:p w14:paraId="2246FACA">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直流高压发生器</w:t>
      </w:r>
    </w:p>
    <w:bookmarkEnd w:id="0"/>
    <w:p w14:paraId="11BF99DD">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14:paraId="4C140FF7">
      <w:pPr>
        <w:keepLines w:val="0"/>
        <w:pageBreakBefore w:val="0"/>
        <w:kinsoku/>
        <w:wordWrap/>
        <w:bidi w:val="0"/>
        <w:spacing w:line="500" w:lineRule="exact"/>
        <w:ind w:left="0" w:leftChars="0"/>
        <w:jc w:val="center"/>
        <w:rPr>
          <w:b/>
          <w:sz w:val="36"/>
          <w:szCs w:val="36"/>
          <w:highlight w:val="none"/>
        </w:rPr>
      </w:pPr>
    </w:p>
    <w:p w14:paraId="5616ED3F">
      <w:pPr>
        <w:keepLines w:val="0"/>
        <w:pageBreakBefore w:val="0"/>
        <w:kinsoku/>
        <w:wordWrap/>
        <w:bidi w:val="0"/>
        <w:spacing w:line="500" w:lineRule="exact"/>
        <w:ind w:left="0" w:leftChars="0"/>
        <w:jc w:val="center"/>
        <w:rPr>
          <w:b/>
          <w:sz w:val="36"/>
          <w:szCs w:val="36"/>
          <w:highlight w:val="none"/>
        </w:rPr>
      </w:pPr>
    </w:p>
    <w:p w14:paraId="59411F53">
      <w:pPr>
        <w:keepLines w:val="0"/>
        <w:pageBreakBefore w:val="0"/>
        <w:kinsoku/>
        <w:wordWrap/>
        <w:bidi w:val="0"/>
        <w:spacing w:line="500" w:lineRule="exact"/>
        <w:ind w:left="0" w:leftChars="0"/>
        <w:jc w:val="center"/>
        <w:rPr>
          <w:b/>
          <w:sz w:val="36"/>
          <w:szCs w:val="36"/>
          <w:highlight w:val="none"/>
        </w:rPr>
      </w:pPr>
    </w:p>
    <w:p w14:paraId="76C2B7DB">
      <w:pPr>
        <w:keepLines w:val="0"/>
        <w:pageBreakBefore w:val="0"/>
        <w:kinsoku/>
        <w:wordWrap/>
        <w:bidi w:val="0"/>
        <w:spacing w:line="500" w:lineRule="exact"/>
        <w:ind w:left="0" w:leftChars="0"/>
        <w:jc w:val="center"/>
        <w:rPr>
          <w:b/>
          <w:sz w:val="36"/>
          <w:szCs w:val="36"/>
          <w:highlight w:val="none"/>
        </w:rPr>
      </w:pPr>
    </w:p>
    <w:p w14:paraId="186DC3C4">
      <w:pPr>
        <w:keepLines w:val="0"/>
        <w:pageBreakBefore w:val="0"/>
        <w:kinsoku/>
        <w:wordWrap/>
        <w:bidi w:val="0"/>
        <w:spacing w:line="500" w:lineRule="exact"/>
        <w:ind w:left="0" w:leftChars="0"/>
        <w:jc w:val="center"/>
        <w:rPr>
          <w:b/>
          <w:sz w:val="36"/>
          <w:szCs w:val="36"/>
          <w:highlight w:val="none"/>
        </w:rPr>
      </w:pPr>
    </w:p>
    <w:p w14:paraId="6EE2FCC8">
      <w:pPr>
        <w:keepLines w:val="0"/>
        <w:pageBreakBefore w:val="0"/>
        <w:kinsoku/>
        <w:wordWrap/>
        <w:bidi w:val="0"/>
        <w:spacing w:line="500" w:lineRule="exact"/>
        <w:ind w:left="0" w:leftChars="0"/>
        <w:jc w:val="center"/>
        <w:rPr>
          <w:b/>
          <w:sz w:val="36"/>
          <w:szCs w:val="36"/>
          <w:highlight w:val="none"/>
        </w:rPr>
      </w:pPr>
    </w:p>
    <w:p w14:paraId="308F2B99">
      <w:pPr>
        <w:keepLines w:val="0"/>
        <w:pageBreakBefore w:val="0"/>
        <w:kinsoku/>
        <w:wordWrap/>
        <w:bidi w:val="0"/>
        <w:spacing w:line="500" w:lineRule="exact"/>
        <w:ind w:left="0" w:leftChars="0"/>
        <w:jc w:val="center"/>
        <w:rPr>
          <w:b/>
          <w:sz w:val="36"/>
          <w:szCs w:val="36"/>
          <w:highlight w:val="none"/>
        </w:rPr>
      </w:pPr>
    </w:p>
    <w:p w14:paraId="6577812F">
      <w:pPr>
        <w:keepLines w:val="0"/>
        <w:pageBreakBefore w:val="0"/>
        <w:kinsoku/>
        <w:wordWrap/>
        <w:bidi w:val="0"/>
        <w:spacing w:line="500" w:lineRule="exact"/>
        <w:ind w:left="0" w:leftChars="0"/>
        <w:jc w:val="center"/>
        <w:rPr>
          <w:b/>
          <w:sz w:val="36"/>
          <w:szCs w:val="36"/>
          <w:highlight w:val="none"/>
        </w:rPr>
      </w:pPr>
    </w:p>
    <w:p w14:paraId="6536B247">
      <w:pPr>
        <w:keepLines w:val="0"/>
        <w:pageBreakBefore w:val="0"/>
        <w:kinsoku/>
        <w:wordWrap/>
        <w:bidi w:val="0"/>
        <w:spacing w:line="500" w:lineRule="exact"/>
        <w:ind w:left="0" w:leftChars="0"/>
        <w:jc w:val="center"/>
        <w:rPr>
          <w:b/>
          <w:sz w:val="36"/>
          <w:szCs w:val="36"/>
          <w:highlight w:val="none"/>
        </w:rPr>
      </w:pPr>
    </w:p>
    <w:p w14:paraId="5365DBE3">
      <w:pPr>
        <w:keepLines w:val="0"/>
        <w:pageBreakBefore w:val="0"/>
        <w:kinsoku/>
        <w:wordWrap/>
        <w:bidi w:val="0"/>
        <w:spacing w:line="500" w:lineRule="exact"/>
        <w:ind w:left="0" w:leftChars="0"/>
        <w:jc w:val="both"/>
        <w:rPr>
          <w:b/>
          <w:sz w:val="36"/>
          <w:szCs w:val="36"/>
          <w:highlight w:val="none"/>
        </w:rPr>
      </w:pPr>
    </w:p>
    <w:p w14:paraId="5AF9B605">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14:paraId="3B013BCD">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14:paraId="12B41F02">
      <w:pPr>
        <w:keepLines w:val="0"/>
        <w:pageBreakBefore w:val="0"/>
        <w:kinsoku/>
        <w:wordWrap/>
        <w:bidi w:val="0"/>
        <w:spacing w:line="500" w:lineRule="exact"/>
        <w:ind w:left="410"/>
        <w:rPr>
          <w:highlight w:val="none"/>
        </w:rPr>
      </w:pPr>
    </w:p>
    <w:p w14:paraId="4ED34015">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14:paraId="1D3AFEF6">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14:paraId="267B4758">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14:paraId="1F2DF424">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7141EA67">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14:paraId="61A3ABEC">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14:paraId="63DD7A27">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2C7858E2">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2E94076C">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14:paraId="0BB6FA8D">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14:paraId="04E97520">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51BEE91C">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6ED86385">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14:paraId="429335C8">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14:paraId="61314CFF">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9</w:t>
          </w:r>
          <w:r>
            <w:rPr>
              <w:highlight w:val="none"/>
            </w:rPr>
            <w:fldChar w:fldCharType="end"/>
          </w:r>
          <w:r>
            <w:rPr>
              <w:rFonts w:hint="eastAsia" w:ascii="宋体" w:hAnsi="宋体" w:eastAsia="宋体" w:cs="宋体"/>
              <w:szCs w:val="28"/>
              <w:highlight w:val="none"/>
            </w:rPr>
            <w:fldChar w:fldCharType="end"/>
          </w:r>
        </w:p>
        <w:p w14:paraId="19E7918B">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14:paraId="417D585D">
      <w:pPr>
        <w:pStyle w:val="2"/>
        <w:bidi w:val="0"/>
        <w:rPr>
          <w:rFonts w:hint="eastAsia"/>
          <w:highlight w:val="none"/>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14:paraId="2E9DBF4D">
      <w:pPr>
        <w:pStyle w:val="2"/>
        <w:bidi w:val="0"/>
        <w:rPr>
          <w:rFonts w:hint="eastAsia"/>
          <w:highlight w:val="none"/>
        </w:rPr>
      </w:pPr>
      <w:r>
        <w:rPr>
          <w:rFonts w:hint="eastAsia"/>
          <w:highlight w:val="none"/>
        </w:rPr>
        <w:t xml:space="preserve">1 </w:t>
      </w:r>
      <w:bookmarkStart w:id="2" w:name="_Toc305941223"/>
      <w:bookmarkStart w:id="3" w:name="_Toc397006837"/>
      <w:bookmarkStart w:id="4" w:name="_Toc305941518"/>
      <w:r>
        <w:rPr>
          <w:rFonts w:hint="eastAsia"/>
          <w:highlight w:val="none"/>
        </w:rPr>
        <w:t>总则</w:t>
      </w:r>
      <w:bookmarkEnd w:id="1"/>
      <w:bookmarkEnd w:id="2"/>
      <w:bookmarkEnd w:id="3"/>
      <w:bookmarkEnd w:id="4"/>
    </w:p>
    <w:p w14:paraId="03EE0D41">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直流高压发生器</w:t>
      </w:r>
      <w:r>
        <w:rPr>
          <w:rFonts w:hint="eastAsia"/>
          <w:b/>
          <w:bCs/>
          <w:color w:val="auto"/>
          <w:highlight w:val="none"/>
        </w:rPr>
        <w:t>”</w:t>
      </w:r>
      <w:r>
        <w:rPr>
          <w:rFonts w:hint="eastAsia"/>
          <w:b/>
          <w:bCs/>
          <w:color w:val="auto"/>
          <w:highlight w:val="none"/>
          <w:lang w:eastAsia="zh-CN"/>
        </w:rPr>
        <w:t>。</w:t>
      </w:r>
    </w:p>
    <w:p w14:paraId="77F0F65D">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14:paraId="262C19D1">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14:paraId="45DCA660">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14:paraId="0FFD5A13">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14:paraId="30E49832">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14:paraId="377DC0BF">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14:paraId="475014A9">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14:paraId="1348A0A4">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14:paraId="145C8A32">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14:paraId="3BE062CF">
      <w:pPr>
        <w:pStyle w:val="1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519"/>
      <w:bookmarkStart w:id="6" w:name="_Toc397006838"/>
      <w:bookmarkStart w:id="7" w:name="_Toc305941224"/>
    </w:p>
    <w:p w14:paraId="38583D79">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2221729"/>
      <w:bookmarkStart w:id="9" w:name="_Toc291768528"/>
      <w:bookmarkStart w:id="10" w:name="_Toc305941225"/>
      <w:bookmarkStart w:id="11" w:name="_Toc397006840"/>
      <w:bookmarkStart w:id="12" w:name="_Toc290652071"/>
    </w:p>
    <w:bookmarkEnd w:id="8"/>
    <w:bookmarkEnd w:id="9"/>
    <w:bookmarkEnd w:id="10"/>
    <w:bookmarkEnd w:id="11"/>
    <w:bookmarkEnd w:id="12"/>
    <w:p w14:paraId="116000E5">
      <w:pPr>
        <w:pStyle w:val="2"/>
        <w:bidi w:val="0"/>
        <w:rPr>
          <w:highlight w:val="none"/>
        </w:rPr>
      </w:pPr>
      <w:bookmarkStart w:id="13" w:name="_Toc397006842"/>
      <w:bookmarkStart w:id="14" w:name="_Toc305941520"/>
      <w:bookmarkStart w:id="15" w:name="_Toc305941228"/>
      <w:bookmarkStart w:id="16" w:name="_Toc3763"/>
      <w:r>
        <w:rPr>
          <w:rFonts w:hint="eastAsia"/>
          <w:highlight w:val="none"/>
          <w:lang w:val="en-US" w:eastAsia="zh-CN"/>
        </w:rPr>
        <w:t>2</w:t>
      </w:r>
      <w:r>
        <w:rPr>
          <w:rFonts w:hint="eastAsia"/>
          <w:highlight w:val="none"/>
        </w:rPr>
        <w:t>.应遵循的主要标准</w:t>
      </w:r>
      <w:bookmarkEnd w:id="13"/>
      <w:bookmarkEnd w:id="14"/>
      <w:bookmarkEnd w:id="15"/>
      <w:bookmarkEnd w:id="16"/>
    </w:p>
    <w:p w14:paraId="3F4B47B5">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14:paraId="48FBA887">
      <w:pPr>
        <w:pStyle w:val="20"/>
        <w:keepLines w:val="0"/>
        <w:pageBreakBefore w:val="0"/>
        <w:kinsoku/>
        <w:wordWrap/>
        <w:bidi w:val="0"/>
        <w:spacing w:line="500" w:lineRule="exact"/>
        <w:ind w:left="410" w:firstLine="480"/>
        <w:rPr>
          <w:rFonts w:hint="eastAsia"/>
          <w:color w:val="auto"/>
          <w:highlight w:val="none"/>
        </w:rPr>
      </w:pPr>
      <w:r>
        <w:rPr>
          <w:rFonts w:hint="eastAsia" w:ascii="宋体" w:hAnsi="宋体"/>
          <w:color w:val="auto"/>
          <w:szCs w:val="24"/>
          <w:highlight w:val="none"/>
          <w:lang w:eastAsia="zh-CN"/>
        </w:rPr>
        <w:t>直流高压发生器</w:t>
      </w:r>
      <w:r>
        <w:rPr>
          <w:rFonts w:hint="eastAsia"/>
          <w:color w:val="auto"/>
          <w:highlight w:val="none"/>
        </w:rPr>
        <w:t>：</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27"/>
        <w:gridCol w:w="2575"/>
        <w:gridCol w:w="5316"/>
      </w:tblGrid>
      <w:tr w14:paraId="162B5D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27" w:type="dxa"/>
            <w:tcBorders>
              <w:top w:val="single" w:color="auto" w:sz="12" w:space="0"/>
              <w:left w:val="single" w:color="auto" w:sz="12" w:space="0"/>
              <w:bottom w:val="single" w:color="auto" w:sz="6" w:space="0"/>
              <w:right w:val="single" w:color="auto" w:sz="6" w:space="0"/>
            </w:tcBorders>
            <w:noWrap w:val="0"/>
            <w:vAlign w:val="center"/>
          </w:tcPr>
          <w:p w14:paraId="1BF7D8E8">
            <w:pPr>
              <w:widowControl/>
              <w:jc w:val="center"/>
              <w:rPr>
                <w:rFonts w:ascii="宋体" w:hAnsi="宋体"/>
                <w:b/>
                <w:kern w:val="0"/>
                <w:szCs w:val="21"/>
                <w:highlight w:val="none"/>
              </w:rPr>
            </w:pPr>
            <w:r>
              <w:rPr>
                <w:rFonts w:hint="eastAsia" w:ascii="宋体" w:hAnsi="宋体"/>
                <w:b/>
                <w:szCs w:val="21"/>
                <w:highlight w:val="none"/>
              </w:rPr>
              <w:t>序号</w:t>
            </w:r>
          </w:p>
        </w:tc>
        <w:tc>
          <w:tcPr>
            <w:tcW w:w="2575" w:type="dxa"/>
            <w:tcBorders>
              <w:top w:val="single" w:color="auto" w:sz="12" w:space="0"/>
              <w:left w:val="single" w:color="auto" w:sz="6" w:space="0"/>
              <w:bottom w:val="single" w:color="auto" w:sz="6" w:space="0"/>
              <w:right w:val="single" w:color="auto" w:sz="6" w:space="0"/>
            </w:tcBorders>
            <w:noWrap w:val="0"/>
            <w:vAlign w:val="center"/>
          </w:tcPr>
          <w:p w14:paraId="090E5CA7">
            <w:pPr>
              <w:widowControl/>
              <w:jc w:val="center"/>
              <w:rPr>
                <w:rFonts w:ascii="宋体" w:hAnsi="宋体"/>
                <w:b/>
                <w:kern w:val="0"/>
                <w:szCs w:val="21"/>
                <w:highlight w:val="none"/>
              </w:rPr>
            </w:pPr>
            <w:r>
              <w:rPr>
                <w:rFonts w:hint="eastAsia" w:ascii="宋体" w:hAnsi="宋体"/>
                <w:b/>
                <w:spacing w:val="48"/>
                <w:szCs w:val="21"/>
                <w:highlight w:val="none"/>
              </w:rPr>
              <w:t>标准号</w:t>
            </w:r>
          </w:p>
        </w:tc>
        <w:tc>
          <w:tcPr>
            <w:tcW w:w="5316" w:type="dxa"/>
            <w:tcBorders>
              <w:top w:val="single" w:color="auto" w:sz="12" w:space="0"/>
              <w:left w:val="single" w:color="auto" w:sz="6" w:space="0"/>
              <w:bottom w:val="single" w:color="auto" w:sz="6" w:space="0"/>
              <w:right w:val="single" w:color="auto" w:sz="12" w:space="0"/>
            </w:tcBorders>
            <w:noWrap w:val="0"/>
            <w:vAlign w:val="center"/>
          </w:tcPr>
          <w:p w14:paraId="0026D6ED">
            <w:pPr>
              <w:widowControl/>
              <w:jc w:val="center"/>
              <w:rPr>
                <w:rFonts w:ascii="宋体" w:hAnsi="宋体"/>
                <w:b/>
                <w:kern w:val="0"/>
                <w:szCs w:val="21"/>
                <w:highlight w:val="none"/>
              </w:rPr>
            </w:pPr>
            <w:r>
              <w:rPr>
                <w:rFonts w:hint="eastAsia" w:ascii="宋体" w:hAnsi="宋体"/>
                <w:b/>
                <w:spacing w:val="208"/>
                <w:szCs w:val="21"/>
                <w:highlight w:val="none"/>
              </w:rPr>
              <w:t>标准名称</w:t>
            </w:r>
          </w:p>
        </w:tc>
      </w:tr>
      <w:tr w14:paraId="08F0B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27" w:type="dxa"/>
            <w:tcBorders>
              <w:top w:val="single" w:color="auto" w:sz="6" w:space="0"/>
              <w:left w:val="single" w:color="auto" w:sz="12" w:space="0"/>
              <w:bottom w:val="single" w:color="auto" w:sz="6" w:space="0"/>
              <w:right w:val="single" w:color="auto" w:sz="6" w:space="0"/>
            </w:tcBorders>
            <w:noWrap w:val="0"/>
            <w:vAlign w:val="center"/>
          </w:tcPr>
          <w:p w14:paraId="078CAD60">
            <w:pPr>
              <w:jc w:val="center"/>
              <w:rPr>
                <w:rFonts w:ascii="宋体" w:hAnsi="宋体"/>
                <w:szCs w:val="21"/>
                <w:highlight w:val="none"/>
              </w:rPr>
            </w:pPr>
            <w:r>
              <w:rPr>
                <w:rFonts w:hint="eastAsia" w:ascii="宋体" w:hAnsi="宋体"/>
                <w:szCs w:val="21"/>
                <w:highlight w:val="none"/>
              </w:rPr>
              <w:t>1</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2DFFB00F">
            <w:pPr>
              <w:widowControl/>
              <w:rPr>
                <w:rFonts w:ascii="宋体" w:hAnsi="宋体"/>
                <w:szCs w:val="20"/>
                <w:highlight w:val="none"/>
              </w:rPr>
            </w:pPr>
            <w:r>
              <w:rPr>
                <w:rFonts w:hint="eastAsia" w:ascii="宋体" w:hAnsi="宋体"/>
                <w:szCs w:val="20"/>
                <w:highlight w:val="none"/>
              </w:rPr>
              <w:t>GB/T 191-2008</w:t>
            </w:r>
          </w:p>
        </w:tc>
        <w:tc>
          <w:tcPr>
            <w:tcW w:w="5316" w:type="dxa"/>
            <w:tcBorders>
              <w:top w:val="single" w:color="auto" w:sz="6" w:space="0"/>
              <w:left w:val="single" w:color="auto" w:sz="6" w:space="0"/>
              <w:bottom w:val="single" w:color="auto" w:sz="6" w:space="0"/>
              <w:right w:val="single" w:color="auto" w:sz="12" w:space="0"/>
            </w:tcBorders>
            <w:noWrap w:val="0"/>
            <w:vAlign w:val="top"/>
          </w:tcPr>
          <w:p w14:paraId="574B81C8">
            <w:pPr>
              <w:spacing w:line="360" w:lineRule="auto"/>
              <w:rPr>
                <w:rFonts w:ascii="宋体" w:hAnsi="宋体"/>
                <w:szCs w:val="20"/>
                <w:highlight w:val="none"/>
              </w:rPr>
            </w:pPr>
            <w:r>
              <w:rPr>
                <w:rFonts w:hint="eastAsia" w:ascii="宋体" w:hAnsi="宋体"/>
                <w:szCs w:val="20"/>
                <w:highlight w:val="none"/>
              </w:rPr>
              <w:t>包装储运图示标志EQV ISO 780：1997</w:t>
            </w:r>
          </w:p>
        </w:tc>
      </w:tr>
      <w:tr w14:paraId="79666F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27" w:type="dxa"/>
            <w:tcBorders>
              <w:top w:val="single" w:color="auto" w:sz="6" w:space="0"/>
              <w:left w:val="single" w:color="auto" w:sz="12" w:space="0"/>
              <w:bottom w:val="single" w:color="auto" w:sz="6" w:space="0"/>
              <w:right w:val="single" w:color="auto" w:sz="6" w:space="0"/>
            </w:tcBorders>
            <w:noWrap w:val="0"/>
            <w:vAlign w:val="center"/>
          </w:tcPr>
          <w:p w14:paraId="76A68C6E">
            <w:pPr>
              <w:jc w:val="center"/>
              <w:rPr>
                <w:rFonts w:ascii="宋体" w:hAnsi="宋体"/>
                <w:szCs w:val="21"/>
                <w:highlight w:val="none"/>
              </w:rPr>
            </w:pPr>
            <w:r>
              <w:rPr>
                <w:rFonts w:hint="eastAsia" w:ascii="宋体" w:hAnsi="宋体"/>
                <w:szCs w:val="21"/>
                <w:highlight w:val="none"/>
              </w:rPr>
              <w:t>2</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23E15C38">
            <w:pPr>
              <w:widowControl/>
              <w:rPr>
                <w:rFonts w:ascii="宋体" w:hAnsi="宋体"/>
                <w:szCs w:val="20"/>
                <w:highlight w:val="none"/>
              </w:rPr>
            </w:pPr>
            <w:r>
              <w:rPr>
                <w:rFonts w:hint="eastAsia" w:ascii="宋体" w:hAnsi="宋体"/>
                <w:szCs w:val="20"/>
                <w:highlight w:val="none"/>
              </w:rPr>
              <w:t>GB/T 2829-2002</w:t>
            </w:r>
          </w:p>
        </w:tc>
        <w:tc>
          <w:tcPr>
            <w:tcW w:w="5316" w:type="dxa"/>
            <w:tcBorders>
              <w:top w:val="single" w:color="auto" w:sz="6" w:space="0"/>
              <w:left w:val="single" w:color="auto" w:sz="6" w:space="0"/>
              <w:bottom w:val="single" w:color="auto" w:sz="6" w:space="0"/>
              <w:right w:val="single" w:color="auto" w:sz="12" w:space="0"/>
            </w:tcBorders>
            <w:noWrap w:val="0"/>
            <w:vAlign w:val="top"/>
          </w:tcPr>
          <w:p w14:paraId="106470F5">
            <w:pPr>
              <w:spacing w:line="360" w:lineRule="auto"/>
              <w:rPr>
                <w:rFonts w:ascii="宋体" w:hAnsi="宋体"/>
                <w:szCs w:val="20"/>
                <w:highlight w:val="none"/>
              </w:rPr>
            </w:pPr>
            <w:r>
              <w:rPr>
                <w:rFonts w:hint="eastAsia" w:ascii="宋体" w:hAnsi="宋体"/>
                <w:szCs w:val="20"/>
                <w:highlight w:val="none"/>
              </w:rPr>
              <w:t>周期检验计数抽样程序及表</w:t>
            </w:r>
          </w:p>
        </w:tc>
      </w:tr>
      <w:tr w14:paraId="05E1ED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27" w:type="dxa"/>
            <w:tcBorders>
              <w:top w:val="single" w:color="auto" w:sz="6" w:space="0"/>
              <w:left w:val="single" w:color="auto" w:sz="12" w:space="0"/>
              <w:bottom w:val="single" w:color="auto" w:sz="6" w:space="0"/>
              <w:right w:val="single" w:color="auto" w:sz="6" w:space="0"/>
            </w:tcBorders>
            <w:noWrap w:val="0"/>
            <w:vAlign w:val="center"/>
          </w:tcPr>
          <w:p w14:paraId="6A88B7FF">
            <w:pPr>
              <w:jc w:val="center"/>
              <w:rPr>
                <w:rFonts w:ascii="宋体" w:hAnsi="宋体"/>
                <w:szCs w:val="21"/>
                <w:highlight w:val="none"/>
              </w:rPr>
            </w:pPr>
            <w:r>
              <w:rPr>
                <w:rFonts w:hint="eastAsia" w:ascii="宋体" w:hAnsi="宋体"/>
                <w:szCs w:val="21"/>
                <w:highlight w:val="none"/>
              </w:rPr>
              <w:t>3</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2CEB9D36">
            <w:pPr>
              <w:widowControl/>
              <w:jc w:val="left"/>
              <w:rPr>
                <w:rFonts w:ascii="宋体" w:hAnsi="宋体"/>
                <w:szCs w:val="20"/>
                <w:highlight w:val="none"/>
              </w:rPr>
            </w:pPr>
            <w:r>
              <w:rPr>
                <w:rFonts w:hint="eastAsia" w:ascii="宋体" w:hAnsi="宋体"/>
                <w:szCs w:val="20"/>
                <w:highlight w:val="none"/>
              </w:rPr>
              <w:t xml:space="preserve">GB/T 6587.4-6-1986  </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255945B9">
            <w:pPr>
              <w:jc w:val="left"/>
              <w:rPr>
                <w:rFonts w:ascii="宋体" w:hAnsi="宋体"/>
                <w:szCs w:val="20"/>
                <w:highlight w:val="none"/>
              </w:rPr>
            </w:pPr>
            <w:r>
              <w:rPr>
                <w:rFonts w:hint="eastAsia" w:ascii="宋体" w:hAnsi="宋体"/>
                <w:szCs w:val="20"/>
                <w:highlight w:val="none"/>
              </w:rPr>
              <w:t xml:space="preserve">电子测量仪器 </w:t>
            </w:r>
          </w:p>
        </w:tc>
      </w:tr>
      <w:tr w14:paraId="0561E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27" w:type="dxa"/>
            <w:tcBorders>
              <w:top w:val="single" w:color="auto" w:sz="6" w:space="0"/>
              <w:left w:val="single" w:color="auto" w:sz="12" w:space="0"/>
              <w:bottom w:val="single" w:color="auto" w:sz="6" w:space="0"/>
              <w:right w:val="single" w:color="auto" w:sz="6" w:space="0"/>
            </w:tcBorders>
            <w:noWrap w:val="0"/>
            <w:vAlign w:val="center"/>
          </w:tcPr>
          <w:p w14:paraId="65A52D15">
            <w:pPr>
              <w:jc w:val="center"/>
              <w:rPr>
                <w:rFonts w:ascii="宋体" w:hAnsi="宋体"/>
                <w:szCs w:val="21"/>
                <w:highlight w:val="none"/>
              </w:rPr>
            </w:pPr>
            <w:r>
              <w:rPr>
                <w:rFonts w:hint="eastAsia" w:ascii="宋体" w:hAnsi="宋体"/>
                <w:szCs w:val="21"/>
                <w:highlight w:val="none"/>
              </w:rPr>
              <w:t>4</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76892287">
            <w:pPr>
              <w:widowControl/>
              <w:jc w:val="left"/>
              <w:rPr>
                <w:rFonts w:ascii="宋体" w:hAnsi="宋体"/>
                <w:szCs w:val="20"/>
                <w:highlight w:val="none"/>
              </w:rPr>
            </w:pPr>
            <w:r>
              <w:rPr>
                <w:rFonts w:hint="eastAsia" w:ascii="宋体" w:hAnsi="宋体"/>
                <w:szCs w:val="20"/>
                <w:highlight w:val="none"/>
              </w:rPr>
              <w:t xml:space="preserve">GB 4793.1-2007  </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693312BB">
            <w:pPr>
              <w:spacing w:line="360" w:lineRule="auto"/>
              <w:jc w:val="left"/>
              <w:rPr>
                <w:rFonts w:ascii="宋体" w:hAnsi="宋体"/>
                <w:szCs w:val="20"/>
                <w:highlight w:val="none"/>
              </w:rPr>
            </w:pPr>
            <w:r>
              <w:rPr>
                <w:rFonts w:hint="eastAsia" w:ascii="宋体" w:hAnsi="宋体"/>
                <w:szCs w:val="20"/>
                <w:highlight w:val="none"/>
              </w:rPr>
              <w:t xml:space="preserve">测量、控制和实验室用电气设备的安全要求  </w:t>
            </w:r>
          </w:p>
        </w:tc>
      </w:tr>
      <w:tr w14:paraId="34865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27" w:type="dxa"/>
            <w:tcBorders>
              <w:top w:val="single" w:color="auto" w:sz="6" w:space="0"/>
              <w:left w:val="single" w:color="auto" w:sz="12" w:space="0"/>
              <w:bottom w:val="single" w:color="auto" w:sz="6" w:space="0"/>
              <w:right w:val="single" w:color="auto" w:sz="6" w:space="0"/>
            </w:tcBorders>
            <w:noWrap w:val="0"/>
            <w:vAlign w:val="center"/>
          </w:tcPr>
          <w:p w14:paraId="0259D49F">
            <w:pPr>
              <w:jc w:val="center"/>
              <w:rPr>
                <w:rFonts w:ascii="宋体" w:hAnsi="宋体"/>
                <w:szCs w:val="21"/>
                <w:highlight w:val="none"/>
              </w:rPr>
            </w:pPr>
            <w:r>
              <w:rPr>
                <w:rFonts w:hint="eastAsia" w:ascii="宋体" w:hAnsi="宋体"/>
                <w:szCs w:val="21"/>
                <w:highlight w:val="none"/>
              </w:rPr>
              <w:t>5</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51D546B5">
            <w:pPr>
              <w:widowControl/>
              <w:jc w:val="left"/>
              <w:rPr>
                <w:rFonts w:ascii="宋体" w:hAnsi="宋体"/>
                <w:szCs w:val="20"/>
                <w:highlight w:val="none"/>
              </w:rPr>
            </w:pPr>
            <w:r>
              <w:rPr>
                <w:rFonts w:hint="eastAsia" w:ascii="宋体" w:hAnsi="宋体"/>
                <w:szCs w:val="20"/>
                <w:highlight w:val="none"/>
              </w:rPr>
              <w:t>GB/T 9969-2008</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728CEBA5">
            <w:pPr>
              <w:jc w:val="left"/>
              <w:rPr>
                <w:rFonts w:ascii="宋体" w:hAnsi="宋体"/>
                <w:szCs w:val="20"/>
                <w:highlight w:val="none"/>
              </w:rPr>
            </w:pPr>
            <w:r>
              <w:rPr>
                <w:rFonts w:hint="eastAsia" w:ascii="宋体" w:hAnsi="宋体"/>
                <w:szCs w:val="20"/>
                <w:highlight w:val="none"/>
              </w:rPr>
              <w:t>工业产品使用说明书  总则</w:t>
            </w:r>
          </w:p>
        </w:tc>
      </w:tr>
      <w:tr w14:paraId="174B18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27" w:type="dxa"/>
            <w:tcBorders>
              <w:top w:val="single" w:color="auto" w:sz="6" w:space="0"/>
              <w:left w:val="single" w:color="auto" w:sz="12" w:space="0"/>
              <w:bottom w:val="single" w:color="auto" w:sz="6" w:space="0"/>
              <w:right w:val="single" w:color="auto" w:sz="6" w:space="0"/>
            </w:tcBorders>
            <w:noWrap w:val="0"/>
            <w:vAlign w:val="center"/>
          </w:tcPr>
          <w:p w14:paraId="07A77AF9">
            <w:pPr>
              <w:jc w:val="center"/>
              <w:rPr>
                <w:rFonts w:ascii="宋体" w:hAnsi="宋体"/>
                <w:szCs w:val="21"/>
                <w:highlight w:val="none"/>
              </w:rPr>
            </w:pPr>
            <w:r>
              <w:rPr>
                <w:rFonts w:hint="eastAsia" w:ascii="宋体" w:hAnsi="宋体"/>
                <w:szCs w:val="21"/>
                <w:highlight w:val="none"/>
              </w:rPr>
              <w:t>6</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55F81450">
            <w:pPr>
              <w:widowControl/>
              <w:jc w:val="left"/>
              <w:rPr>
                <w:rFonts w:ascii="宋体" w:hAnsi="宋体"/>
                <w:szCs w:val="20"/>
                <w:highlight w:val="none"/>
              </w:rPr>
            </w:pPr>
            <w:r>
              <w:rPr>
                <w:rFonts w:hint="eastAsia" w:ascii="宋体" w:hAnsi="宋体"/>
                <w:szCs w:val="20"/>
                <w:highlight w:val="none"/>
              </w:rPr>
              <w:t>GB/T 11463-1989</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164E2A5D">
            <w:pPr>
              <w:jc w:val="left"/>
              <w:rPr>
                <w:rFonts w:ascii="宋体" w:hAnsi="宋体"/>
                <w:szCs w:val="20"/>
                <w:highlight w:val="none"/>
              </w:rPr>
            </w:pPr>
            <w:r>
              <w:rPr>
                <w:rFonts w:hint="eastAsia" w:ascii="宋体" w:hAnsi="宋体"/>
                <w:szCs w:val="20"/>
                <w:highlight w:val="none"/>
              </w:rPr>
              <w:t>电子测量仪器可靠性试验</w:t>
            </w:r>
          </w:p>
        </w:tc>
      </w:tr>
      <w:tr w14:paraId="3F6737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27" w:type="dxa"/>
            <w:tcBorders>
              <w:top w:val="single" w:color="auto" w:sz="6" w:space="0"/>
              <w:left w:val="single" w:color="auto" w:sz="12" w:space="0"/>
              <w:bottom w:val="single" w:color="auto" w:sz="6" w:space="0"/>
              <w:right w:val="single" w:color="auto" w:sz="6" w:space="0"/>
            </w:tcBorders>
            <w:noWrap w:val="0"/>
            <w:vAlign w:val="center"/>
          </w:tcPr>
          <w:p w14:paraId="393991B6">
            <w:pPr>
              <w:jc w:val="center"/>
              <w:rPr>
                <w:rFonts w:ascii="宋体" w:hAnsi="宋体"/>
                <w:szCs w:val="21"/>
                <w:highlight w:val="none"/>
              </w:rPr>
            </w:pPr>
            <w:r>
              <w:rPr>
                <w:rFonts w:hint="eastAsia" w:ascii="宋体" w:hAnsi="宋体"/>
                <w:szCs w:val="21"/>
                <w:highlight w:val="none"/>
              </w:rPr>
              <w:t>7</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29A6A5B3">
            <w:pPr>
              <w:widowControl/>
              <w:jc w:val="left"/>
              <w:rPr>
                <w:rFonts w:hint="eastAsia" w:ascii="宋体" w:hAnsi="宋体" w:eastAsia="宋体" w:cs="Times New Roman"/>
                <w:szCs w:val="20"/>
                <w:highlight w:val="none"/>
              </w:rPr>
            </w:pPr>
            <w:r>
              <w:rPr>
                <w:rFonts w:hint="eastAsia" w:ascii="宋体" w:hAnsi="宋体" w:eastAsia="宋体" w:cs="Times New Roman"/>
                <w:szCs w:val="20"/>
                <w:highlight w:val="none"/>
              </w:rPr>
              <w:t>GB/T 13384-2008</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48D75DE4">
            <w:pPr>
              <w:widowControl/>
              <w:jc w:val="left"/>
              <w:rPr>
                <w:rFonts w:hint="eastAsia" w:ascii="宋体" w:hAnsi="宋体" w:eastAsia="宋体" w:cs="Times New Roman"/>
                <w:szCs w:val="20"/>
                <w:highlight w:val="none"/>
              </w:rPr>
            </w:pPr>
            <w:r>
              <w:rPr>
                <w:rFonts w:hint="eastAsia" w:ascii="宋体" w:hAnsi="宋体" w:eastAsia="宋体" w:cs="Times New Roman"/>
                <w:szCs w:val="20"/>
                <w:highlight w:val="none"/>
              </w:rPr>
              <w:t>机电产品包装通用技术条件</w:t>
            </w:r>
          </w:p>
        </w:tc>
      </w:tr>
      <w:tr w14:paraId="024559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27" w:type="dxa"/>
            <w:tcBorders>
              <w:top w:val="single" w:color="auto" w:sz="6" w:space="0"/>
              <w:left w:val="single" w:color="auto" w:sz="12" w:space="0"/>
              <w:bottom w:val="single" w:color="auto" w:sz="6" w:space="0"/>
              <w:right w:val="single" w:color="auto" w:sz="6" w:space="0"/>
            </w:tcBorders>
            <w:noWrap w:val="0"/>
            <w:vAlign w:val="center"/>
          </w:tcPr>
          <w:p w14:paraId="451BCAFA">
            <w:pPr>
              <w:jc w:val="center"/>
              <w:rPr>
                <w:rFonts w:ascii="宋体" w:hAnsi="宋体"/>
                <w:szCs w:val="21"/>
                <w:highlight w:val="none"/>
              </w:rPr>
            </w:pPr>
            <w:r>
              <w:rPr>
                <w:rFonts w:hint="eastAsia" w:ascii="宋体" w:hAnsi="宋体"/>
                <w:szCs w:val="21"/>
                <w:highlight w:val="none"/>
              </w:rPr>
              <w:t>8</w:t>
            </w:r>
          </w:p>
        </w:tc>
        <w:tc>
          <w:tcPr>
            <w:tcW w:w="2575" w:type="dxa"/>
            <w:tcBorders>
              <w:top w:val="single" w:color="auto" w:sz="6" w:space="0"/>
              <w:left w:val="single" w:color="auto" w:sz="6" w:space="0"/>
              <w:bottom w:val="single" w:color="auto" w:sz="6" w:space="0"/>
              <w:right w:val="single" w:color="auto" w:sz="6" w:space="0"/>
            </w:tcBorders>
            <w:noWrap w:val="0"/>
            <w:vAlign w:val="center"/>
          </w:tcPr>
          <w:p w14:paraId="4D6483C6">
            <w:pPr>
              <w:widowControl/>
              <w:jc w:val="left"/>
              <w:rPr>
                <w:rFonts w:hint="default" w:ascii="宋体" w:hAnsi="宋体" w:eastAsia="宋体" w:cs="Times New Roman"/>
                <w:szCs w:val="20"/>
                <w:highlight w:val="none"/>
                <w:lang w:val="en-US" w:eastAsia="zh-CN"/>
              </w:rPr>
            </w:pPr>
            <w:r>
              <w:rPr>
                <w:rFonts w:hint="eastAsia" w:ascii="宋体" w:hAnsi="宋体" w:eastAsia="宋体" w:cs="Times New Roman"/>
                <w:szCs w:val="20"/>
                <w:highlight w:val="none"/>
              </w:rPr>
              <w:t>DL/T 848.1</w:t>
            </w:r>
            <w:r>
              <w:rPr>
                <w:rFonts w:hint="eastAsia" w:ascii="宋体" w:hAnsi="宋体" w:eastAsia="宋体" w:cs="Times New Roman"/>
                <w:szCs w:val="20"/>
                <w:highlight w:val="none"/>
                <w:lang w:val="en-US" w:eastAsia="zh-CN"/>
              </w:rPr>
              <w:t>-2019</w:t>
            </w:r>
          </w:p>
        </w:tc>
        <w:tc>
          <w:tcPr>
            <w:tcW w:w="5316" w:type="dxa"/>
            <w:tcBorders>
              <w:top w:val="single" w:color="auto" w:sz="6" w:space="0"/>
              <w:left w:val="single" w:color="auto" w:sz="6" w:space="0"/>
              <w:bottom w:val="single" w:color="auto" w:sz="6" w:space="0"/>
              <w:right w:val="single" w:color="auto" w:sz="12" w:space="0"/>
            </w:tcBorders>
            <w:noWrap w:val="0"/>
            <w:vAlign w:val="center"/>
          </w:tcPr>
          <w:p w14:paraId="7A8AA4BD">
            <w:pPr>
              <w:widowControl/>
              <w:jc w:val="left"/>
              <w:rPr>
                <w:rFonts w:hint="eastAsia" w:ascii="宋体" w:hAnsi="宋体" w:eastAsia="宋体" w:cs="Times New Roman"/>
                <w:szCs w:val="20"/>
                <w:highlight w:val="none"/>
              </w:rPr>
            </w:pPr>
            <w:r>
              <w:rPr>
                <w:rFonts w:hint="eastAsia" w:ascii="宋体" w:hAnsi="宋体" w:eastAsia="宋体" w:cs="Times New Roman"/>
                <w:szCs w:val="20"/>
                <w:highlight w:val="none"/>
              </w:rPr>
              <w:t>高压试验装置通用技术条件 第1部分：直流高压发生器</w:t>
            </w:r>
          </w:p>
        </w:tc>
      </w:tr>
    </w:tbl>
    <w:p w14:paraId="6F7FF65C">
      <w:pPr>
        <w:pStyle w:val="20"/>
        <w:keepLines w:val="0"/>
        <w:pageBreakBefore w:val="0"/>
        <w:kinsoku/>
        <w:wordWrap/>
        <w:bidi w:val="0"/>
        <w:spacing w:line="500" w:lineRule="exact"/>
        <w:ind w:left="410" w:firstLine="480"/>
        <w:rPr>
          <w:rFonts w:hint="eastAsia"/>
          <w:color w:val="auto"/>
          <w:highlight w:val="none"/>
        </w:rPr>
      </w:pPr>
    </w:p>
    <w:p w14:paraId="1C485C92">
      <w:pPr>
        <w:pStyle w:val="2"/>
        <w:bidi w:val="0"/>
        <w:rPr>
          <w:highlight w:val="none"/>
        </w:rPr>
      </w:pPr>
      <w:bookmarkStart w:id="17" w:name="_Toc305941229"/>
      <w:bookmarkStart w:id="18" w:name="_Toc13932"/>
      <w:bookmarkStart w:id="19" w:name="_Toc279769035"/>
      <w:bookmarkStart w:id="20" w:name="_Toc397006843"/>
      <w:bookmarkStart w:id="21" w:name="_Toc305941521"/>
      <w:r>
        <w:rPr>
          <w:rFonts w:hint="eastAsia"/>
          <w:highlight w:val="none"/>
          <w:lang w:val="en-US" w:eastAsia="zh-CN"/>
        </w:rPr>
        <w:t>3</w:t>
      </w:r>
      <w:r>
        <w:rPr>
          <w:rFonts w:hint="eastAsia"/>
          <w:highlight w:val="none"/>
        </w:rPr>
        <w:t>.使用条件</w:t>
      </w:r>
      <w:bookmarkEnd w:id="17"/>
      <w:bookmarkEnd w:id="18"/>
      <w:bookmarkEnd w:id="19"/>
      <w:bookmarkEnd w:id="20"/>
      <w:bookmarkEnd w:id="21"/>
    </w:p>
    <w:p w14:paraId="2DB2D7EC">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直流高压发生器</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14:paraId="4713D6C5">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14:paraId="400923F8">
      <w:pPr>
        <w:keepLines w:val="0"/>
        <w:pageBreakBefore w:val="0"/>
        <w:kinsoku/>
        <w:wordWrap/>
        <w:bidi w:val="0"/>
        <w:spacing w:line="500" w:lineRule="exact"/>
        <w:ind w:left="410"/>
        <w:rPr>
          <w:rFonts w:hint="eastAsia"/>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621516"/>
      <w:bookmarkStart w:id="26" w:name="_Toc28570179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14:paraId="46DFDDA3">
      <w:pPr>
        <w:ind w:left="410" w:firstLine="480" w:firstLineChars="200"/>
        <w:rPr>
          <w:rFonts w:hint="eastAsia"/>
          <w:b w:val="0"/>
          <w:bCs w:val="0"/>
          <w:highlight w:val="none"/>
        </w:rPr>
      </w:pPr>
      <w:bookmarkStart w:id="29" w:name="_Toc305940419"/>
      <w:r>
        <w:rPr>
          <w:rFonts w:hint="eastAsia"/>
          <w:highlight w:val="none"/>
        </w:rPr>
        <w:t>本仪器技术文件所规定的仪器技术条款和参数要求，应适用下列环境条件使用。</w:t>
      </w:r>
      <w:bookmarkEnd w:id="29"/>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706"/>
        <w:gridCol w:w="3706"/>
      </w:tblGrid>
      <w:tr w14:paraId="478AC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486" w:type="dxa"/>
            <w:noWrap w:val="0"/>
            <w:vAlign w:val="center"/>
          </w:tcPr>
          <w:p w14:paraId="7EF3C0B5">
            <w:pPr>
              <w:snapToGrid w:val="0"/>
              <w:spacing w:before="87" w:beforeLines="28" w:after="87" w:afterLines="28"/>
              <w:jc w:val="center"/>
              <w:rPr>
                <w:rFonts w:hAnsi="宋体"/>
                <w:szCs w:val="21"/>
                <w:highlight w:val="none"/>
              </w:rPr>
            </w:pPr>
            <w:r>
              <w:rPr>
                <w:rFonts w:hAnsi="宋体"/>
                <w:szCs w:val="21"/>
                <w:highlight w:val="none"/>
              </w:rPr>
              <w:t>序</w:t>
            </w:r>
            <w:r>
              <w:rPr>
                <w:rFonts w:hint="eastAsia" w:hAnsi="宋体"/>
                <w:szCs w:val="21"/>
                <w:highlight w:val="none"/>
              </w:rPr>
              <w:t xml:space="preserve">  </w:t>
            </w:r>
            <w:r>
              <w:rPr>
                <w:rFonts w:hAnsi="宋体"/>
                <w:szCs w:val="21"/>
                <w:highlight w:val="none"/>
              </w:rPr>
              <w:t>号</w:t>
            </w:r>
          </w:p>
        </w:tc>
        <w:tc>
          <w:tcPr>
            <w:tcW w:w="3706" w:type="dxa"/>
            <w:noWrap w:val="0"/>
            <w:vAlign w:val="center"/>
          </w:tcPr>
          <w:p w14:paraId="001A1F27">
            <w:pPr>
              <w:snapToGrid w:val="0"/>
              <w:spacing w:before="87" w:beforeLines="28" w:after="87" w:afterLines="28"/>
              <w:jc w:val="center"/>
              <w:rPr>
                <w:rFonts w:hAnsi="宋体"/>
                <w:szCs w:val="21"/>
                <w:highlight w:val="none"/>
              </w:rPr>
            </w:pPr>
            <w:r>
              <w:rPr>
                <w:rFonts w:hAnsi="宋体"/>
                <w:szCs w:val="21"/>
                <w:highlight w:val="none"/>
              </w:rPr>
              <w:t>项</w:t>
            </w:r>
            <w:r>
              <w:rPr>
                <w:rFonts w:hint="eastAsia" w:hAnsi="宋体"/>
                <w:szCs w:val="21"/>
                <w:highlight w:val="none"/>
              </w:rPr>
              <w:t xml:space="preserve">  </w:t>
            </w:r>
            <w:r>
              <w:rPr>
                <w:rFonts w:hAnsi="宋体"/>
                <w:szCs w:val="21"/>
                <w:highlight w:val="none"/>
              </w:rPr>
              <w:t>目</w:t>
            </w:r>
          </w:p>
        </w:tc>
        <w:tc>
          <w:tcPr>
            <w:tcW w:w="3706" w:type="dxa"/>
            <w:noWrap w:val="0"/>
            <w:vAlign w:val="center"/>
          </w:tcPr>
          <w:p w14:paraId="41C16495">
            <w:pPr>
              <w:snapToGrid w:val="0"/>
              <w:spacing w:before="87" w:beforeLines="28" w:after="87" w:afterLines="28"/>
              <w:jc w:val="center"/>
              <w:rPr>
                <w:rFonts w:hAnsi="宋体"/>
                <w:szCs w:val="21"/>
                <w:highlight w:val="none"/>
              </w:rPr>
            </w:pPr>
            <w:r>
              <w:rPr>
                <w:rFonts w:hAnsi="宋体"/>
                <w:szCs w:val="21"/>
                <w:highlight w:val="none"/>
              </w:rPr>
              <w:t>内</w:t>
            </w:r>
            <w:r>
              <w:rPr>
                <w:rFonts w:hint="eastAsia" w:hAnsi="宋体"/>
                <w:szCs w:val="21"/>
                <w:highlight w:val="none"/>
              </w:rPr>
              <w:t xml:space="preserve">  </w:t>
            </w:r>
            <w:r>
              <w:rPr>
                <w:rFonts w:hAnsi="宋体"/>
                <w:szCs w:val="21"/>
                <w:highlight w:val="none"/>
              </w:rPr>
              <w:t>容</w:t>
            </w:r>
          </w:p>
        </w:tc>
      </w:tr>
      <w:tr w14:paraId="38D04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486" w:type="dxa"/>
            <w:noWrap w:val="0"/>
            <w:vAlign w:val="center"/>
          </w:tcPr>
          <w:p w14:paraId="577C55E6">
            <w:pPr>
              <w:snapToGrid w:val="0"/>
              <w:spacing w:before="87" w:beforeLines="28" w:after="87" w:afterLines="28"/>
              <w:jc w:val="center"/>
              <w:rPr>
                <w:rFonts w:hAnsi="宋体"/>
                <w:szCs w:val="21"/>
                <w:highlight w:val="none"/>
              </w:rPr>
            </w:pPr>
            <w:r>
              <w:rPr>
                <w:rFonts w:hAnsi="宋体"/>
                <w:szCs w:val="21"/>
                <w:highlight w:val="none"/>
              </w:rPr>
              <w:t>1</w:t>
            </w:r>
          </w:p>
        </w:tc>
        <w:tc>
          <w:tcPr>
            <w:tcW w:w="3706" w:type="dxa"/>
            <w:noWrap w:val="0"/>
            <w:vAlign w:val="center"/>
          </w:tcPr>
          <w:p w14:paraId="17F4509B">
            <w:pPr>
              <w:snapToGrid w:val="0"/>
              <w:spacing w:before="87" w:beforeLines="28" w:after="87" w:afterLines="28"/>
              <w:jc w:val="center"/>
              <w:rPr>
                <w:rFonts w:hAnsi="宋体"/>
                <w:szCs w:val="21"/>
                <w:highlight w:val="none"/>
              </w:rPr>
            </w:pPr>
            <w:r>
              <w:rPr>
                <w:rFonts w:hAnsi="宋体"/>
                <w:szCs w:val="21"/>
                <w:highlight w:val="none"/>
              </w:rPr>
              <w:t>工作温度</w:t>
            </w:r>
          </w:p>
        </w:tc>
        <w:tc>
          <w:tcPr>
            <w:tcW w:w="3706" w:type="dxa"/>
            <w:noWrap w:val="0"/>
            <w:vAlign w:val="center"/>
          </w:tcPr>
          <w:p w14:paraId="085E1CD4">
            <w:pPr>
              <w:snapToGrid w:val="0"/>
              <w:spacing w:before="87" w:beforeLines="28" w:after="87" w:afterLines="28"/>
              <w:jc w:val="center"/>
              <w:rPr>
                <w:rFonts w:hAnsi="宋体"/>
                <w:szCs w:val="21"/>
                <w:highlight w:val="none"/>
              </w:rPr>
            </w:pPr>
            <w:r>
              <w:rPr>
                <w:rFonts w:hAnsi="宋体"/>
                <w:szCs w:val="21"/>
                <w:highlight w:val="none"/>
              </w:rPr>
              <w:t>-1</w:t>
            </w:r>
            <w:r>
              <w:rPr>
                <w:rFonts w:hint="eastAsia" w:hAnsi="宋体"/>
                <w:szCs w:val="21"/>
                <w:highlight w:val="none"/>
              </w:rPr>
              <w:t>0</w:t>
            </w:r>
            <w:r>
              <w:rPr>
                <w:rFonts w:hAnsi="宋体"/>
                <w:szCs w:val="21"/>
                <w:highlight w:val="none"/>
              </w:rPr>
              <w:t>℃～50℃</w:t>
            </w:r>
          </w:p>
        </w:tc>
      </w:tr>
      <w:tr w14:paraId="7311C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486" w:type="dxa"/>
            <w:noWrap w:val="0"/>
            <w:vAlign w:val="center"/>
          </w:tcPr>
          <w:p w14:paraId="091E7536">
            <w:pPr>
              <w:snapToGrid w:val="0"/>
              <w:spacing w:before="87" w:beforeLines="28" w:after="87" w:afterLines="28"/>
              <w:jc w:val="center"/>
              <w:rPr>
                <w:rFonts w:hAnsi="宋体"/>
                <w:szCs w:val="21"/>
                <w:highlight w:val="none"/>
              </w:rPr>
            </w:pPr>
            <w:r>
              <w:rPr>
                <w:rFonts w:hAnsi="宋体"/>
                <w:szCs w:val="21"/>
                <w:highlight w:val="none"/>
              </w:rPr>
              <w:t>2</w:t>
            </w:r>
          </w:p>
        </w:tc>
        <w:tc>
          <w:tcPr>
            <w:tcW w:w="3706" w:type="dxa"/>
            <w:noWrap w:val="0"/>
            <w:vAlign w:val="center"/>
          </w:tcPr>
          <w:p w14:paraId="2AD23953">
            <w:pPr>
              <w:snapToGrid w:val="0"/>
              <w:spacing w:before="87" w:beforeLines="28" w:after="87" w:afterLines="28"/>
              <w:jc w:val="center"/>
              <w:rPr>
                <w:rFonts w:hAnsi="宋体"/>
                <w:szCs w:val="21"/>
                <w:highlight w:val="none"/>
              </w:rPr>
            </w:pPr>
            <w:r>
              <w:rPr>
                <w:rFonts w:hAnsi="宋体"/>
                <w:szCs w:val="21"/>
                <w:highlight w:val="none"/>
              </w:rPr>
              <w:t>工作湿度</w:t>
            </w:r>
          </w:p>
        </w:tc>
        <w:tc>
          <w:tcPr>
            <w:tcW w:w="3706" w:type="dxa"/>
            <w:noWrap w:val="0"/>
            <w:vAlign w:val="center"/>
          </w:tcPr>
          <w:p w14:paraId="4B9D24BE">
            <w:pPr>
              <w:snapToGrid w:val="0"/>
              <w:spacing w:before="87" w:beforeLines="28" w:after="87" w:afterLines="28"/>
              <w:jc w:val="center"/>
              <w:rPr>
                <w:rFonts w:hAnsi="宋体"/>
                <w:szCs w:val="21"/>
                <w:highlight w:val="none"/>
              </w:rPr>
            </w:pPr>
            <w:r>
              <w:rPr>
                <w:rFonts w:hint="eastAsia" w:ascii="宋体" w:hAnsi="宋体"/>
                <w:highlight w:val="none"/>
              </w:rPr>
              <w:t>≤</w:t>
            </w:r>
            <w:r>
              <w:rPr>
                <w:rFonts w:ascii="宋体" w:hAnsi="宋体"/>
                <w:highlight w:val="none"/>
              </w:rPr>
              <w:t>90</w:t>
            </w:r>
            <w:r>
              <w:rPr>
                <w:rFonts w:hint="eastAsia" w:ascii="宋体" w:hAnsi="宋体"/>
                <w:highlight w:val="none"/>
              </w:rPr>
              <w:t>%RH</w:t>
            </w:r>
          </w:p>
        </w:tc>
      </w:tr>
    </w:tbl>
    <w:p w14:paraId="028D9858">
      <w:pPr>
        <w:keepLines w:val="0"/>
        <w:pageBreakBefore w:val="0"/>
        <w:kinsoku/>
        <w:wordWrap/>
        <w:bidi w:val="0"/>
        <w:spacing w:line="500" w:lineRule="exact"/>
        <w:ind w:left="0" w:leftChars="0" w:firstLine="480" w:firstLineChars="200"/>
        <w:rPr>
          <w:highlight w:val="none"/>
        </w:rPr>
      </w:pPr>
      <w:bookmarkStart w:id="30" w:name="_Toc397006845"/>
      <w:r>
        <w:rPr>
          <w:rFonts w:hint="eastAsia"/>
          <w:highlight w:val="none"/>
          <w:lang w:val="en-US" w:eastAsia="zh-CN"/>
        </w:rPr>
        <w:t>3</w:t>
      </w:r>
      <w:r>
        <w:rPr>
          <w:rFonts w:hint="eastAsia"/>
          <w:highlight w:val="none"/>
        </w:rPr>
        <w:t>.2特殊使用条件要求（如有）</w:t>
      </w:r>
      <w:bookmarkEnd w:id="30"/>
    </w:p>
    <w:bookmarkEnd w:id="27"/>
    <w:bookmarkEnd w:id="28"/>
    <w:p w14:paraId="0AF6A925">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14:paraId="7EC504E1">
      <w:pPr>
        <w:pStyle w:val="2"/>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14:paraId="43A4AB89">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直流高压发生器</w:t>
      </w:r>
      <w:r>
        <w:rPr>
          <w:rFonts w:hint="eastAsia"/>
          <w:color w:val="auto"/>
          <w:highlight w:val="none"/>
          <w:shd w:val="clear" w:color="auto" w:fill="FFFFFF"/>
        </w:rPr>
        <w:t>功能</w:t>
      </w:r>
      <w:r>
        <w:rPr>
          <w:rFonts w:hint="eastAsia"/>
          <w:highlight w:val="none"/>
        </w:rPr>
        <w:t>要求</w:t>
      </w:r>
    </w:p>
    <w:p w14:paraId="55B93C16">
      <w:pPr>
        <w:adjustRightInd w:val="0"/>
        <w:snapToGrid w:val="0"/>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（1）</w:t>
      </w:r>
      <w:r>
        <w:rPr>
          <w:rFonts w:hint="eastAsia" w:ascii="宋体" w:hAnsi="宋体" w:eastAsia="宋体" w:cs="Times New Roman"/>
          <w:sz w:val="24"/>
          <w:szCs w:val="24"/>
          <w:highlight w:val="none"/>
        </w:rPr>
        <w:t>★</w:t>
      </w:r>
      <w:r>
        <w:rPr>
          <w:rFonts w:hint="eastAsia" w:ascii="宋体" w:hAnsi="宋体" w:eastAsia="宋体" w:cs="Times New Roman"/>
          <w:sz w:val="24"/>
          <w:highlight w:val="none"/>
        </w:rPr>
        <w:t>精度高、测量准确。控制箱上电压表直接显示加在负载试品上的电压值，使用时无需外加分压器，接线简单。仪器具有高、低压端测量泄漏电流，高压端采用圆形屏蔽数字表显示，不怕放电冲击，抗干扰性能好，适合现场使用。</w:t>
      </w:r>
    </w:p>
    <w:p w14:paraId="1ADFE138">
      <w:pPr>
        <w:adjustRightInd w:val="0"/>
        <w:snapToGrid w:val="0"/>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（2）电压调节稳定度高，全量程平滑调压，输出电压调节采用进口单个多圈电位器，升压过程平稳，调节精度高。</w:t>
      </w:r>
    </w:p>
    <w:p w14:paraId="0B95312C">
      <w:pPr>
        <w:adjustRightInd w:val="0"/>
        <w:snapToGrid w:val="0"/>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（3）</w:t>
      </w:r>
      <w:r>
        <w:rPr>
          <w:rFonts w:hint="eastAsia" w:ascii="宋体" w:hAnsi="宋体" w:eastAsia="宋体" w:cs="Times New Roman"/>
          <w:sz w:val="24"/>
          <w:szCs w:val="24"/>
          <w:highlight w:val="none"/>
        </w:rPr>
        <w:t>★</w:t>
      </w:r>
      <w:r>
        <w:rPr>
          <w:rFonts w:hint="eastAsia" w:ascii="宋体" w:hAnsi="宋体" w:eastAsia="宋体" w:cs="Times New Roman"/>
          <w:sz w:val="24"/>
          <w:highlight w:val="none"/>
        </w:rPr>
        <w:t>负极性输出、零启动、连续可调、有过电压、过电流、回零、接地保护、特有断线保护等各种保护功能。自动保护电路功能强，保护完善可靠，使操作安全。</w:t>
      </w:r>
    </w:p>
    <w:p w14:paraId="1EC21E2B">
      <w:pPr>
        <w:adjustRightInd w:val="0"/>
        <w:snapToGrid w:val="0"/>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（4）采用最进技术、工艺制造，采用最新的PWM高频脉宽调制技术和大功率IGBT器件，从而使输出高压稳定度更高，纹波系数更小。</w:t>
      </w:r>
    </w:p>
    <w:p w14:paraId="7FE24686">
      <w:pPr>
        <w:adjustRightInd w:val="0"/>
        <w:snapToGrid w:val="0"/>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（5）</w:t>
      </w:r>
      <w:r>
        <w:rPr>
          <w:rFonts w:hint="eastAsia" w:ascii="宋体" w:hAnsi="宋体" w:eastAsia="宋体" w:cs="Times New Roman"/>
          <w:sz w:val="24"/>
          <w:szCs w:val="24"/>
          <w:highlight w:val="none"/>
        </w:rPr>
        <w:t>★</w:t>
      </w:r>
      <w:r>
        <w:rPr>
          <w:rFonts w:hint="eastAsia" w:ascii="宋体" w:hAnsi="宋体" w:eastAsia="宋体" w:cs="Times New Roman"/>
          <w:sz w:val="24"/>
          <w:highlight w:val="none"/>
        </w:rPr>
        <w:t>增设高精度0.75UDC1mA功能，为做氧化锌避雷器测量带来极大的方便。</w:t>
      </w:r>
    </w:p>
    <w:p w14:paraId="647613FD">
      <w:pPr>
        <w:adjustRightInd w:val="0"/>
        <w:snapToGrid w:val="0"/>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（6）过电压整定采用了数字拨码开关，能将整定电压值直观显示，显示数值单位为kV，一目了然。</w:t>
      </w:r>
    </w:p>
    <w:p w14:paraId="73044BB7">
      <w:pPr>
        <w:adjustRightInd w:val="0"/>
        <w:snapToGrid w:val="0"/>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（7）故障取样采用专用的传感器，动作时间为纳秒级，光隔离元件也为纳秒级，可快速完全关断直流主回路，从而最大的保护仪器不受损伤。</w:t>
      </w:r>
    </w:p>
    <w:p w14:paraId="00D19D19">
      <w:pPr>
        <w:adjustRightInd w:val="0"/>
        <w:snapToGrid w:val="0"/>
        <w:spacing w:line="360" w:lineRule="auto"/>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（8）</w:t>
      </w:r>
      <w:r>
        <w:rPr>
          <w:rFonts w:hint="eastAsia" w:ascii="宋体" w:hAnsi="宋体" w:eastAsia="宋体" w:cs="Times New Roman"/>
          <w:sz w:val="24"/>
          <w:szCs w:val="24"/>
          <w:highlight w:val="none"/>
        </w:rPr>
        <w:t>★</w:t>
      </w:r>
      <w:r>
        <w:rPr>
          <w:rFonts w:hint="eastAsia" w:ascii="宋体" w:hAnsi="宋体" w:eastAsia="宋体" w:cs="Times New Roman"/>
          <w:sz w:val="24"/>
          <w:highlight w:val="none"/>
        </w:rPr>
        <w:t>倍压筒采用新型材料，轻巧、坚固。底部设有三只内藏式支撑脚，增加了倍压筒的稳定性。外表涂特种绝缘材料，电气性能好，防潮能力强。</w:t>
      </w:r>
    </w:p>
    <w:p w14:paraId="7ED216C2">
      <w:pPr>
        <w:ind w:left="410" w:firstLine="480" w:firstLineChars="200"/>
        <w:rPr>
          <w:rFonts w:hint="eastAsia" w:ascii="宋体" w:hAnsi="宋体"/>
          <w:b w:val="0"/>
          <w:bCs w:val="0"/>
          <w:color w:val="auto"/>
          <w:sz w:val="24"/>
          <w:szCs w:val="24"/>
          <w:highlight w:val="none"/>
        </w:rPr>
      </w:pPr>
      <w:r>
        <w:rPr>
          <w:rFonts w:hint="eastAsia" w:ascii="宋体" w:hAnsi="宋体" w:eastAsia="宋体" w:cs="Times New Roman"/>
          <w:sz w:val="24"/>
          <w:highlight w:val="none"/>
        </w:rPr>
        <w:t>（9）机箱采用铝合金机箱，体积小，重量更轻、更美观、更可靠、操作简单、功能齐全，便于野外使用。</w:t>
      </w:r>
    </w:p>
    <w:p w14:paraId="34B00A73">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14:paraId="609D9403">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直流高压发生器</w:t>
      </w:r>
      <w:r>
        <w:rPr>
          <w:rFonts w:hint="eastAsia"/>
          <w:color w:val="auto"/>
          <w:highlight w:val="none"/>
          <w:shd w:val="clear" w:color="auto" w:fill="FFFFFF"/>
        </w:rPr>
        <w:t>技术指标</w:t>
      </w:r>
    </w:p>
    <w:p w14:paraId="4B5978CC">
      <w:pPr>
        <w:pStyle w:val="20"/>
        <w:adjustRightInd w:val="0"/>
        <w:snapToGrid w:val="0"/>
        <w:spacing w:before="156" w:beforeLines="50" w:after="156" w:afterLines="50" w:line="360" w:lineRule="auto"/>
        <w:ind w:firstLine="0" w:firstLineChars="0"/>
        <w:jc w:val="center"/>
        <w:rPr>
          <w:rFonts w:hint="eastAsia" w:ascii="宋体" w:hAnsi="宋体" w:eastAsia="宋体" w:cs="Times New Roman"/>
          <w:sz w:val="24"/>
          <w:szCs w:val="24"/>
          <w:highlight w:val="none"/>
        </w:rPr>
      </w:pPr>
      <w:bookmarkStart w:id="32" w:name="_Toc14198"/>
      <w:r>
        <w:rPr>
          <w:rFonts w:hint="eastAsia" w:ascii="宋体" w:hAnsi="宋体" w:eastAsia="宋体"/>
          <w:sz w:val="24"/>
          <w:szCs w:val="24"/>
          <w:highlight w:val="none"/>
        </w:rPr>
        <w:t>表</w:t>
      </w: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.1  技术参</w:t>
      </w:r>
      <w:r>
        <w:rPr>
          <w:rFonts w:hint="eastAsia" w:ascii="宋体" w:hAnsi="宋体" w:eastAsia="宋体" w:cs="Times New Roman"/>
          <w:sz w:val="24"/>
          <w:szCs w:val="24"/>
          <w:highlight w:val="none"/>
        </w:rPr>
        <w:t>数和性能要求响应表（项目单位填写）</w:t>
      </w:r>
    </w:p>
    <w:tbl>
      <w:tblPr>
        <w:tblStyle w:val="13"/>
        <w:tblW w:w="99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9"/>
        <w:gridCol w:w="1729"/>
        <w:gridCol w:w="3706"/>
        <w:gridCol w:w="3706"/>
      </w:tblGrid>
      <w:tr w14:paraId="22DE1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8" w:hRule="atLeast"/>
          <w:tblHeader/>
          <w:jc w:val="center"/>
        </w:trPr>
        <w:tc>
          <w:tcPr>
            <w:tcW w:w="819" w:type="dxa"/>
            <w:tcBorders>
              <w:tl2br w:val="nil"/>
              <w:tr2bl w:val="nil"/>
            </w:tcBorders>
            <w:noWrap w:val="0"/>
            <w:vAlign w:val="center"/>
          </w:tcPr>
          <w:p w14:paraId="5378F5A9">
            <w:pPr>
              <w:pStyle w:val="5"/>
              <w:snapToGrid w:val="0"/>
              <w:spacing w:line="240" w:lineRule="auto"/>
              <w:ind w:left="0" w:leftChars="0" w:right="0" w:rightChars="0" w:firstLine="0" w:firstLineChars="0"/>
              <w:jc w:val="center"/>
              <w:rPr>
                <w:rFonts w:hAnsi="宋体"/>
                <w:b/>
                <w:szCs w:val="21"/>
                <w:highlight w:val="none"/>
              </w:rPr>
            </w:pPr>
            <w:r>
              <w:rPr>
                <w:rFonts w:hint="eastAsia" w:hAnsi="宋体"/>
                <w:b/>
                <w:szCs w:val="21"/>
                <w:highlight w:val="none"/>
              </w:rPr>
              <w:t>序号</w:t>
            </w:r>
          </w:p>
        </w:tc>
        <w:tc>
          <w:tcPr>
            <w:tcW w:w="1729" w:type="dxa"/>
            <w:tcBorders>
              <w:tl2br w:val="nil"/>
              <w:tr2bl w:val="nil"/>
            </w:tcBorders>
            <w:noWrap w:val="0"/>
            <w:vAlign w:val="center"/>
          </w:tcPr>
          <w:p w14:paraId="409B8253">
            <w:pPr>
              <w:pStyle w:val="5"/>
              <w:snapToGrid w:val="0"/>
              <w:spacing w:line="240" w:lineRule="auto"/>
              <w:ind w:left="0" w:leftChars="0" w:right="0" w:rightChars="0" w:firstLine="0" w:firstLineChars="0"/>
              <w:jc w:val="center"/>
              <w:rPr>
                <w:rFonts w:hAnsi="宋体"/>
                <w:b/>
                <w:szCs w:val="21"/>
                <w:highlight w:val="none"/>
              </w:rPr>
            </w:pPr>
            <w:r>
              <w:rPr>
                <w:rFonts w:hint="eastAsia" w:hAnsi="宋体"/>
                <w:b/>
                <w:szCs w:val="21"/>
                <w:highlight w:val="none"/>
              </w:rPr>
              <w:t>名称</w:t>
            </w:r>
          </w:p>
        </w:tc>
        <w:tc>
          <w:tcPr>
            <w:tcW w:w="3706" w:type="dxa"/>
            <w:tcBorders>
              <w:tl2br w:val="nil"/>
              <w:tr2bl w:val="nil"/>
            </w:tcBorders>
            <w:noWrap w:val="0"/>
            <w:vAlign w:val="center"/>
          </w:tcPr>
          <w:p w14:paraId="7FA5E3F6">
            <w:pPr>
              <w:pStyle w:val="5"/>
              <w:snapToGrid w:val="0"/>
              <w:spacing w:line="240" w:lineRule="auto"/>
              <w:ind w:left="0" w:leftChars="0" w:right="0" w:rightChars="0" w:firstLine="0" w:firstLineChars="0"/>
              <w:jc w:val="center"/>
              <w:rPr>
                <w:rFonts w:hAnsi="宋体"/>
                <w:b/>
                <w:szCs w:val="21"/>
                <w:highlight w:val="none"/>
              </w:rPr>
            </w:pPr>
            <w:r>
              <w:rPr>
                <w:rFonts w:hint="eastAsia" w:hAnsi="宋体"/>
                <w:b/>
                <w:szCs w:val="21"/>
                <w:highlight w:val="none"/>
              </w:rPr>
              <w:t>项目要求值</w:t>
            </w:r>
          </w:p>
        </w:tc>
        <w:tc>
          <w:tcPr>
            <w:tcW w:w="3706" w:type="dxa"/>
            <w:tcBorders>
              <w:tl2br w:val="nil"/>
              <w:tr2bl w:val="nil"/>
            </w:tcBorders>
            <w:noWrap w:val="0"/>
            <w:vAlign w:val="center"/>
          </w:tcPr>
          <w:p w14:paraId="215FA68A">
            <w:pPr>
              <w:pStyle w:val="5"/>
              <w:snapToGrid w:val="0"/>
              <w:spacing w:line="240" w:lineRule="auto"/>
              <w:ind w:left="0" w:leftChars="0" w:right="0" w:rightChars="0" w:firstLine="0" w:firstLineChars="0"/>
              <w:jc w:val="center"/>
              <w:rPr>
                <w:rFonts w:hint="default" w:hAnsi="宋体" w:eastAsia="宋体"/>
                <w:b/>
                <w:szCs w:val="21"/>
                <w:highlight w:val="none"/>
                <w:lang w:val="en-US" w:eastAsia="zh-CN"/>
              </w:rPr>
            </w:pPr>
            <w:r>
              <w:rPr>
                <w:rFonts w:hint="eastAsia" w:hAnsi="宋体"/>
                <w:b/>
                <w:szCs w:val="21"/>
                <w:highlight w:val="none"/>
                <w:lang w:val="en-US" w:eastAsia="zh-CN"/>
              </w:rPr>
              <w:t>投</w:t>
            </w:r>
            <w:bookmarkStart w:id="40" w:name="_GoBack"/>
            <w:bookmarkEnd w:id="40"/>
            <w:r>
              <w:rPr>
                <w:rFonts w:hint="eastAsia" w:hAnsi="宋体"/>
                <w:b/>
                <w:szCs w:val="21"/>
                <w:highlight w:val="none"/>
                <w:lang w:val="en-US" w:eastAsia="zh-CN"/>
              </w:rPr>
              <w:t>标人响应值</w:t>
            </w:r>
          </w:p>
        </w:tc>
      </w:tr>
      <w:tr w14:paraId="403B5F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1" w:hRule="atLeast"/>
          <w:jc w:val="center"/>
        </w:trPr>
        <w:tc>
          <w:tcPr>
            <w:tcW w:w="819" w:type="dxa"/>
            <w:tcBorders>
              <w:tl2br w:val="nil"/>
              <w:tr2bl w:val="nil"/>
            </w:tcBorders>
            <w:noWrap w:val="0"/>
            <w:vAlign w:val="center"/>
          </w:tcPr>
          <w:p w14:paraId="6CFC3BA9">
            <w:pPr>
              <w:pStyle w:val="5"/>
              <w:snapToGrid w:val="0"/>
              <w:spacing w:line="240" w:lineRule="auto"/>
              <w:ind w:left="0" w:leftChars="0" w:right="0" w:rightChars="0" w:firstLine="0" w:firstLineChars="0"/>
              <w:jc w:val="center"/>
              <w:rPr>
                <w:rFonts w:hint="eastAsia"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1</w:t>
            </w:r>
          </w:p>
        </w:tc>
        <w:tc>
          <w:tcPr>
            <w:tcW w:w="1729" w:type="dxa"/>
            <w:tcBorders>
              <w:tl2br w:val="nil"/>
              <w:tr2bl w:val="nil"/>
            </w:tcBorders>
            <w:noWrap w:val="0"/>
            <w:vAlign w:val="center"/>
          </w:tcPr>
          <w:p w14:paraId="7BDE1414">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宋体" w:eastAsia="宋体" w:cs="Times New Roman"/>
                <w:sz w:val="24"/>
                <w:szCs w:val="24"/>
                <w:highlight w:val="none"/>
              </w:rPr>
              <w:t>★</w:t>
            </w:r>
            <w:r>
              <w:rPr>
                <w:rFonts w:hint="eastAsia" w:ascii="Times New Roman" w:hAnsi="Times New Roman" w:eastAsia="宋体" w:cs="Times New Roman"/>
                <w:sz w:val="24"/>
                <w:szCs w:val="21"/>
                <w:highlight w:val="none"/>
                <w:lang w:val="en-US" w:eastAsia="zh-CN"/>
              </w:rPr>
              <w:t>额定电压</w:t>
            </w:r>
          </w:p>
        </w:tc>
        <w:tc>
          <w:tcPr>
            <w:tcW w:w="3706" w:type="dxa"/>
            <w:tcBorders>
              <w:tl2br w:val="nil"/>
              <w:tr2bl w:val="nil"/>
            </w:tcBorders>
            <w:noWrap w:val="0"/>
            <w:vAlign w:val="center"/>
          </w:tcPr>
          <w:p w14:paraId="4510BD4A">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400kV</w:t>
            </w:r>
          </w:p>
        </w:tc>
        <w:tc>
          <w:tcPr>
            <w:tcW w:w="3706" w:type="dxa"/>
            <w:tcBorders>
              <w:tl2br w:val="nil"/>
              <w:tr2bl w:val="nil"/>
            </w:tcBorders>
            <w:noWrap w:val="0"/>
            <w:vAlign w:val="center"/>
          </w:tcPr>
          <w:p w14:paraId="61AD015B">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r w14:paraId="007D0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1" w:hRule="atLeast"/>
          <w:jc w:val="center"/>
        </w:trPr>
        <w:tc>
          <w:tcPr>
            <w:tcW w:w="819" w:type="dxa"/>
            <w:tcBorders>
              <w:tl2br w:val="nil"/>
              <w:tr2bl w:val="nil"/>
            </w:tcBorders>
            <w:noWrap w:val="0"/>
            <w:vAlign w:val="center"/>
          </w:tcPr>
          <w:p w14:paraId="0875F3AF">
            <w:pPr>
              <w:pStyle w:val="5"/>
              <w:snapToGrid w:val="0"/>
              <w:spacing w:line="240" w:lineRule="auto"/>
              <w:ind w:left="0" w:leftChars="0" w:right="0" w:rightChars="0" w:firstLine="0" w:firstLineChars="0"/>
              <w:jc w:val="center"/>
              <w:rPr>
                <w:rFonts w:hint="eastAsia"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2</w:t>
            </w:r>
          </w:p>
        </w:tc>
        <w:tc>
          <w:tcPr>
            <w:tcW w:w="1729" w:type="dxa"/>
            <w:tcBorders>
              <w:tl2br w:val="nil"/>
              <w:tr2bl w:val="nil"/>
            </w:tcBorders>
            <w:noWrap w:val="0"/>
            <w:vAlign w:val="center"/>
          </w:tcPr>
          <w:p w14:paraId="6D36DB4D">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宋体" w:eastAsia="宋体" w:cs="Times New Roman"/>
                <w:sz w:val="24"/>
                <w:szCs w:val="24"/>
                <w:highlight w:val="none"/>
              </w:rPr>
              <w:t>★</w:t>
            </w:r>
            <w:r>
              <w:rPr>
                <w:rFonts w:hint="eastAsia" w:ascii="Times New Roman" w:hAnsi="Times New Roman" w:eastAsia="宋体" w:cs="Times New Roman"/>
                <w:sz w:val="24"/>
                <w:szCs w:val="21"/>
                <w:highlight w:val="none"/>
                <w:lang w:val="en-US" w:eastAsia="zh-CN"/>
              </w:rPr>
              <w:t>额定电流</w:t>
            </w:r>
          </w:p>
        </w:tc>
        <w:tc>
          <w:tcPr>
            <w:tcW w:w="3706" w:type="dxa"/>
            <w:tcBorders>
              <w:tl2br w:val="nil"/>
              <w:tr2bl w:val="nil"/>
            </w:tcBorders>
            <w:noWrap w:val="0"/>
            <w:vAlign w:val="center"/>
          </w:tcPr>
          <w:p w14:paraId="047BE92A">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5mA</w:t>
            </w:r>
          </w:p>
        </w:tc>
        <w:tc>
          <w:tcPr>
            <w:tcW w:w="3706" w:type="dxa"/>
            <w:tcBorders>
              <w:tl2br w:val="nil"/>
              <w:tr2bl w:val="nil"/>
            </w:tcBorders>
            <w:noWrap w:val="0"/>
            <w:vAlign w:val="center"/>
          </w:tcPr>
          <w:p w14:paraId="30058C57">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r w14:paraId="3F02A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1" w:hRule="atLeast"/>
          <w:jc w:val="center"/>
        </w:trPr>
        <w:tc>
          <w:tcPr>
            <w:tcW w:w="819" w:type="dxa"/>
            <w:tcBorders>
              <w:tl2br w:val="nil"/>
              <w:tr2bl w:val="nil"/>
            </w:tcBorders>
            <w:noWrap w:val="0"/>
            <w:vAlign w:val="center"/>
          </w:tcPr>
          <w:p w14:paraId="1E5F0093">
            <w:pPr>
              <w:pStyle w:val="5"/>
              <w:snapToGrid w:val="0"/>
              <w:spacing w:line="240" w:lineRule="auto"/>
              <w:ind w:left="0" w:leftChars="0" w:right="0" w:rightChars="0" w:firstLine="0" w:firstLineChars="0"/>
              <w:jc w:val="center"/>
              <w:rPr>
                <w:rFonts w:hint="eastAsia"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3</w:t>
            </w:r>
          </w:p>
        </w:tc>
        <w:tc>
          <w:tcPr>
            <w:tcW w:w="1729" w:type="dxa"/>
            <w:tcBorders>
              <w:tl2br w:val="nil"/>
              <w:tr2bl w:val="nil"/>
            </w:tcBorders>
            <w:noWrap w:val="0"/>
            <w:vAlign w:val="center"/>
          </w:tcPr>
          <w:p w14:paraId="7CF3BDBB">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宋体" w:eastAsia="宋体" w:cs="Times New Roman"/>
                <w:sz w:val="24"/>
                <w:szCs w:val="24"/>
                <w:highlight w:val="none"/>
              </w:rPr>
              <w:t>★</w:t>
            </w:r>
            <w:r>
              <w:rPr>
                <w:rFonts w:hint="eastAsia" w:ascii="Times New Roman" w:hAnsi="Times New Roman" w:eastAsia="宋体" w:cs="Times New Roman"/>
                <w:sz w:val="24"/>
                <w:szCs w:val="21"/>
                <w:highlight w:val="none"/>
                <w:lang w:val="en-US" w:eastAsia="zh-CN"/>
              </w:rPr>
              <w:t>额定功率</w:t>
            </w:r>
          </w:p>
        </w:tc>
        <w:tc>
          <w:tcPr>
            <w:tcW w:w="3706" w:type="dxa"/>
            <w:tcBorders>
              <w:tl2br w:val="nil"/>
              <w:tr2bl w:val="nil"/>
            </w:tcBorders>
            <w:noWrap w:val="0"/>
            <w:vAlign w:val="center"/>
          </w:tcPr>
          <w:p w14:paraId="3182092C">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2000W</w:t>
            </w:r>
          </w:p>
        </w:tc>
        <w:tc>
          <w:tcPr>
            <w:tcW w:w="3706" w:type="dxa"/>
            <w:tcBorders>
              <w:tl2br w:val="nil"/>
              <w:tr2bl w:val="nil"/>
            </w:tcBorders>
            <w:noWrap w:val="0"/>
            <w:vAlign w:val="center"/>
          </w:tcPr>
          <w:p w14:paraId="5A7C0215">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r w14:paraId="548349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1" w:hRule="atLeast"/>
          <w:jc w:val="center"/>
        </w:trPr>
        <w:tc>
          <w:tcPr>
            <w:tcW w:w="819" w:type="dxa"/>
            <w:tcBorders>
              <w:tl2br w:val="nil"/>
              <w:tr2bl w:val="nil"/>
            </w:tcBorders>
            <w:noWrap w:val="0"/>
            <w:vAlign w:val="center"/>
          </w:tcPr>
          <w:p w14:paraId="6EF10500">
            <w:pPr>
              <w:pStyle w:val="5"/>
              <w:snapToGrid w:val="0"/>
              <w:spacing w:line="240" w:lineRule="auto"/>
              <w:ind w:left="0" w:leftChars="0" w:right="0" w:rightChars="0" w:firstLine="0" w:firstLineChars="0"/>
              <w:jc w:val="center"/>
              <w:rPr>
                <w:rFonts w:hint="eastAsia"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4</w:t>
            </w:r>
          </w:p>
        </w:tc>
        <w:tc>
          <w:tcPr>
            <w:tcW w:w="1729" w:type="dxa"/>
            <w:tcBorders>
              <w:tl2br w:val="nil"/>
              <w:tr2bl w:val="nil"/>
            </w:tcBorders>
            <w:noWrap w:val="0"/>
            <w:vAlign w:val="center"/>
          </w:tcPr>
          <w:p w14:paraId="05FEA21A">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宋体" w:eastAsia="宋体" w:cs="Times New Roman"/>
                <w:sz w:val="24"/>
                <w:szCs w:val="24"/>
                <w:highlight w:val="none"/>
              </w:rPr>
              <w:t>★</w:t>
            </w:r>
            <w:r>
              <w:rPr>
                <w:rFonts w:hint="eastAsia" w:ascii="Times New Roman" w:hAnsi="Times New Roman" w:eastAsia="宋体" w:cs="Times New Roman"/>
                <w:sz w:val="24"/>
                <w:szCs w:val="21"/>
                <w:highlight w:val="none"/>
                <w:lang w:val="en-US" w:eastAsia="zh-CN"/>
              </w:rPr>
              <w:t>电压精度</w:t>
            </w:r>
          </w:p>
        </w:tc>
        <w:tc>
          <w:tcPr>
            <w:tcW w:w="3706" w:type="dxa"/>
            <w:tcBorders>
              <w:tl2br w:val="nil"/>
              <w:tr2bl w:val="nil"/>
            </w:tcBorders>
            <w:noWrap w:val="0"/>
            <w:vAlign w:val="center"/>
          </w:tcPr>
          <w:p w14:paraId="733CC9AD">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±(1.0%读数＋2个字)</w:t>
            </w:r>
          </w:p>
        </w:tc>
        <w:tc>
          <w:tcPr>
            <w:tcW w:w="3706" w:type="dxa"/>
            <w:tcBorders>
              <w:tl2br w:val="nil"/>
              <w:tr2bl w:val="nil"/>
            </w:tcBorders>
            <w:noWrap w:val="0"/>
            <w:vAlign w:val="center"/>
          </w:tcPr>
          <w:p w14:paraId="2D5F3703">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r w14:paraId="63ED1F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1" w:hRule="atLeast"/>
          <w:jc w:val="center"/>
        </w:trPr>
        <w:tc>
          <w:tcPr>
            <w:tcW w:w="819" w:type="dxa"/>
            <w:tcBorders>
              <w:tl2br w:val="nil"/>
              <w:tr2bl w:val="nil"/>
            </w:tcBorders>
            <w:noWrap w:val="0"/>
            <w:vAlign w:val="center"/>
          </w:tcPr>
          <w:p w14:paraId="4F55DBEC">
            <w:pPr>
              <w:pStyle w:val="5"/>
              <w:snapToGrid w:val="0"/>
              <w:spacing w:line="240" w:lineRule="auto"/>
              <w:ind w:left="0" w:leftChars="0" w:right="0" w:rightChars="0" w:firstLine="0" w:firstLineChars="0"/>
              <w:jc w:val="center"/>
              <w:rPr>
                <w:rFonts w:hint="eastAsia"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5</w:t>
            </w:r>
          </w:p>
        </w:tc>
        <w:tc>
          <w:tcPr>
            <w:tcW w:w="1729" w:type="dxa"/>
            <w:tcBorders>
              <w:tl2br w:val="nil"/>
              <w:tr2bl w:val="nil"/>
            </w:tcBorders>
            <w:noWrap w:val="0"/>
            <w:vAlign w:val="center"/>
          </w:tcPr>
          <w:p w14:paraId="3591C6A2">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宋体" w:eastAsia="宋体" w:cs="Times New Roman"/>
                <w:sz w:val="24"/>
                <w:szCs w:val="24"/>
                <w:highlight w:val="none"/>
              </w:rPr>
              <w:t>★</w:t>
            </w:r>
            <w:r>
              <w:rPr>
                <w:rFonts w:hint="eastAsia" w:ascii="Times New Roman" w:hAnsi="Times New Roman" w:eastAsia="宋体" w:cs="Times New Roman"/>
                <w:sz w:val="24"/>
                <w:szCs w:val="21"/>
                <w:highlight w:val="none"/>
                <w:lang w:val="en-US" w:eastAsia="zh-CN"/>
              </w:rPr>
              <w:t>电流精度</w:t>
            </w:r>
          </w:p>
        </w:tc>
        <w:tc>
          <w:tcPr>
            <w:tcW w:w="3706" w:type="dxa"/>
            <w:tcBorders>
              <w:tl2br w:val="nil"/>
              <w:tr2bl w:val="nil"/>
            </w:tcBorders>
            <w:noWrap w:val="0"/>
            <w:vAlign w:val="center"/>
          </w:tcPr>
          <w:p w14:paraId="2B1BD099">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±(1.0%读数＋2个字)</w:t>
            </w:r>
          </w:p>
        </w:tc>
        <w:tc>
          <w:tcPr>
            <w:tcW w:w="3706" w:type="dxa"/>
            <w:tcBorders>
              <w:tl2br w:val="nil"/>
              <w:tr2bl w:val="nil"/>
            </w:tcBorders>
            <w:noWrap w:val="0"/>
            <w:vAlign w:val="center"/>
          </w:tcPr>
          <w:p w14:paraId="4C152C8F">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r w14:paraId="03D08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1" w:hRule="atLeast"/>
          <w:jc w:val="center"/>
        </w:trPr>
        <w:tc>
          <w:tcPr>
            <w:tcW w:w="819" w:type="dxa"/>
            <w:tcBorders>
              <w:tl2br w:val="nil"/>
              <w:tr2bl w:val="nil"/>
            </w:tcBorders>
            <w:noWrap w:val="0"/>
            <w:vAlign w:val="center"/>
          </w:tcPr>
          <w:p w14:paraId="7710373F">
            <w:pPr>
              <w:pStyle w:val="5"/>
              <w:snapToGrid w:val="0"/>
              <w:spacing w:line="240" w:lineRule="auto"/>
              <w:ind w:left="0" w:leftChars="0" w:right="0" w:rightChars="0" w:firstLine="0" w:firstLineChars="0"/>
              <w:jc w:val="center"/>
              <w:rPr>
                <w:rFonts w:hint="eastAsia"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6</w:t>
            </w:r>
          </w:p>
        </w:tc>
        <w:tc>
          <w:tcPr>
            <w:tcW w:w="1729" w:type="dxa"/>
            <w:tcBorders>
              <w:tl2br w:val="nil"/>
              <w:tr2bl w:val="nil"/>
            </w:tcBorders>
            <w:noWrap w:val="0"/>
            <w:vAlign w:val="center"/>
          </w:tcPr>
          <w:p w14:paraId="05C8F50E">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纹波系数</w:t>
            </w:r>
          </w:p>
        </w:tc>
        <w:tc>
          <w:tcPr>
            <w:tcW w:w="3706" w:type="dxa"/>
            <w:tcBorders>
              <w:tl2br w:val="nil"/>
              <w:tr2bl w:val="nil"/>
            </w:tcBorders>
            <w:noWrap w:val="0"/>
            <w:vAlign w:val="center"/>
          </w:tcPr>
          <w:p w14:paraId="647DA359">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≤0.5%</w:t>
            </w:r>
          </w:p>
        </w:tc>
        <w:tc>
          <w:tcPr>
            <w:tcW w:w="3706" w:type="dxa"/>
            <w:tcBorders>
              <w:tl2br w:val="nil"/>
              <w:tr2bl w:val="nil"/>
            </w:tcBorders>
            <w:noWrap w:val="0"/>
            <w:vAlign w:val="center"/>
          </w:tcPr>
          <w:p w14:paraId="7F9EB953">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r w14:paraId="29D4C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1" w:hRule="atLeast"/>
          <w:jc w:val="center"/>
        </w:trPr>
        <w:tc>
          <w:tcPr>
            <w:tcW w:w="819" w:type="dxa"/>
            <w:tcBorders>
              <w:tl2br w:val="nil"/>
              <w:tr2bl w:val="nil"/>
            </w:tcBorders>
            <w:noWrap w:val="0"/>
            <w:vAlign w:val="center"/>
          </w:tcPr>
          <w:p w14:paraId="320B82F5">
            <w:pPr>
              <w:pStyle w:val="5"/>
              <w:snapToGrid w:val="0"/>
              <w:spacing w:line="240" w:lineRule="auto"/>
              <w:ind w:left="0" w:leftChars="0" w:right="0" w:rightChars="0" w:firstLine="0" w:firstLineChars="0"/>
              <w:jc w:val="center"/>
              <w:rPr>
                <w:rFonts w:hint="eastAsia"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7</w:t>
            </w:r>
          </w:p>
        </w:tc>
        <w:tc>
          <w:tcPr>
            <w:tcW w:w="1729" w:type="dxa"/>
            <w:tcBorders>
              <w:tl2br w:val="nil"/>
              <w:tr2bl w:val="nil"/>
            </w:tcBorders>
            <w:noWrap w:val="0"/>
            <w:vAlign w:val="center"/>
          </w:tcPr>
          <w:p w14:paraId="6AE98963">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电压稳定度</w:t>
            </w:r>
          </w:p>
        </w:tc>
        <w:tc>
          <w:tcPr>
            <w:tcW w:w="3706" w:type="dxa"/>
            <w:tcBorders>
              <w:tl2br w:val="nil"/>
              <w:tr2bl w:val="nil"/>
            </w:tcBorders>
            <w:noWrap w:val="0"/>
            <w:vAlign w:val="center"/>
          </w:tcPr>
          <w:p w14:paraId="0E98FAA9">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电源电压变化±10%时≤1%</w:t>
            </w:r>
          </w:p>
        </w:tc>
        <w:tc>
          <w:tcPr>
            <w:tcW w:w="3706" w:type="dxa"/>
            <w:tcBorders>
              <w:tl2br w:val="nil"/>
              <w:tr2bl w:val="nil"/>
            </w:tcBorders>
            <w:noWrap w:val="0"/>
            <w:vAlign w:val="center"/>
          </w:tcPr>
          <w:p w14:paraId="4DC8B2ED">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r w14:paraId="4D8036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3" w:hRule="atLeast"/>
          <w:jc w:val="center"/>
        </w:trPr>
        <w:tc>
          <w:tcPr>
            <w:tcW w:w="819" w:type="dxa"/>
            <w:tcBorders>
              <w:tl2br w:val="nil"/>
              <w:tr2bl w:val="nil"/>
            </w:tcBorders>
            <w:noWrap w:val="0"/>
            <w:vAlign w:val="center"/>
          </w:tcPr>
          <w:p w14:paraId="6A7A61F5">
            <w:pPr>
              <w:pStyle w:val="5"/>
              <w:snapToGrid w:val="0"/>
              <w:spacing w:line="240" w:lineRule="auto"/>
              <w:ind w:left="0" w:leftChars="0" w:right="0" w:rightChars="0" w:firstLine="0" w:firstLineChars="0"/>
              <w:jc w:val="center"/>
              <w:rPr>
                <w:rFonts w:hint="eastAsia"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8</w:t>
            </w:r>
          </w:p>
        </w:tc>
        <w:tc>
          <w:tcPr>
            <w:tcW w:w="1729" w:type="dxa"/>
            <w:tcBorders>
              <w:tl2br w:val="nil"/>
              <w:tr2bl w:val="nil"/>
            </w:tcBorders>
            <w:noWrap w:val="0"/>
            <w:vAlign w:val="center"/>
          </w:tcPr>
          <w:p w14:paraId="431FC106">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宋体" w:eastAsia="宋体" w:cs="Times New Roman"/>
                <w:sz w:val="24"/>
                <w:szCs w:val="24"/>
                <w:highlight w:val="none"/>
              </w:rPr>
              <w:t>★</w:t>
            </w:r>
            <w:r>
              <w:rPr>
                <w:rFonts w:hint="eastAsia" w:ascii="Times New Roman" w:hAnsi="Times New Roman" w:eastAsia="宋体" w:cs="Times New Roman"/>
                <w:sz w:val="24"/>
                <w:szCs w:val="21"/>
                <w:highlight w:val="none"/>
                <w:lang w:val="en-US" w:eastAsia="zh-CN"/>
              </w:rPr>
              <w:t>过载能力</w:t>
            </w:r>
          </w:p>
        </w:tc>
        <w:tc>
          <w:tcPr>
            <w:tcW w:w="3706" w:type="dxa"/>
            <w:tcBorders>
              <w:tl2br w:val="nil"/>
              <w:tr2bl w:val="nil"/>
            </w:tcBorders>
            <w:noWrap w:val="0"/>
            <w:vAlign w:val="center"/>
          </w:tcPr>
          <w:p w14:paraId="69FB826D">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空载电压可超出额定电压10%使用10分钟。最大充电电流为1.25倍额定电流</w:t>
            </w:r>
          </w:p>
        </w:tc>
        <w:tc>
          <w:tcPr>
            <w:tcW w:w="3706" w:type="dxa"/>
            <w:tcBorders>
              <w:tl2br w:val="nil"/>
              <w:tr2bl w:val="nil"/>
            </w:tcBorders>
            <w:noWrap w:val="0"/>
            <w:vAlign w:val="center"/>
          </w:tcPr>
          <w:p w14:paraId="7D664389">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r w14:paraId="002BE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7" w:hRule="atLeast"/>
          <w:jc w:val="center"/>
        </w:trPr>
        <w:tc>
          <w:tcPr>
            <w:tcW w:w="819" w:type="dxa"/>
            <w:tcBorders>
              <w:tl2br w:val="nil"/>
              <w:tr2bl w:val="nil"/>
            </w:tcBorders>
            <w:noWrap w:val="0"/>
            <w:vAlign w:val="center"/>
          </w:tcPr>
          <w:p w14:paraId="6351E710">
            <w:pPr>
              <w:pStyle w:val="5"/>
              <w:snapToGrid w:val="0"/>
              <w:spacing w:line="240" w:lineRule="auto"/>
              <w:ind w:left="0" w:leftChars="0" w:right="0" w:rightChars="0" w:firstLine="0" w:firstLineChars="0"/>
              <w:jc w:val="center"/>
              <w:rPr>
                <w:rFonts w:hint="default"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9</w:t>
            </w:r>
          </w:p>
        </w:tc>
        <w:tc>
          <w:tcPr>
            <w:tcW w:w="1729" w:type="dxa"/>
            <w:tcBorders>
              <w:tl2br w:val="nil"/>
              <w:tr2bl w:val="nil"/>
            </w:tcBorders>
            <w:noWrap w:val="0"/>
            <w:vAlign w:val="center"/>
          </w:tcPr>
          <w:p w14:paraId="6F88CF3C">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宋体" w:eastAsia="宋体"/>
                <w:sz w:val="24"/>
                <w:highlight w:val="none"/>
              </w:rPr>
              <w:t>操作箱特点</w:t>
            </w:r>
          </w:p>
        </w:tc>
        <w:tc>
          <w:tcPr>
            <w:tcW w:w="3706" w:type="dxa"/>
            <w:tcBorders>
              <w:tl2br w:val="nil"/>
              <w:tr2bl w:val="nil"/>
            </w:tcBorders>
            <w:noWrap w:val="0"/>
            <w:vAlign w:val="center"/>
          </w:tcPr>
          <w:p w14:paraId="322DCE84">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高精度0.75UDC1mA单触按钮（精度≤1.0%）。</w:t>
            </w:r>
          </w:p>
        </w:tc>
        <w:tc>
          <w:tcPr>
            <w:tcW w:w="3706" w:type="dxa"/>
            <w:tcBorders>
              <w:tl2br w:val="nil"/>
              <w:tr2bl w:val="nil"/>
            </w:tcBorders>
            <w:noWrap w:val="0"/>
            <w:vAlign w:val="center"/>
          </w:tcPr>
          <w:p w14:paraId="2646EAD9">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r w14:paraId="30F0F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jc w:val="center"/>
        </w:trPr>
        <w:tc>
          <w:tcPr>
            <w:tcW w:w="819" w:type="dxa"/>
            <w:tcBorders>
              <w:tl2br w:val="nil"/>
              <w:tr2bl w:val="nil"/>
            </w:tcBorders>
            <w:noWrap w:val="0"/>
            <w:vAlign w:val="center"/>
          </w:tcPr>
          <w:p w14:paraId="358E2060">
            <w:pPr>
              <w:pStyle w:val="5"/>
              <w:snapToGrid w:val="0"/>
              <w:spacing w:line="240" w:lineRule="auto"/>
              <w:ind w:left="0" w:leftChars="0" w:right="0" w:rightChars="0" w:firstLine="0" w:firstLineChars="0"/>
              <w:jc w:val="center"/>
              <w:rPr>
                <w:rFonts w:hint="default" w:ascii="Times New Roman" w:hAnsi="宋体" w:eastAsia="宋体"/>
                <w:sz w:val="24"/>
                <w:szCs w:val="21"/>
                <w:highlight w:val="none"/>
                <w:lang w:val="en-US" w:eastAsia="zh-CN"/>
              </w:rPr>
            </w:pPr>
            <w:r>
              <w:rPr>
                <w:rFonts w:hint="eastAsia" w:ascii="Times New Roman" w:hAnsi="宋体" w:eastAsia="宋体"/>
                <w:sz w:val="24"/>
                <w:szCs w:val="21"/>
                <w:highlight w:val="none"/>
                <w:lang w:val="en-US" w:eastAsia="zh-CN"/>
              </w:rPr>
              <w:t>10</w:t>
            </w:r>
          </w:p>
        </w:tc>
        <w:tc>
          <w:tcPr>
            <w:tcW w:w="1729" w:type="dxa"/>
            <w:tcBorders>
              <w:tl2br w:val="nil"/>
              <w:tr2bl w:val="nil"/>
            </w:tcBorders>
            <w:noWrap w:val="0"/>
            <w:vAlign w:val="center"/>
          </w:tcPr>
          <w:p w14:paraId="17C0B612">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工作电源</w:t>
            </w:r>
          </w:p>
        </w:tc>
        <w:tc>
          <w:tcPr>
            <w:tcW w:w="3706" w:type="dxa"/>
            <w:tcBorders>
              <w:tl2br w:val="nil"/>
              <w:tr2bl w:val="nil"/>
            </w:tcBorders>
            <w:noWrap w:val="0"/>
            <w:vAlign w:val="center"/>
          </w:tcPr>
          <w:p w14:paraId="6E246878">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r>
              <w:rPr>
                <w:rFonts w:hint="eastAsia" w:ascii="Times New Roman" w:hAnsi="Times New Roman" w:eastAsia="宋体" w:cs="Times New Roman"/>
                <w:sz w:val="24"/>
                <w:szCs w:val="21"/>
                <w:highlight w:val="none"/>
                <w:lang w:val="en-US" w:eastAsia="zh-CN"/>
              </w:rPr>
              <w:t>单相交流50Hz ，220V±10%</w:t>
            </w:r>
          </w:p>
        </w:tc>
        <w:tc>
          <w:tcPr>
            <w:tcW w:w="3706" w:type="dxa"/>
            <w:tcBorders>
              <w:tl2br w:val="nil"/>
              <w:tr2bl w:val="nil"/>
            </w:tcBorders>
            <w:noWrap w:val="0"/>
            <w:vAlign w:val="center"/>
          </w:tcPr>
          <w:p w14:paraId="1BE9B4A8">
            <w:pPr>
              <w:tabs>
                <w:tab w:val="left" w:pos="1069"/>
              </w:tabs>
              <w:snapToGrid w:val="0"/>
              <w:spacing w:line="240" w:lineRule="auto"/>
              <w:ind w:left="0" w:leftChars="0" w:right="0" w:rightChars="0" w:firstLine="0" w:firstLineChars="0"/>
              <w:jc w:val="center"/>
              <w:rPr>
                <w:rFonts w:hint="eastAsia" w:ascii="Times New Roman" w:hAnsi="Times New Roman" w:eastAsia="宋体" w:cs="Times New Roman"/>
                <w:sz w:val="24"/>
                <w:szCs w:val="21"/>
                <w:highlight w:val="none"/>
                <w:lang w:val="en-US" w:eastAsia="zh-CN"/>
              </w:rPr>
            </w:pPr>
          </w:p>
        </w:tc>
      </w:tr>
    </w:tbl>
    <w:p w14:paraId="55D826C2">
      <w:pPr>
        <w:pStyle w:val="2"/>
        <w:bidi w:val="0"/>
        <w:rPr>
          <w:rFonts w:cs="宋体"/>
          <w:spacing w:val="1"/>
          <w:highlight w:val="none"/>
        </w:rPr>
      </w:pPr>
      <w:r>
        <w:rPr>
          <w:rFonts w:hint="eastAsia"/>
          <w:highlight w:val="none"/>
          <w:lang w:val="en-US" w:eastAsia="zh-CN"/>
        </w:rPr>
        <w:t>5</w:t>
      </w:r>
      <w:r>
        <w:rPr>
          <w:highlight w:val="none"/>
        </w:rPr>
        <w:t>.</w:t>
      </w:r>
      <w:r>
        <w:rPr>
          <w:rFonts w:cs="宋体"/>
          <w:spacing w:val="1"/>
          <w:highlight w:val="none"/>
        </w:rPr>
        <w:t>质量保证和试验</w:t>
      </w:r>
      <w:bookmarkEnd w:id="32"/>
    </w:p>
    <w:p w14:paraId="47EFF94D">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14:paraId="7DEACC87">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14:paraId="681B6B2C">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14:paraId="085B72D6">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14:paraId="08DB4FAD">
      <w:pPr>
        <w:pStyle w:val="2"/>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14:paraId="290EC9B3">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14:paraId="4B1650F6">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14:paraId="7B53EBED">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14:paraId="6DD3E5CE">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14:paraId="590C24F1">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14:paraId="3446A123">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14:paraId="00603B41">
      <w:pPr>
        <w:pStyle w:val="2"/>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14:paraId="5B78DBDE">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14:paraId="25B2DB6F">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14:paraId="09D6BCB9">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14:paraId="62C0B55F">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14:paraId="7A9145BA">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14:paraId="21027C0F">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14:paraId="394A3D80">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14:paraId="23C27D86">
      <w:pPr>
        <w:pStyle w:val="2"/>
        <w:numPr>
          <w:ilvl w:val="0"/>
          <w:numId w:val="1"/>
        </w:numPr>
        <w:bidi w:val="0"/>
        <w:rPr>
          <w:rFonts w:hint="eastAsia"/>
          <w:highlight w:val="none"/>
        </w:rPr>
      </w:pPr>
      <w:bookmarkStart w:id="35" w:name="_Toc25792"/>
      <w:r>
        <w:rPr>
          <w:rFonts w:hint="eastAsia"/>
          <w:highlight w:val="none"/>
        </w:rPr>
        <w:t>供货范围清单</w:t>
      </w:r>
      <w:bookmarkEnd w:id="35"/>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58"/>
        <w:gridCol w:w="2515"/>
        <w:gridCol w:w="1288"/>
        <w:gridCol w:w="2677"/>
        <w:gridCol w:w="1781"/>
      </w:tblGrid>
      <w:tr w14:paraId="775A38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4" w:hRule="atLeast"/>
          <w:tblHeader/>
          <w:jc w:val="center"/>
        </w:trPr>
        <w:tc>
          <w:tcPr>
            <w:tcW w:w="1158" w:type="dxa"/>
            <w:vMerge w:val="restart"/>
            <w:noWrap w:val="0"/>
            <w:vAlign w:val="center"/>
          </w:tcPr>
          <w:p w14:paraId="6F8E3BBB">
            <w:pPr>
              <w:jc w:val="center"/>
              <w:rPr>
                <w:rFonts w:ascii="宋体" w:hAnsi="宋体"/>
                <w:szCs w:val="21"/>
                <w:highlight w:val="none"/>
              </w:rPr>
            </w:pPr>
            <w:r>
              <w:rPr>
                <w:rFonts w:hint="eastAsia" w:ascii="宋体" w:hAnsi="宋体"/>
                <w:szCs w:val="21"/>
                <w:highlight w:val="none"/>
              </w:rPr>
              <w:t>序号</w:t>
            </w:r>
          </w:p>
        </w:tc>
        <w:tc>
          <w:tcPr>
            <w:tcW w:w="2515" w:type="dxa"/>
            <w:vMerge w:val="restart"/>
            <w:noWrap w:val="0"/>
            <w:vAlign w:val="center"/>
          </w:tcPr>
          <w:p w14:paraId="082C8873">
            <w:pPr>
              <w:jc w:val="center"/>
              <w:rPr>
                <w:rFonts w:ascii="宋体" w:hAns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p>
        </w:tc>
        <w:tc>
          <w:tcPr>
            <w:tcW w:w="1288" w:type="dxa"/>
            <w:vMerge w:val="restart"/>
            <w:tcBorders>
              <w:right w:val="single" w:color="auto" w:sz="4" w:space="0"/>
            </w:tcBorders>
            <w:noWrap w:val="0"/>
            <w:vAlign w:val="center"/>
          </w:tcPr>
          <w:p w14:paraId="5CFC2215">
            <w:pPr>
              <w:jc w:val="center"/>
              <w:rPr>
                <w:rFonts w:ascii="宋体" w:hAnsi="宋体"/>
                <w:szCs w:val="21"/>
                <w:highlight w:val="none"/>
              </w:rPr>
            </w:pPr>
            <w:r>
              <w:rPr>
                <w:rFonts w:hint="eastAsia" w:ascii="宋体" w:hAnsi="宋体"/>
                <w:szCs w:val="21"/>
                <w:highlight w:val="none"/>
              </w:rPr>
              <w:t>单位</w:t>
            </w:r>
          </w:p>
        </w:tc>
        <w:tc>
          <w:tcPr>
            <w:tcW w:w="4458" w:type="dxa"/>
            <w:gridSpan w:val="2"/>
            <w:tcBorders>
              <w:left w:val="single" w:color="auto" w:sz="4" w:space="0"/>
              <w:bottom w:val="single" w:color="auto" w:sz="4" w:space="0"/>
            </w:tcBorders>
            <w:noWrap w:val="0"/>
            <w:vAlign w:val="center"/>
          </w:tcPr>
          <w:p w14:paraId="2EE9CFC2">
            <w:pPr>
              <w:jc w:val="center"/>
              <w:rPr>
                <w:rFonts w:ascii="宋体" w:hAnsi="宋体"/>
                <w:szCs w:val="21"/>
                <w:highlight w:val="none"/>
              </w:rPr>
            </w:pPr>
            <w:r>
              <w:rPr>
                <w:rFonts w:hint="eastAsia" w:ascii="宋体" w:hAnsi="宋体"/>
                <w:szCs w:val="21"/>
                <w:highlight w:val="none"/>
              </w:rPr>
              <w:t>项目要求</w:t>
            </w:r>
          </w:p>
        </w:tc>
      </w:tr>
      <w:tr w14:paraId="65369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tblHeader/>
          <w:jc w:val="center"/>
        </w:trPr>
        <w:tc>
          <w:tcPr>
            <w:tcW w:w="1158" w:type="dxa"/>
            <w:vMerge w:val="continue"/>
            <w:noWrap w:val="0"/>
            <w:vAlign w:val="center"/>
          </w:tcPr>
          <w:p w14:paraId="3EBBB709">
            <w:pPr>
              <w:jc w:val="center"/>
              <w:rPr>
                <w:rFonts w:hint="eastAsia" w:ascii="宋体" w:hAnsi="宋体"/>
                <w:szCs w:val="21"/>
                <w:highlight w:val="none"/>
              </w:rPr>
            </w:pPr>
          </w:p>
        </w:tc>
        <w:tc>
          <w:tcPr>
            <w:tcW w:w="2515" w:type="dxa"/>
            <w:vMerge w:val="continue"/>
            <w:noWrap w:val="0"/>
            <w:vAlign w:val="center"/>
          </w:tcPr>
          <w:p w14:paraId="27C56B31">
            <w:pPr>
              <w:jc w:val="center"/>
              <w:rPr>
                <w:rFonts w:hint="eastAsia" w:ascii="宋体" w:hAnsi="宋体"/>
                <w:szCs w:val="21"/>
                <w:highlight w:val="none"/>
              </w:rPr>
            </w:pPr>
          </w:p>
        </w:tc>
        <w:tc>
          <w:tcPr>
            <w:tcW w:w="1288" w:type="dxa"/>
            <w:vMerge w:val="continue"/>
            <w:tcBorders>
              <w:right w:val="single" w:color="auto" w:sz="4" w:space="0"/>
            </w:tcBorders>
            <w:noWrap w:val="0"/>
            <w:vAlign w:val="center"/>
          </w:tcPr>
          <w:p w14:paraId="1FEFE850">
            <w:pPr>
              <w:jc w:val="center"/>
              <w:rPr>
                <w:rFonts w:hint="eastAsia" w:ascii="宋体" w:hAnsi="宋体"/>
                <w:szCs w:val="21"/>
                <w:highlight w:val="none"/>
              </w:rPr>
            </w:pPr>
          </w:p>
        </w:tc>
        <w:tc>
          <w:tcPr>
            <w:tcW w:w="2677" w:type="dxa"/>
            <w:tcBorders>
              <w:top w:val="single" w:color="auto" w:sz="4" w:space="0"/>
              <w:left w:val="single" w:color="auto" w:sz="4" w:space="0"/>
              <w:right w:val="single" w:color="auto" w:sz="4" w:space="0"/>
            </w:tcBorders>
            <w:noWrap w:val="0"/>
            <w:vAlign w:val="center"/>
          </w:tcPr>
          <w:p w14:paraId="6345065A">
            <w:pPr>
              <w:jc w:val="center"/>
              <w:rPr>
                <w:rFonts w:hint="eastAsia" w:ascii="宋体" w:hAnsi="宋体"/>
                <w:szCs w:val="21"/>
                <w:highlight w:val="none"/>
              </w:rPr>
            </w:pPr>
            <w:r>
              <w:rPr>
                <w:rFonts w:hint="eastAsia" w:ascii="宋体" w:hAnsi="宋体"/>
                <w:szCs w:val="21"/>
                <w:highlight w:val="none"/>
              </w:rPr>
              <w:t>型式、规格</w:t>
            </w:r>
          </w:p>
        </w:tc>
        <w:tc>
          <w:tcPr>
            <w:tcW w:w="1781" w:type="dxa"/>
            <w:tcBorders>
              <w:top w:val="single" w:color="auto" w:sz="4" w:space="0"/>
              <w:left w:val="single" w:color="auto" w:sz="4" w:space="0"/>
            </w:tcBorders>
            <w:noWrap w:val="0"/>
            <w:vAlign w:val="center"/>
          </w:tcPr>
          <w:p w14:paraId="55E06F00">
            <w:pPr>
              <w:jc w:val="center"/>
              <w:rPr>
                <w:rFonts w:hint="eastAsia" w:ascii="宋体" w:hAnsi="宋体"/>
                <w:szCs w:val="21"/>
                <w:highlight w:val="none"/>
              </w:rPr>
            </w:pPr>
            <w:r>
              <w:rPr>
                <w:rFonts w:hint="eastAsia" w:ascii="宋体" w:hAnsi="宋体"/>
                <w:szCs w:val="21"/>
                <w:highlight w:val="none"/>
              </w:rPr>
              <w:t>数量</w:t>
            </w:r>
          </w:p>
        </w:tc>
      </w:tr>
      <w:tr w14:paraId="0F222D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7" w:hRule="atLeast"/>
          <w:jc w:val="center"/>
        </w:trPr>
        <w:tc>
          <w:tcPr>
            <w:tcW w:w="1158" w:type="dxa"/>
            <w:noWrap w:val="0"/>
            <w:vAlign w:val="center"/>
          </w:tcPr>
          <w:p w14:paraId="2D878E35">
            <w:pPr>
              <w:jc w:val="center"/>
              <w:rPr>
                <w:rFonts w:ascii="宋体" w:hAnsi="宋体"/>
                <w:szCs w:val="21"/>
                <w:highlight w:val="none"/>
              </w:rPr>
            </w:pPr>
            <w:r>
              <w:rPr>
                <w:rFonts w:hint="eastAsia" w:ascii="宋体" w:hAnsi="宋体"/>
                <w:szCs w:val="21"/>
                <w:highlight w:val="none"/>
              </w:rPr>
              <w:t>1</w:t>
            </w:r>
          </w:p>
        </w:tc>
        <w:tc>
          <w:tcPr>
            <w:tcW w:w="2515" w:type="dxa"/>
            <w:noWrap w:val="0"/>
            <w:vAlign w:val="center"/>
          </w:tcPr>
          <w:p w14:paraId="2C301AC1">
            <w:pPr>
              <w:jc w:val="center"/>
              <w:rPr>
                <w:rFonts w:hint="eastAsia" w:ascii="宋体" w:hAnsi="宋体" w:eastAsia="宋体"/>
                <w:szCs w:val="21"/>
                <w:highlight w:val="none"/>
                <w:lang w:eastAsia="zh-CN"/>
              </w:rPr>
            </w:pPr>
            <w:r>
              <w:rPr>
                <w:rFonts w:hint="eastAsia"/>
                <w:szCs w:val="21"/>
                <w:highlight w:val="none"/>
                <w:lang w:eastAsia="zh-CN"/>
              </w:rPr>
              <w:t>直流高压发生器</w:t>
            </w:r>
          </w:p>
        </w:tc>
        <w:tc>
          <w:tcPr>
            <w:tcW w:w="1288" w:type="dxa"/>
            <w:tcBorders>
              <w:right w:val="single" w:color="auto" w:sz="4" w:space="0"/>
            </w:tcBorders>
            <w:noWrap w:val="0"/>
            <w:vAlign w:val="center"/>
          </w:tcPr>
          <w:p w14:paraId="38E96C98">
            <w:pPr>
              <w:jc w:val="center"/>
              <w:rPr>
                <w:rFonts w:hint="eastAsia" w:ascii="宋体" w:hAnsi="宋体"/>
                <w:szCs w:val="21"/>
                <w:highlight w:val="none"/>
              </w:rPr>
            </w:pPr>
            <w:r>
              <w:rPr>
                <w:rFonts w:hint="eastAsia" w:ascii="宋体" w:hAnsi="宋体"/>
                <w:szCs w:val="21"/>
                <w:highlight w:val="none"/>
              </w:rPr>
              <w:t>台</w:t>
            </w:r>
          </w:p>
        </w:tc>
        <w:tc>
          <w:tcPr>
            <w:tcW w:w="2677" w:type="dxa"/>
            <w:tcBorders>
              <w:left w:val="single" w:color="auto" w:sz="4" w:space="0"/>
              <w:right w:val="single" w:color="auto" w:sz="4" w:space="0"/>
            </w:tcBorders>
            <w:noWrap w:val="0"/>
            <w:vAlign w:val="center"/>
          </w:tcPr>
          <w:p w14:paraId="580109BE">
            <w:pPr>
              <w:autoSpaceDE w:val="0"/>
              <w:jc w:val="center"/>
              <w:rPr>
                <w:rFonts w:hint="eastAsia" w:ascii="宋体" w:hAnsi="宋体"/>
                <w:highlight w:val="none"/>
              </w:rPr>
            </w:pPr>
          </w:p>
        </w:tc>
        <w:tc>
          <w:tcPr>
            <w:tcW w:w="1781" w:type="dxa"/>
            <w:tcBorders>
              <w:left w:val="single" w:color="auto" w:sz="4" w:space="0"/>
            </w:tcBorders>
            <w:noWrap w:val="0"/>
            <w:vAlign w:val="center"/>
          </w:tcPr>
          <w:p w14:paraId="329C5BC6">
            <w:pPr>
              <w:jc w:val="center"/>
              <w:rPr>
                <w:rFonts w:hint="eastAsia" w:ascii="宋体" w:hAnsi="宋体"/>
                <w:szCs w:val="21"/>
                <w:highlight w:val="none"/>
              </w:rPr>
            </w:pPr>
            <w:r>
              <w:rPr>
                <w:rFonts w:hint="eastAsia" w:ascii="宋体" w:hAnsi="宋体"/>
                <w:szCs w:val="21"/>
                <w:highlight w:val="none"/>
              </w:rPr>
              <w:t>1</w:t>
            </w:r>
          </w:p>
        </w:tc>
      </w:tr>
      <w:tr w14:paraId="39EA0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58" w:type="dxa"/>
            <w:noWrap w:val="0"/>
            <w:vAlign w:val="center"/>
          </w:tcPr>
          <w:p w14:paraId="3450BD88">
            <w:pPr>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eastAsia="zh-CN"/>
              </w:rPr>
              <w:t>2</w:t>
            </w:r>
          </w:p>
        </w:tc>
        <w:tc>
          <w:tcPr>
            <w:tcW w:w="2515" w:type="dxa"/>
            <w:noWrap w:val="0"/>
            <w:vAlign w:val="center"/>
          </w:tcPr>
          <w:p w14:paraId="14E96036">
            <w:pPr>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微安表</w:t>
            </w:r>
          </w:p>
        </w:tc>
        <w:tc>
          <w:tcPr>
            <w:tcW w:w="1288" w:type="dxa"/>
            <w:tcBorders>
              <w:right w:val="single" w:color="auto" w:sz="4" w:space="0"/>
            </w:tcBorders>
            <w:noWrap w:val="0"/>
            <w:vAlign w:val="center"/>
          </w:tcPr>
          <w:p w14:paraId="29D1BFDC">
            <w:pPr>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个</w:t>
            </w:r>
          </w:p>
        </w:tc>
        <w:tc>
          <w:tcPr>
            <w:tcW w:w="2677" w:type="dxa"/>
            <w:tcBorders>
              <w:left w:val="single" w:color="auto" w:sz="4" w:space="0"/>
              <w:right w:val="single" w:color="auto" w:sz="4" w:space="0"/>
            </w:tcBorders>
            <w:noWrap w:val="0"/>
            <w:vAlign w:val="center"/>
          </w:tcPr>
          <w:p w14:paraId="158B21CC">
            <w:pPr>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eastAsia="zh-CN"/>
              </w:rPr>
              <w:t>与主机匹配</w:t>
            </w:r>
          </w:p>
        </w:tc>
        <w:tc>
          <w:tcPr>
            <w:tcW w:w="1781" w:type="dxa"/>
            <w:tcBorders>
              <w:left w:val="single" w:color="auto" w:sz="4" w:space="0"/>
            </w:tcBorders>
            <w:noWrap w:val="0"/>
            <w:vAlign w:val="center"/>
          </w:tcPr>
          <w:p w14:paraId="19E6ABF5">
            <w:pPr>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1</w:t>
            </w:r>
          </w:p>
        </w:tc>
      </w:tr>
      <w:tr w14:paraId="3E386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58" w:type="dxa"/>
            <w:noWrap w:val="0"/>
            <w:vAlign w:val="center"/>
          </w:tcPr>
          <w:p w14:paraId="1A222C43">
            <w:pPr>
              <w:jc w:val="center"/>
              <w:rPr>
                <w:rFonts w:hint="eastAsia" w:ascii="宋体" w:hAnsi="宋体"/>
                <w:kern w:val="2"/>
                <w:sz w:val="21"/>
                <w:szCs w:val="21"/>
                <w:highlight w:val="none"/>
                <w:lang w:val="en-US" w:eastAsia="zh-CN" w:bidi="ar-SA"/>
              </w:rPr>
            </w:pPr>
            <w:r>
              <w:rPr>
                <w:rFonts w:hint="eastAsia" w:ascii="宋体" w:hAnsi="宋体"/>
                <w:szCs w:val="21"/>
                <w:highlight w:val="none"/>
              </w:rPr>
              <w:t>3</w:t>
            </w:r>
          </w:p>
        </w:tc>
        <w:tc>
          <w:tcPr>
            <w:tcW w:w="2515" w:type="dxa"/>
            <w:noWrap w:val="0"/>
            <w:vAlign w:val="center"/>
          </w:tcPr>
          <w:p w14:paraId="5EABF630">
            <w:pPr>
              <w:spacing w:line="360" w:lineRule="exact"/>
              <w:jc w:val="center"/>
              <w:rPr>
                <w:rFonts w:hint="eastAsia" w:ascii="宋体" w:hAnsi="宋体"/>
                <w:b/>
                <w:szCs w:val="21"/>
                <w:highlight w:val="none"/>
              </w:rPr>
            </w:pPr>
            <w:r>
              <w:rPr>
                <w:rFonts w:hint="eastAsia" w:ascii="宋体" w:hAnsi="宋体"/>
                <w:highlight w:val="none"/>
              </w:rPr>
              <w:t>线箱</w:t>
            </w:r>
          </w:p>
        </w:tc>
        <w:tc>
          <w:tcPr>
            <w:tcW w:w="1288" w:type="dxa"/>
            <w:tcBorders>
              <w:right w:val="single" w:color="auto" w:sz="4" w:space="0"/>
            </w:tcBorders>
            <w:noWrap w:val="0"/>
            <w:vAlign w:val="center"/>
          </w:tcPr>
          <w:p w14:paraId="0FFABC39">
            <w:pPr>
              <w:jc w:val="center"/>
              <w:rPr>
                <w:rFonts w:hint="eastAsia"/>
                <w:highlight w:val="none"/>
              </w:rPr>
            </w:pPr>
            <w:r>
              <w:rPr>
                <w:highlight w:val="none"/>
              </w:rPr>
              <w:t>个</w:t>
            </w:r>
          </w:p>
        </w:tc>
        <w:tc>
          <w:tcPr>
            <w:tcW w:w="2677" w:type="dxa"/>
            <w:tcBorders>
              <w:left w:val="single" w:color="auto" w:sz="4" w:space="0"/>
              <w:right w:val="single" w:color="auto" w:sz="4" w:space="0"/>
            </w:tcBorders>
            <w:noWrap w:val="0"/>
            <w:vAlign w:val="center"/>
          </w:tcPr>
          <w:p w14:paraId="2DBDEC23">
            <w:pPr>
              <w:jc w:val="center"/>
              <w:rPr>
                <w:rFonts w:hint="eastAsia"/>
                <w:highlight w:val="none"/>
              </w:rPr>
            </w:pPr>
            <w:r>
              <w:rPr>
                <w:rFonts w:hint="eastAsia"/>
                <w:highlight w:val="none"/>
              </w:rPr>
              <w:t>与主机匹配</w:t>
            </w:r>
          </w:p>
        </w:tc>
        <w:tc>
          <w:tcPr>
            <w:tcW w:w="1781" w:type="dxa"/>
            <w:tcBorders>
              <w:left w:val="single" w:color="auto" w:sz="4" w:space="0"/>
            </w:tcBorders>
            <w:noWrap w:val="0"/>
            <w:vAlign w:val="center"/>
          </w:tcPr>
          <w:p w14:paraId="7E5FEC6E">
            <w:pPr>
              <w:jc w:val="center"/>
              <w:rPr>
                <w:rFonts w:hint="eastAsia" w:ascii="宋体" w:hAnsi="宋体"/>
                <w:szCs w:val="21"/>
                <w:highlight w:val="none"/>
              </w:rPr>
            </w:pPr>
            <w:r>
              <w:rPr>
                <w:rFonts w:hint="eastAsia" w:ascii="宋体" w:hAnsi="宋体"/>
                <w:szCs w:val="21"/>
                <w:highlight w:val="none"/>
              </w:rPr>
              <w:t>1</w:t>
            </w:r>
          </w:p>
        </w:tc>
      </w:tr>
      <w:tr w14:paraId="20381E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58" w:type="dxa"/>
            <w:noWrap w:val="0"/>
            <w:vAlign w:val="center"/>
          </w:tcPr>
          <w:p w14:paraId="100E003E">
            <w:pPr>
              <w:jc w:val="center"/>
              <w:rPr>
                <w:rFonts w:hint="eastAsia" w:ascii="宋体" w:hAnsi="宋体"/>
                <w:kern w:val="2"/>
                <w:sz w:val="21"/>
                <w:szCs w:val="21"/>
                <w:highlight w:val="none"/>
                <w:lang w:val="en-US" w:eastAsia="zh-CN" w:bidi="ar-SA"/>
              </w:rPr>
            </w:pPr>
            <w:r>
              <w:rPr>
                <w:rFonts w:hint="eastAsia" w:ascii="宋体" w:hAnsi="宋体"/>
                <w:szCs w:val="21"/>
                <w:highlight w:val="none"/>
              </w:rPr>
              <w:t>4</w:t>
            </w:r>
          </w:p>
        </w:tc>
        <w:tc>
          <w:tcPr>
            <w:tcW w:w="2515" w:type="dxa"/>
            <w:noWrap w:val="0"/>
            <w:vAlign w:val="center"/>
          </w:tcPr>
          <w:p w14:paraId="4C0EA561">
            <w:pPr>
              <w:spacing w:line="360" w:lineRule="exact"/>
              <w:jc w:val="center"/>
              <w:rPr>
                <w:rFonts w:hint="eastAsia"/>
                <w:b/>
                <w:highlight w:val="none"/>
              </w:rPr>
            </w:pPr>
            <w:r>
              <w:rPr>
                <w:rFonts w:hint="eastAsia" w:ascii="宋体" w:hAnsi="宋体"/>
                <w:highlight w:val="none"/>
              </w:rPr>
              <w:t>电源线</w:t>
            </w:r>
          </w:p>
        </w:tc>
        <w:tc>
          <w:tcPr>
            <w:tcW w:w="1288" w:type="dxa"/>
            <w:tcBorders>
              <w:right w:val="single" w:color="auto" w:sz="4" w:space="0"/>
            </w:tcBorders>
            <w:noWrap w:val="0"/>
            <w:vAlign w:val="center"/>
          </w:tcPr>
          <w:p w14:paraId="547277AE">
            <w:pPr>
              <w:jc w:val="center"/>
              <w:rPr>
                <w:rFonts w:hint="eastAsia"/>
                <w:highlight w:val="none"/>
              </w:rPr>
            </w:pPr>
            <w:r>
              <w:rPr>
                <w:rFonts w:hint="eastAsia"/>
                <w:highlight w:val="none"/>
              </w:rPr>
              <w:t>根</w:t>
            </w:r>
          </w:p>
        </w:tc>
        <w:tc>
          <w:tcPr>
            <w:tcW w:w="2677" w:type="dxa"/>
            <w:tcBorders>
              <w:left w:val="single" w:color="auto" w:sz="4" w:space="0"/>
              <w:right w:val="single" w:color="auto" w:sz="4" w:space="0"/>
            </w:tcBorders>
            <w:noWrap w:val="0"/>
            <w:vAlign w:val="center"/>
          </w:tcPr>
          <w:p w14:paraId="1AF01829">
            <w:pPr>
              <w:jc w:val="center"/>
              <w:rPr>
                <w:rFonts w:hint="eastAsia"/>
                <w:b/>
                <w:highlight w:val="none"/>
              </w:rPr>
            </w:pPr>
            <w:r>
              <w:rPr>
                <w:rFonts w:hint="eastAsia"/>
                <w:highlight w:val="none"/>
              </w:rPr>
              <w:t>与主机匹配</w:t>
            </w:r>
          </w:p>
        </w:tc>
        <w:tc>
          <w:tcPr>
            <w:tcW w:w="1781" w:type="dxa"/>
            <w:tcBorders>
              <w:left w:val="single" w:color="auto" w:sz="4" w:space="0"/>
            </w:tcBorders>
            <w:noWrap w:val="0"/>
            <w:vAlign w:val="center"/>
          </w:tcPr>
          <w:p w14:paraId="6EE18FEC">
            <w:pPr>
              <w:jc w:val="center"/>
              <w:rPr>
                <w:rFonts w:hint="eastAsia" w:ascii="宋体" w:hAnsi="宋体"/>
                <w:szCs w:val="21"/>
                <w:highlight w:val="none"/>
              </w:rPr>
            </w:pPr>
            <w:r>
              <w:rPr>
                <w:rFonts w:hint="eastAsia" w:ascii="宋体" w:hAnsi="宋体"/>
                <w:szCs w:val="21"/>
                <w:highlight w:val="none"/>
              </w:rPr>
              <w:t>1</w:t>
            </w:r>
          </w:p>
        </w:tc>
      </w:tr>
      <w:tr w14:paraId="2F3CE6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1158" w:type="dxa"/>
            <w:noWrap w:val="0"/>
            <w:vAlign w:val="center"/>
          </w:tcPr>
          <w:p w14:paraId="54B395B1">
            <w:pPr>
              <w:jc w:val="center"/>
              <w:rPr>
                <w:rFonts w:hint="eastAsia" w:ascii="宋体" w:hAnsi="宋体"/>
                <w:kern w:val="2"/>
                <w:sz w:val="21"/>
                <w:szCs w:val="21"/>
                <w:highlight w:val="none"/>
                <w:lang w:val="en-US" w:eastAsia="zh-CN" w:bidi="ar-SA"/>
              </w:rPr>
            </w:pPr>
            <w:r>
              <w:rPr>
                <w:rFonts w:hint="eastAsia" w:ascii="宋体" w:hAnsi="宋体"/>
                <w:szCs w:val="21"/>
                <w:highlight w:val="none"/>
              </w:rPr>
              <w:t>5</w:t>
            </w:r>
          </w:p>
        </w:tc>
        <w:tc>
          <w:tcPr>
            <w:tcW w:w="2515" w:type="dxa"/>
            <w:noWrap w:val="0"/>
            <w:vAlign w:val="center"/>
          </w:tcPr>
          <w:p w14:paraId="250670F7">
            <w:pPr>
              <w:spacing w:line="360" w:lineRule="exact"/>
              <w:jc w:val="center"/>
              <w:rPr>
                <w:rFonts w:hint="eastAsia"/>
                <w:b/>
                <w:highlight w:val="none"/>
              </w:rPr>
            </w:pPr>
            <w:r>
              <w:rPr>
                <w:rFonts w:hint="eastAsia" w:ascii="宋体" w:hAnsi="宋体"/>
                <w:highlight w:val="none"/>
              </w:rPr>
              <w:t>测试线</w:t>
            </w:r>
          </w:p>
        </w:tc>
        <w:tc>
          <w:tcPr>
            <w:tcW w:w="1288" w:type="dxa"/>
            <w:tcBorders>
              <w:right w:val="single" w:color="auto" w:sz="4" w:space="0"/>
            </w:tcBorders>
            <w:noWrap w:val="0"/>
            <w:vAlign w:val="center"/>
          </w:tcPr>
          <w:p w14:paraId="66903598">
            <w:pPr>
              <w:jc w:val="center"/>
              <w:rPr>
                <w:rFonts w:hint="eastAsia"/>
                <w:highlight w:val="none"/>
              </w:rPr>
            </w:pPr>
            <w:r>
              <w:rPr>
                <w:highlight w:val="none"/>
              </w:rPr>
              <w:t>套</w:t>
            </w:r>
          </w:p>
        </w:tc>
        <w:tc>
          <w:tcPr>
            <w:tcW w:w="2677" w:type="dxa"/>
            <w:tcBorders>
              <w:left w:val="single" w:color="auto" w:sz="4" w:space="0"/>
              <w:right w:val="single" w:color="auto" w:sz="4" w:space="0"/>
            </w:tcBorders>
            <w:noWrap w:val="0"/>
            <w:vAlign w:val="center"/>
          </w:tcPr>
          <w:p w14:paraId="4A4FD2DF">
            <w:pPr>
              <w:jc w:val="center"/>
              <w:rPr>
                <w:rFonts w:hint="eastAsia"/>
                <w:b/>
                <w:highlight w:val="none"/>
              </w:rPr>
            </w:pPr>
            <w:r>
              <w:rPr>
                <w:rFonts w:hint="eastAsia"/>
                <w:highlight w:val="none"/>
              </w:rPr>
              <w:t>与主机匹配</w:t>
            </w:r>
          </w:p>
        </w:tc>
        <w:tc>
          <w:tcPr>
            <w:tcW w:w="1781" w:type="dxa"/>
            <w:tcBorders>
              <w:left w:val="single" w:color="auto" w:sz="4" w:space="0"/>
            </w:tcBorders>
            <w:noWrap w:val="0"/>
            <w:vAlign w:val="center"/>
          </w:tcPr>
          <w:p w14:paraId="7037BE80">
            <w:pPr>
              <w:jc w:val="center"/>
              <w:rPr>
                <w:rFonts w:hint="eastAsia" w:ascii="宋体" w:hAnsi="宋体"/>
                <w:szCs w:val="21"/>
                <w:highlight w:val="none"/>
              </w:rPr>
            </w:pPr>
            <w:r>
              <w:rPr>
                <w:rFonts w:hint="eastAsia" w:ascii="宋体" w:hAnsi="宋体"/>
                <w:szCs w:val="21"/>
                <w:highlight w:val="none"/>
              </w:rPr>
              <w:t>1</w:t>
            </w:r>
          </w:p>
        </w:tc>
      </w:tr>
      <w:tr w14:paraId="1B90A6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77" w:hRule="atLeast"/>
          <w:jc w:val="center"/>
        </w:trPr>
        <w:tc>
          <w:tcPr>
            <w:tcW w:w="1158" w:type="dxa"/>
            <w:noWrap w:val="0"/>
            <w:vAlign w:val="center"/>
          </w:tcPr>
          <w:p w14:paraId="020E23F5">
            <w:pPr>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6</w:t>
            </w:r>
          </w:p>
        </w:tc>
        <w:tc>
          <w:tcPr>
            <w:tcW w:w="2515" w:type="dxa"/>
            <w:noWrap w:val="0"/>
            <w:vAlign w:val="center"/>
          </w:tcPr>
          <w:p w14:paraId="409A559F">
            <w:pPr>
              <w:spacing w:line="360" w:lineRule="exact"/>
              <w:jc w:val="center"/>
              <w:rPr>
                <w:rFonts w:hint="eastAsia"/>
                <w:highlight w:val="none"/>
              </w:rPr>
            </w:pPr>
            <w:r>
              <w:rPr>
                <w:rFonts w:hint="eastAsia" w:ascii="宋体" w:hAnsi="宋体"/>
                <w:highlight w:val="none"/>
              </w:rPr>
              <w:t>接地线</w:t>
            </w:r>
          </w:p>
        </w:tc>
        <w:tc>
          <w:tcPr>
            <w:tcW w:w="1288" w:type="dxa"/>
            <w:tcBorders>
              <w:right w:val="single" w:color="auto" w:sz="4" w:space="0"/>
            </w:tcBorders>
            <w:noWrap w:val="0"/>
            <w:vAlign w:val="center"/>
          </w:tcPr>
          <w:p w14:paraId="16DCDA50">
            <w:pPr>
              <w:jc w:val="center"/>
              <w:rPr>
                <w:rFonts w:hint="eastAsia"/>
                <w:highlight w:val="none"/>
              </w:rPr>
            </w:pPr>
            <w:r>
              <w:rPr>
                <w:highlight w:val="none"/>
              </w:rPr>
              <w:t>根</w:t>
            </w:r>
          </w:p>
        </w:tc>
        <w:tc>
          <w:tcPr>
            <w:tcW w:w="2677" w:type="dxa"/>
            <w:tcBorders>
              <w:left w:val="single" w:color="auto" w:sz="4" w:space="0"/>
              <w:right w:val="single" w:color="auto" w:sz="4" w:space="0"/>
            </w:tcBorders>
            <w:noWrap w:val="0"/>
            <w:vAlign w:val="center"/>
          </w:tcPr>
          <w:p w14:paraId="5551B7F1">
            <w:pPr>
              <w:jc w:val="center"/>
              <w:rPr>
                <w:rFonts w:hint="eastAsia"/>
                <w:highlight w:val="none"/>
              </w:rPr>
            </w:pPr>
            <w:r>
              <w:rPr>
                <w:rFonts w:hint="eastAsia"/>
                <w:highlight w:val="none"/>
              </w:rPr>
              <w:t>与主机匹配</w:t>
            </w:r>
          </w:p>
        </w:tc>
        <w:tc>
          <w:tcPr>
            <w:tcW w:w="1781" w:type="dxa"/>
            <w:tcBorders>
              <w:left w:val="single" w:color="auto" w:sz="4" w:space="0"/>
            </w:tcBorders>
            <w:noWrap w:val="0"/>
            <w:vAlign w:val="center"/>
          </w:tcPr>
          <w:p w14:paraId="7ADA2AC5">
            <w:pPr>
              <w:jc w:val="center"/>
              <w:rPr>
                <w:rFonts w:hint="eastAsia" w:ascii="宋体" w:hAnsi="宋体"/>
                <w:szCs w:val="21"/>
                <w:highlight w:val="none"/>
              </w:rPr>
            </w:pPr>
            <w:r>
              <w:rPr>
                <w:rFonts w:hint="eastAsia" w:ascii="宋体" w:hAnsi="宋体"/>
                <w:szCs w:val="21"/>
                <w:highlight w:val="none"/>
              </w:rPr>
              <w:t>1</w:t>
            </w:r>
          </w:p>
        </w:tc>
      </w:tr>
    </w:tbl>
    <w:p w14:paraId="369124A0">
      <w:pPr>
        <w:numPr>
          <w:ilvl w:val="0"/>
          <w:numId w:val="0"/>
        </w:numPr>
        <w:rPr>
          <w:highlight w:val="none"/>
        </w:rPr>
      </w:pPr>
    </w:p>
    <w:p w14:paraId="2CF7E1AD">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14:paraId="62137386">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14:paraId="7053CA1A">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14:paraId="454F4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14:paraId="60B3CA95">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14:paraId="56C43881">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14:paraId="3A526E1A">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14:paraId="628CCDEC">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14:paraId="44ED2579">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14:paraId="10A941D4">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14:paraId="2CD24E08">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14:paraId="6F466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512894D7">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0E87E8BA">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51ACB654">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2143B56D">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4A164181">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4CA887EF">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75372EEA">
            <w:pPr>
              <w:pStyle w:val="5"/>
              <w:keepLines w:val="0"/>
              <w:pageBreakBefore w:val="0"/>
              <w:kinsoku/>
              <w:wordWrap/>
              <w:bidi w:val="0"/>
              <w:spacing w:line="500" w:lineRule="exact"/>
              <w:ind w:left="410"/>
              <w:rPr>
                <w:color w:val="000000"/>
                <w:sz w:val="24"/>
                <w:highlight w:val="none"/>
              </w:rPr>
            </w:pPr>
          </w:p>
        </w:tc>
      </w:tr>
      <w:tr w14:paraId="61589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14:paraId="3744EDCE">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06D53112">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1B2F57A7">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742EA204">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0B3F6865">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6D3CDB64">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072B31E1">
            <w:pPr>
              <w:pStyle w:val="5"/>
              <w:keepLines w:val="0"/>
              <w:pageBreakBefore w:val="0"/>
              <w:kinsoku/>
              <w:wordWrap/>
              <w:bidi w:val="0"/>
              <w:spacing w:line="500" w:lineRule="exact"/>
              <w:ind w:left="410"/>
              <w:rPr>
                <w:color w:val="000000"/>
                <w:sz w:val="24"/>
                <w:highlight w:val="none"/>
              </w:rPr>
            </w:pPr>
          </w:p>
        </w:tc>
      </w:tr>
      <w:tr w14:paraId="5D1EA0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78DE762B">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7DEF691B">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75C11B04">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47B8DF25">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296243F0">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1BEC8C05">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1BA89575">
            <w:pPr>
              <w:pStyle w:val="5"/>
              <w:keepLines w:val="0"/>
              <w:pageBreakBefore w:val="0"/>
              <w:kinsoku/>
              <w:wordWrap/>
              <w:bidi w:val="0"/>
              <w:spacing w:line="500" w:lineRule="exact"/>
              <w:ind w:left="410"/>
              <w:rPr>
                <w:color w:val="000000"/>
                <w:sz w:val="24"/>
                <w:highlight w:val="none"/>
              </w:rPr>
            </w:pPr>
          </w:p>
        </w:tc>
      </w:tr>
    </w:tbl>
    <w:p w14:paraId="4809162C">
      <w:pPr>
        <w:keepLines w:val="0"/>
        <w:pageBreakBefore w:val="0"/>
        <w:kinsoku/>
        <w:wordWrap/>
        <w:bidi w:val="0"/>
        <w:spacing w:line="500" w:lineRule="exact"/>
        <w:ind w:left="0" w:leftChars="0" w:firstLine="0" w:firstLineChars="0"/>
        <w:rPr>
          <w:highlight w:val="none"/>
        </w:rPr>
      </w:pPr>
    </w:p>
    <w:p w14:paraId="5957557D">
      <w:pPr>
        <w:pStyle w:val="2"/>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14:paraId="0D8F94E2">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14:paraId="6DB06F13">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14:paraId="2367EB67">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14:paraId="7762E401">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14:paraId="2BB16C8E">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14:paraId="5A4EBE03">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14:paraId="49F71610">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14:paraId="4AAF45E0">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14:paraId="0B3D6F9E">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14:paraId="0E6BC9B8">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14:paraId="39990D71">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14:paraId="0B0AB531">
      <w:pPr>
        <w:keepLines w:val="0"/>
        <w:pageBreakBefore w:val="0"/>
        <w:kinsoku/>
        <w:wordWrap/>
        <w:bidi w:val="0"/>
        <w:spacing w:line="500" w:lineRule="exact"/>
        <w:ind w:left="410"/>
        <w:rPr>
          <w:spacing w:val="-6"/>
          <w:highlight w:val="none"/>
        </w:rPr>
      </w:pPr>
    </w:p>
    <w:p w14:paraId="0FC6DE92">
      <w:pPr>
        <w:pStyle w:val="2"/>
        <w:bidi w:val="0"/>
        <w:rPr>
          <w:highlight w:val="none"/>
        </w:rPr>
      </w:pPr>
      <w:bookmarkStart w:id="38" w:name="_Toc10126"/>
      <w:r>
        <w:rPr>
          <w:rFonts w:hint="eastAsia"/>
          <w:spacing w:val="-6"/>
          <w:highlight w:val="none"/>
          <w:lang w:eastAsia="zh-CN"/>
        </w:rPr>
        <w:t>10.</w:t>
      </w:r>
      <w:r>
        <w:rPr>
          <w:rFonts w:cs="宋体"/>
          <w:highlight w:val="none"/>
        </w:rPr>
        <w:t>验收</w:t>
      </w:r>
      <w:bookmarkEnd w:id="38"/>
    </w:p>
    <w:p w14:paraId="07366BBF">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14:paraId="13AA7926">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14:paraId="6CDAF898">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14:paraId="3D72B76A">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14:paraId="64BC3118">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14:paraId="77662E28">
      <w:pPr>
        <w:pStyle w:val="2"/>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14:paraId="348E3BFF">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14:paraId="29BEDCAD">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14:paraId="76BFB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14:paraId="40E5A1E5">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14:paraId="26BA86BA">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14:paraId="67B99374">
            <w:pPr>
              <w:keepLines w:val="0"/>
              <w:pageBreakBefore w:val="0"/>
              <w:kinsoku/>
              <w:wordWrap/>
              <w:bidi w:val="0"/>
              <w:spacing w:line="500" w:lineRule="exact"/>
              <w:ind w:left="410"/>
              <w:jc w:val="center"/>
              <w:rPr>
                <w:highlight w:val="none"/>
              </w:rPr>
            </w:pPr>
            <w:r>
              <w:rPr>
                <w:rFonts w:hint="eastAsia"/>
                <w:highlight w:val="none"/>
              </w:rPr>
              <w:t>报价文件</w:t>
            </w:r>
          </w:p>
        </w:tc>
      </w:tr>
      <w:tr w14:paraId="3AE23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14:paraId="61743B2A">
            <w:pPr>
              <w:keepLines w:val="0"/>
              <w:pageBreakBefore w:val="0"/>
              <w:kinsoku/>
              <w:wordWrap/>
              <w:bidi w:val="0"/>
              <w:spacing w:line="500" w:lineRule="exact"/>
              <w:ind w:left="410"/>
              <w:jc w:val="center"/>
              <w:rPr>
                <w:highlight w:val="none"/>
              </w:rPr>
            </w:pPr>
          </w:p>
        </w:tc>
        <w:tc>
          <w:tcPr>
            <w:tcW w:w="2077" w:type="dxa"/>
            <w:vAlign w:val="center"/>
          </w:tcPr>
          <w:p w14:paraId="212EB7D2">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14:paraId="1876962E">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14:paraId="38C72B42">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14:paraId="64EAD849">
            <w:pPr>
              <w:keepLines w:val="0"/>
              <w:pageBreakBefore w:val="0"/>
              <w:kinsoku/>
              <w:wordWrap/>
              <w:bidi w:val="0"/>
              <w:spacing w:line="500" w:lineRule="exact"/>
              <w:ind w:left="410"/>
              <w:jc w:val="center"/>
              <w:rPr>
                <w:highlight w:val="none"/>
              </w:rPr>
            </w:pPr>
            <w:r>
              <w:rPr>
                <w:rFonts w:hint="eastAsia"/>
                <w:highlight w:val="none"/>
              </w:rPr>
              <w:t>简要内容</w:t>
            </w:r>
          </w:p>
        </w:tc>
      </w:tr>
      <w:tr w14:paraId="3BB2A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70310819">
            <w:pPr>
              <w:keepLines w:val="0"/>
              <w:pageBreakBefore w:val="0"/>
              <w:numPr>
                <w:ilvl w:val="0"/>
                <w:numId w:val="2"/>
              </w:numPr>
              <w:kinsoku/>
              <w:wordWrap/>
              <w:bidi w:val="0"/>
              <w:spacing w:line="500" w:lineRule="exact"/>
              <w:ind w:leftChars="0"/>
              <w:jc w:val="both"/>
              <w:rPr>
                <w:highlight w:val="none"/>
              </w:rPr>
            </w:pPr>
          </w:p>
        </w:tc>
        <w:tc>
          <w:tcPr>
            <w:tcW w:w="2077" w:type="dxa"/>
          </w:tcPr>
          <w:p w14:paraId="48EA6598">
            <w:pPr>
              <w:keepLines w:val="0"/>
              <w:pageBreakBefore w:val="0"/>
              <w:kinsoku/>
              <w:wordWrap/>
              <w:bidi w:val="0"/>
              <w:spacing w:line="500" w:lineRule="exact"/>
              <w:ind w:left="410"/>
              <w:rPr>
                <w:highlight w:val="none"/>
              </w:rPr>
            </w:pPr>
          </w:p>
        </w:tc>
        <w:tc>
          <w:tcPr>
            <w:tcW w:w="2236" w:type="dxa"/>
          </w:tcPr>
          <w:p w14:paraId="5A56E979">
            <w:pPr>
              <w:keepLines w:val="0"/>
              <w:pageBreakBefore w:val="0"/>
              <w:kinsoku/>
              <w:wordWrap/>
              <w:bidi w:val="0"/>
              <w:spacing w:line="500" w:lineRule="exact"/>
              <w:ind w:left="410"/>
              <w:rPr>
                <w:highlight w:val="none"/>
              </w:rPr>
            </w:pPr>
          </w:p>
        </w:tc>
        <w:tc>
          <w:tcPr>
            <w:tcW w:w="2077" w:type="dxa"/>
          </w:tcPr>
          <w:p w14:paraId="57D4E109">
            <w:pPr>
              <w:keepLines w:val="0"/>
              <w:pageBreakBefore w:val="0"/>
              <w:kinsoku/>
              <w:wordWrap/>
              <w:bidi w:val="0"/>
              <w:spacing w:line="500" w:lineRule="exact"/>
              <w:ind w:left="410"/>
              <w:rPr>
                <w:highlight w:val="none"/>
              </w:rPr>
            </w:pPr>
          </w:p>
        </w:tc>
        <w:tc>
          <w:tcPr>
            <w:tcW w:w="2292" w:type="dxa"/>
          </w:tcPr>
          <w:p w14:paraId="3D5B8BFC">
            <w:pPr>
              <w:keepLines w:val="0"/>
              <w:pageBreakBefore w:val="0"/>
              <w:kinsoku/>
              <w:wordWrap/>
              <w:bidi w:val="0"/>
              <w:spacing w:line="500" w:lineRule="exact"/>
              <w:ind w:left="410"/>
              <w:jc w:val="center"/>
              <w:rPr>
                <w:highlight w:val="none"/>
              </w:rPr>
            </w:pPr>
          </w:p>
        </w:tc>
      </w:tr>
      <w:tr w14:paraId="3528F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4A2203DB">
            <w:pPr>
              <w:keepLines w:val="0"/>
              <w:pageBreakBefore w:val="0"/>
              <w:numPr>
                <w:ilvl w:val="0"/>
                <w:numId w:val="2"/>
              </w:numPr>
              <w:kinsoku/>
              <w:wordWrap/>
              <w:bidi w:val="0"/>
              <w:spacing w:line="500" w:lineRule="exact"/>
              <w:ind w:leftChars="0"/>
              <w:jc w:val="both"/>
              <w:rPr>
                <w:highlight w:val="none"/>
              </w:rPr>
            </w:pPr>
          </w:p>
        </w:tc>
        <w:tc>
          <w:tcPr>
            <w:tcW w:w="2077" w:type="dxa"/>
          </w:tcPr>
          <w:p w14:paraId="2337B0D3">
            <w:pPr>
              <w:keepLines w:val="0"/>
              <w:pageBreakBefore w:val="0"/>
              <w:kinsoku/>
              <w:wordWrap/>
              <w:bidi w:val="0"/>
              <w:spacing w:line="500" w:lineRule="exact"/>
              <w:ind w:left="410"/>
              <w:rPr>
                <w:highlight w:val="none"/>
              </w:rPr>
            </w:pPr>
          </w:p>
        </w:tc>
        <w:tc>
          <w:tcPr>
            <w:tcW w:w="2236" w:type="dxa"/>
          </w:tcPr>
          <w:p w14:paraId="1F2E634F">
            <w:pPr>
              <w:keepLines w:val="0"/>
              <w:pageBreakBefore w:val="0"/>
              <w:kinsoku/>
              <w:wordWrap/>
              <w:bidi w:val="0"/>
              <w:spacing w:line="500" w:lineRule="exact"/>
              <w:ind w:left="410"/>
              <w:rPr>
                <w:highlight w:val="none"/>
              </w:rPr>
            </w:pPr>
          </w:p>
        </w:tc>
        <w:tc>
          <w:tcPr>
            <w:tcW w:w="2077" w:type="dxa"/>
          </w:tcPr>
          <w:p w14:paraId="35095034">
            <w:pPr>
              <w:keepLines w:val="0"/>
              <w:pageBreakBefore w:val="0"/>
              <w:kinsoku/>
              <w:wordWrap/>
              <w:bidi w:val="0"/>
              <w:spacing w:line="500" w:lineRule="exact"/>
              <w:ind w:left="410"/>
              <w:rPr>
                <w:highlight w:val="none"/>
              </w:rPr>
            </w:pPr>
          </w:p>
        </w:tc>
        <w:tc>
          <w:tcPr>
            <w:tcW w:w="2292" w:type="dxa"/>
          </w:tcPr>
          <w:p w14:paraId="22E6AFCC">
            <w:pPr>
              <w:keepLines w:val="0"/>
              <w:pageBreakBefore w:val="0"/>
              <w:kinsoku/>
              <w:wordWrap/>
              <w:bidi w:val="0"/>
              <w:spacing w:line="500" w:lineRule="exact"/>
              <w:ind w:left="410"/>
              <w:rPr>
                <w:highlight w:val="none"/>
              </w:rPr>
            </w:pPr>
          </w:p>
        </w:tc>
      </w:tr>
      <w:tr w14:paraId="598E5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2DC3118E">
            <w:pPr>
              <w:keepLines w:val="0"/>
              <w:pageBreakBefore w:val="0"/>
              <w:numPr>
                <w:ilvl w:val="0"/>
                <w:numId w:val="2"/>
              </w:numPr>
              <w:kinsoku/>
              <w:wordWrap/>
              <w:bidi w:val="0"/>
              <w:spacing w:line="500" w:lineRule="exact"/>
              <w:ind w:leftChars="0"/>
              <w:jc w:val="both"/>
              <w:rPr>
                <w:highlight w:val="none"/>
              </w:rPr>
            </w:pPr>
          </w:p>
        </w:tc>
        <w:tc>
          <w:tcPr>
            <w:tcW w:w="2077" w:type="dxa"/>
          </w:tcPr>
          <w:p w14:paraId="2C10C898">
            <w:pPr>
              <w:keepLines w:val="0"/>
              <w:pageBreakBefore w:val="0"/>
              <w:kinsoku/>
              <w:wordWrap/>
              <w:bidi w:val="0"/>
              <w:spacing w:line="500" w:lineRule="exact"/>
              <w:ind w:left="410"/>
              <w:rPr>
                <w:highlight w:val="none"/>
              </w:rPr>
            </w:pPr>
          </w:p>
        </w:tc>
        <w:tc>
          <w:tcPr>
            <w:tcW w:w="2236" w:type="dxa"/>
          </w:tcPr>
          <w:p w14:paraId="2CAF3CC8">
            <w:pPr>
              <w:keepLines w:val="0"/>
              <w:pageBreakBefore w:val="0"/>
              <w:kinsoku/>
              <w:wordWrap/>
              <w:bidi w:val="0"/>
              <w:spacing w:line="500" w:lineRule="exact"/>
              <w:ind w:left="410"/>
              <w:rPr>
                <w:highlight w:val="none"/>
              </w:rPr>
            </w:pPr>
          </w:p>
        </w:tc>
        <w:tc>
          <w:tcPr>
            <w:tcW w:w="2077" w:type="dxa"/>
          </w:tcPr>
          <w:p w14:paraId="6BF88B1F">
            <w:pPr>
              <w:keepLines w:val="0"/>
              <w:pageBreakBefore w:val="0"/>
              <w:kinsoku/>
              <w:wordWrap/>
              <w:bidi w:val="0"/>
              <w:spacing w:line="500" w:lineRule="exact"/>
              <w:ind w:left="410"/>
              <w:rPr>
                <w:highlight w:val="none"/>
              </w:rPr>
            </w:pPr>
          </w:p>
        </w:tc>
        <w:tc>
          <w:tcPr>
            <w:tcW w:w="2292" w:type="dxa"/>
          </w:tcPr>
          <w:p w14:paraId="7092B04C">
            <w:pPr>
              <w:keepLines w:val="0"/>
              <w:pageBreakBefore w:val="0"/>
              <w:kinsoku/>
              <w:wordWrap/>
              <w:bidi w:val="0"/>
              <w:spacing w:line="500" w:lineRule="exact"/>
              <w:ind w:left="410"/>
              <w:rPr>
                <w:highlight w:val="none"/>
              </w:rPr>
            </w:pPr>
          </w:p>
        </w:tc>
      </w:tr>
      <w:tr w14:paraId="11DB21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14:paraId="7DA93BA6">
            <w:pPr>
              <w:keepLines w:val="0"/>
              <w:pageBreakBefore w:val="0"/>
              <w:numPr>
                <w:ilvl w:val="0"/>
                <w:numId w:val="2"/>
              </w:numPr>
              <w:kinsoku/>
              <w:wordWrap/>
              <w:bidi w:val="0"/>
              <w:spacing w:line="500" w:lineRule="exact"/>
              <w:ind w:leftChars="0"/>
              <w:jc w:val="both"/>
              <w:rPr>
                <w:highlight w:val="none"/>
              </w:rPr>
            </w:pPr>
          </w:p>
        </w:tc>
        <w:tc>
          <w:tcPr>
            <w:tcW w:w="2077" w:type="dxa"/>
          </w:tcPr>
          <w:p w14:paraId="0174C4A2">
            <w:pPr>
              <w:keepLines w:val="0"/>
              <w:pageBreakBefore w:val="0"/>
              <w:kinsoku/>
              <w:wordWrap/>
              <w:bidi w:val="0"/>
              <w:spacing w:line="500" w:lineRule="exact"/>
              <w:ind w:left="410"/>
              <w:rPr>
                <w:highlight w:val="none"/>
              </w:rPr>
            </w:pPr>
          </w:p>
        </w:tc>
        <w:tc>
          <w:tcPr>
            <w:tcW w:w="2236" w:type="dxa"/>
          </w:tcPr>
          <w:p w14:paraId="4814A95F">
            <w:pPr>
              <w:keepLines w:val="0"/>
              <w:pageBreakBefore w:val="0"/>
              <w:kinsoku/>
              <w:wordWrap/>
              <w:bidi w:val="0"/>
              <w:spacing w:line="500" w:lineRule="exact"/>
              <w:ind w:left="410"/>
              <w:rPr>
                <w:highlight w:val="none"/>
              </w:rPr>
            </w:pPr>
          </w:p>
        </w:tc>
        <w:tc>
          <w:tcPr>
            <w:tcW w:w="2077" w:type="dxa"/>
          </w:tcPr>
          <w:p w14:paraId="20FF4773">
            <w:pPr>
              <w:keepLines w:val="0"/>
              <w:pageBreakBefore w:val="0"/>
              <w:kinsoku/>
              <w:wordWrap/>
              <w:bidi w:val="0"/>
              <w:spacing w:line="500" w:lineRule="exact"/>
              <w:ind w:left="410"/>
              <w:rPr>
                <w:highlight w:val="none"/>
              </w:rPr>
            </w:pPr>
          </w:p>
        </w:tc>
        <w:tc>
          <w:tcPr>
            <w:tcW w:w="2292" w:type="dxa"/>
          </w:tcPr>
          <w:p w14:paraId="56EBD482">
            <w:pPr>
              <w:keepLines w:val="0"/>
              <w:pageBreakBefore w:val="0"/>
              <w:kinsoku/>
              <w:wordWrap/>
              <w:bidi w:val="0"/>
              <w:spacing w:line="500" w:lineRule="exact"/>
              <w:ind w:left="410"/>
              <w:rPr>
                <w:highlight w:val="none"/>
              </w:rPr>
            </w:pPr>
          </w:p>
        </w:tc>
      </w:tr>
    </w:tbl>
    <w:p w14:paraId="3058A03A">
      <w:pPr>
        <w:pStyle w:val="12"/>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C5D77">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9A1D4">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14:paraId="6C53B9F5">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B920B">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208FE"/>
    <w:multiLevelType w:val="singleLevel"/>
    <w:tmpl w:val="88E208FE"/>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0720B2"/>
    <w:rsid w:val="01FB11A1"/>
    <w:rsid w:val="024E43D4"/>
    <w:rsid w:val="033D3C8F"/>
    <w:rsid w:val="04AC73D9"/>
    <w:rsid w:val="052208DA"/>
    <w:rsid w:val="07B66435"/>
    <w:rsid w:val="07E06245"/>
    <w:rsid w:val="0BAB653E"/>
    <w:rsid w:val="0D344206"/>
    <w:rsid w:val="0D354C9F"/>
    <w:rsid w:val="11624E20"/>
    <w:rsid w:val="13066AFF"/>
    <w:rsid w:val="153674A4"/>
    <w:rsid w:val="16406CB6"/>
    <w:rsid w:val="17486E4C"/>
    <w:rsid w:val="19277699"/>
    <w:rsid w:val="1C79220A"/>
    <w:rsid w:val="1C8772B6"/>
    <w:rsid w:val="1D3614FA"/>
    <w:rsid w:val="1FA263E4"/>
    <w:rsid w:val="20A01B40"/>
    <w:rsid w:val="22223AF5"/>
    <w:rsid w:val="22703D10"/>
    <w:rsid w:val="23B96AFD"/>
    <w:rsid w:val="273F6164"/>
    <w:rsid w:val="27E502D5"/>
    <w:rsid w:val="29265B5A"/>
    <w:rsid w:val="29464C18"/>
    <w:rsid w:val="2B2A0492"/>
    <w:rsid w:val="2C3F36A7"/>
    <w:rsid w:val="2C4D4942"/>
    <w:rsid w:val="2DFB3102"/>
    <w:rsid w:val="2EAE6CA3"/>
    <w:rsid w:val="30427C69"/>
    <w:rsid w:val="33342978"/>
    <w:rsid w:val="33C00172"/>
    <w:rsid w:val="34234DD5"/>
    <w:rsid w:val="34DB0F5E"/>
    <w:rsid w:val="366559E4"/>
    <w:rsid w:val="367B35A2"/>
    <w:rsid w:val="3988303A"/>
    <w:rsid w:val="398E5251"/>
    <w:rsid w:val="3F3F3186"/>
    <w:rsid w:val="40A855C4"/>
    <w:rsid w:val="41F6735B"/>
    <w:rsid w:val="47874069"/>
    <w:rsid w:val="47B84838"/>
    <w:rsid w:val="48CC7BFD"/>
    <w:rsid w:val="49244D8F"/>
    <w:rsid w:val="56332FB1"/>
    <w:rsid w:val="58B95CBA"/>
    <w:rsid w:val="596D67DA"/>
    <w:rsid w:val="5A44578C"/>
    <w:rsid w:val="5E375A3D"/>
    <w:rsid w:val="5E60690D"/>
    <w:rsid w:val="5EC33DB0"/>
    <w:rsid w:val="5F471779"/>
    <w:rsid w:val="60EC26DA"/>
    <w:rsid w:val="6268037D"/>
    <w:rsid w:val="62740596"/>
    <w:rsid w:val="62CD7EA4"/>
    <w:rsid w:val="64454D98"/>
    <w:rsid w:val="65974683"/>
    <w:rsid w:val="6E0B35C4"/>
    <w:rsid w:val="6F113235"/>
    <w:rsid w:val="70CA591E"/>
    <w:rsid w:val="74976939"/>
    <w:rsid w:val="76211CFF"/>
    <w:rsid w:val="7867742D"/>
    <w:rsid w:val="7BA06143"/>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8"/>
    <w:semiHidden/>
    <w:unhideWhenUsed/>
    <w:qFormat/>
    <w:uiPriority w:val="99"/>
    <w:pPr>
      <w:spacing w:after="120"/>
    </w:pPr>
  </w:style>
  <w:style w:type="paragraph" w:styleId="5">
    <w:name w:val="Plain Text"/>
    <w:basedOn w:val="1"/>
    <w:link w:val="25"/>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Body Text First Indent"/>
    <w:basedOn w:val="4"/>
    <w:link w:val="19"/>
    <w:unhideWhenUsed/>
    <w:qFormat/>
    <w:uiPriority w:val="99"/>
    <w:pPr>
      <w:ind w:firstLine="420" w:firstLineChars="100"/>
    </w:p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9"/>
    <w:qFormat/>
    <w:uiPriority w:val="99"/>
    <w:rPr>
      <w:sz w:val="18"/>
      <w:szCs w:val="18"/>
    </w:rPr>
  </w:style>
  <w:style w:type="character" w:customStyle="1" w:styleId="17">
    <w:name w:val="页脚 字符"/>
    <w:basedOn w:val="15"/>
    <w:link w:val="8"/>
    <w:qFormat/>
    <w:uiPriority w:val="99"/>
    <w:rPr>
      <w:sz w:val="18"/>
      <w:szCs w:val="18"/>
    </w:rPr>
  </w:style>
  <w:style w:type="character" w:customStyle="1" w:styleId="18">
    <w:name w:val="正文文本 字符"/>
    <w:basedOn w:val="15"/>
    <w:link w:val="4"/>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1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2"/>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5"/>
    <w:semiHidden/>
    <w:qFormat/>
    <w:uiPriority w:val="99"/>
    <w:rPr>
      <w:rFonts w:ascii="宋体" w:hAnsi="Courier New" w:eastAsia="宋体" w:cs="Courier New"/>
      <w:color w:val="000000"/>
      <w:szCs w:val="21"/>
    </w:rPr>
  </w:style>
  <w:style w:type="character" w:customStyle="1" w:styleId="26">
    <w:name w:val="批注框文本 字符"/>
    <w:basedOn w:val="15"/>
    <w:link w:val="7"/>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3"/>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4764</Words>
  <Characters>5078</Characters>
  <Lines>30</Lines>
  <Paragraphs>8</Paragraphs>
  <TotalTime>1</TotalTime>
  <ScaleCrop>false</ScaleCrop>
  <LinksUpToDate>false</LinksUpToDate>
  <CharactersWithSpaces>5206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邹环宇</cp:lastModifiedBy>
  <cp:lastPrinted>2022-05-17T03:01:00Z</cp:lastPrinted>
  <dcterms:modified xsi:type="dcterms:W3CDTF">2026-07-09T02:57:46Z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