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bookmarkStart w:id="40" w:name="_GoBack"/>
      <w:bookmarkEnd w:id="40"/>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手持式局部放电巡检仪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4"/>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4"/>
        <w:bidi w:val="0"/>
        <w:rPr>
          <w:rFonts w:hint="eastAsia"/>
          <w:highlight w:val="none"/>
        </w:rPr>
      </w:pPr>
      <w:r>
        <w:rPr>
          <w:rFonts w:hint="eastAsia"/>
          <w:highlight w:val="none"/>
        </w:rPr>
        <w:t xml:space="preserve">1 </w:t>
      </w:r>
      <w:bookmarkStart w:id="2" w:name="_Toc397006837"/>
      <w:bookmarkStart w:id="3" w:name="_Toc305941518"/>
      <w:bookmarkStart w:id="4" w:name="_Toc305941223"/>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手持式局部放电巡检仪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519"/>
      <w:bookmarkStart w:id="6" w:name="_Toc305941224"/>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97006840"/>
      <w:bookmarkStart w:id="9" w:name="_Toc305941225"/>
      <w:bookmarkStart w:id="10" w:name="_Toc291768528"/>
      <w:bookmarkStart w:id="11" w:name="_Toc292221729"/>
      <w:bookmarkStart w:id="12" w:name="_Toc290652071"/>
    </w:p>
    <w:bookmarkEnd w:id="8"/>
    <w:bookmarkEnd w:id="9"/>
    <w:bookmarkEnd w:id="10"/>
    <w:bookmarkEnd w:id="11"/>
    <w:bookmarkEnd w:id="12"/>
    <w:p>
      <w:pPr>
        <w:pStyle w:val="4"/>
        <w:bidi w:val="0"/>
        <w:rPr>
          <w:highlight w:val="none"/>
        </w:rPr>
      </w:pPr>
      <w:bookmarkStart w:id="13" w:name="_Toc305941520"/>
      <w:bookmarkStart w:id="14" w:name="_Toc305941228"/>
      <w:bookmarkStart w:id="15" w:name="_Toc397006842"/>
      <w:bookmarkStart w:id="16" w:name="_Toc3763"/>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FF0000"/>
          <w:highlight w:val="none"/>
        </w:rPr>
      </w:pPr>
      <w:r>
        <w:rPr>
          <w:rFonts w:hint="eastAsia" w:ascii="宋体" w:hAnsi="宋体"/>
          <w:color w:val="auto"/>
          <w:szCs w:val="24"/>
          <w:highlight w:val="none"/>
          <w:lang w:eastAsia="zh-CN"/>
        </w:rPr>
        <w:t>手持式局部放电巡检仪</w:t>
      </w:r>
      <w:r>
        <w:rPr>
          <w:rFonts w:hint="eastAsia"/>
          <w:color w:val="auto"/>
          <w:highlight w:val="none"/>
        </w:rPr>
        <w:t>：</w:t>
      </w:r>
      <w:r>
        <w:rPr>
          <w:rFonts w:hint="eastAsia"/>
          <w:szCs w:val="21"/>
          <w:highlight w:val="none"/>
        </w:rPr>
        <w:t>GB/T 7261―2000</w:t>
      </w:r>
    </w:p>
    <w:p>
      <w:pPr>
        <w:pStyle w:val="4"/>
        <w:bidi w:val="0"/>
        <w:rPr>
          <w:highlight w:val="none"/>
        </w:rPr>
      </w:pPr>
      <w:bookmarkStart w:id="17" w:name="_Toc279769035"/>
      <w:bookmarkStart w:id="18" w:name="_Toc397006843"/>
      <w:bookmarkStart w:id="19" w:name="_Toc305941229"/>
      <w:bookmarkStart w:id="20" w:name="_Toc13932"/>
      <w:bookmarkStart w:id="21" w:name="_Toc305941521"/>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手持式局部放电巡检仪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05941230"/>
      <w:bookmarkStart w:id="24" w:name="_Toc397006844"/>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keepLines w:val="0"/>
        <w:pageBreakBefore w:val="0"/>
        <w:kinsoku/>
        <w:wordWrap/>
        <w:bidi w:val="0"/>
        <w:spacing w:line="500" w:lineRule="exact"/>
        <w:ind w:left="410"/>
        <w:rPr>
          <w:highlight w:val="none"/>
        </w:rPr>
      </w:pPr>
      <w:bookmarkStart w:id="30" w:name="_Toc397006845"/>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rFonts w:hint="eastAsia"/>
          <w:highlight w:val="none"/>
        </w:rPr>
      </w:pPr>
      <w:r>
        <w:rPr>
          <w:rFonts w:hint="eastAsia"/>
          <w:highlight w:val="none"/>
          <w:lang w:val="en-US" w:eastAsia="zh-CN"/>
        </w:rPr>
        <w:t>4</w:t>
      </w:r>
      <w:r>
        <w:rPr>
          <w:rFonts w:hint="eastAsia"/>
          <w:highlight w:val="none"/>
        </w:rPr>
        <w:t>.1</w:t>
      </w:r>
      <w:r>
        <w:rPr>
          <w:rFonts w:hint="eastAsia"/>
          <w:highlight w:val="none"/>
          <w:lang w:eastAsia="zh-CN"/>
        </w:rPr>
        <w:t>手持式局部放电巡检仪</w:t>
      </w:r>
      <w:r>
        <w:rPr>
          <w:rFonts w:hint="eastAsia"/>
          <w:color w:val="auto"/>
          <w:highlight w:val="none"/>
          <w:shd w:val="clear" w:color="auto" w:fill="FFFFFF"/>
        </w:rPr>
        <w:t>功能</w:t>
      </w:r>
      <w:r>
        <w:rPr>
          <w:rFonts w:hint="eastAsia"/>
          <w:highlight w:val="none"/>
        </w:rPr>
        <w:t>要求</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手持式局部放电巡检仪支持高频电流（HFCT）、超声波（AE＆US）、特高频（UHF）、暂态地电压（TEV）等多种局部放电检测模式，可根据被检测设备类型及检测特点进行灵活组合。</w:t>
      </w:r>
      <w:r>
        <w:rPr>
          <w:rFonts w:hint="eastAsia" w:ascii="宋体" w:hAnsi="宋体" w:eastAsia="宋体" w:cs="Times New Roman"/>
          <w:highlight w:val="none"/>
          <w:lang w:val="en-US" w:eastAsia="zh-CN"/>
        </w:rPr>
        <w:t>应</w:t>
      </w:r>
      <w:r>
        <w:rPr>
          <w:rFonts w:hint="eastAsia" w:ascii="宋体" w:hAnsi="宋体" w:eastAsia="宋体" w:cs="Times New Roman"/>
          <w:highlight w:val="none"/>
        </w:rPr>
        <w:t>具有多种局部放电分析功能，能够准确判断被测设备的健康状况，快速诊断缺陷性质，有效评估电力设备运行状态，为电力设备状态检修提供科学的决策依据。巡检仪</w:t>
      </w:r>
      <w:r>
        <w:rPr>
          <w:rFonts w:hint="eastAsia" w:ascii="宋体" w:hAnsi="宋体" w:eastAsia="宋体" w:cs="Times New Roman"/>
          <w:highlight w:val="none"/>
          <w:lang w:val="en-US" w:eastAsia="zh-CN"/>
        </w:rPr>
        <w:t>应</w:t>
      </w:r>
      <w:r>
        <w:rPr>
          <w:rFonts w:hint="eastAsia" w:ascii="宋体" w:hAnsi="宋体" w:eastAsia="宋体" w:cs="Times New Roman"/>
          <w:highlight w:val="none"/>
        </w:rPr>
        <w:t>支持数据无线上传、云平台互联、二维码、巡检任务及作业远程管理。</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★传感器与仪器能够无线互联，可接入各类局部放电智能传感器，自动识别传感器类型和编号，适用于变压器、GIS、开关柜及电力电缆等多种高压电气设备的带电检测；</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★能够同时显示3个传感器的波形与统计图谱，实现多传感器联合诊断；</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★根据现场情况采用无线同步技术（电磁同步、振动同步、电源同步等），锁定放电相位，建立特征图谱；</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独特的滤波技术对现场常见干扰信号具有良好的抑制作用，且可灵活设置测量频带，有效地解决现场复杂干扰信号对仪器灵敏度及检测结果准确性的影响；</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w:t>
      </w:r>
      <w:r>
        <w:rPr>
          <w:rFonts w:hint="eastAsia" w:ascii="宋体" w:hAnsi="宋体" w:eastAsia="宋体" w:cs="Times New Roman"/>
          <w:highlight w:val="none"/>
          <w:lang w:val="en-US" w:eastAsia="zh-CN"/>
        </w:rPr>
        <w:t>应</w:t>
      </w:r>
      <w:r>
        <w:rPr>
          <w:rFonts w:hint="eastAsia" w:ascii="宋体" w:hAnsi="宋体" w:eastAsia="宋体" w:cs="Times New Roman"/>
          <w:highlight w:val="none"/>
        </w:rPr>
        <w:t>具备放电类型识别功能，评估放电严重程度；</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w:t>
      </w:r>
      <w:r>
        <w:rPr>
          <w:rFonts w:hint="eastAsia" w:ascii="宋体" w:hAnsi="宋体" w:eastAsia="宋体" w:cs="Times New Roman"/>
          <w:highlight w:val="none"/>
          <w:lang w:val="en-US" w:eastAsia="zh-CN"/>
        </w:rPr>
        <w:t>应具备</w:t>
      </w:r>
      <w:r>
        <w:rPr>
          <w:rFonts w:hint="eastAsia" w:ascii="宋体" w:hAnsi="宋体" w:eastAsia="宋体" w:cs="Times New Roman"/>
          <w:highlight w:val="none"/>
        </w:rPr>
        <w:t>智能RFID电子标签巡检功能，可实现智能巡检和现场联合故障诊断；</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lang w:val="en-US" w:eastAsia="zh-CN"/>
        </w:rPr>
        <w:t>可</w:t>
      </w:r>
      <w:r>
        <w:rPr>
          <w:rFonts w:hint="eastAsia" w:ascii="宋体" w:hAnsi="宋体" w:eastAsia="宋体" w:cs="Times New Roman"/>
          <w:highlight w:val="none"/>
        </w:rPr>
        <w:t>建立被巡检高压设备档案，具备档案管理功能，随时保存巡检记录，查阅局部放电历史数据、放电波形及趋势图；</w:t>
      </w:r>
    </w:p>
    <w:p>
      <w:pPr>
        <w:spacing w:line="360" w:lineRule="auto"/>
        <w:ind w:firstLine="480" w:firstLineChars="200"/>
        <w:rPr>
          <w:rFonts w:hint="eastAsia" w:ascii="宋体" w:hAnsi="宋体" w:eastAsia="宋体" w:cs="Times New Roman"/>
          <w:highlight w:val="none"/>
        </w:rPr>
      </w:pPr>
      <w:r>
        <w:rPr>
          <w:rFonts w:hint="eastAsia" w:ascii="宋体" w:hAnsi="宋体" w:eastAsia="宋体" w:cs="Times New Roman"/>
          <w:highlight w:val="none"/>
        </w:rPr>
        <w:t>仪器</w:t>
      </w:r>
      <w:r>
        <w:rPr>
          <w:rFonts w:hint="eastAsia" w:ascii="宋体" w:hAnsi="宋体" w:eastAsia="宋体" w:cs="Times New Roman"/>
          <w:highlight w:val="none"/>
          <w:lang w:val="en-US" w:eastAsia="zh-CN"/>
        </w:rPr>
        <w:t>应</w:t>
      </w:r>
      <w:r>
        <w:rPr>
          <w:rFonts w:hint="eastAsia" w:ascii="宋体" w:hAnsi="宋体" w:eastAsia="宋体" w:cs="Times New Roman"/>
          <w:highlight w:val="none"/>
        </w:rPr>
        <w:t>具有重量轻、操作简便，功能多样、人性化界面、高性价比等特点；</w:t>
      </w: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手持式局部放电巡检仪</w:t>
      </w:r>
      <w:r>
        <w:rPr>
          <w:rFonts w:hint="eastAsia"/>
          <w:color w:val="auto"/>
          <w:highlight w:val="none"/>
          <w:shd w:val="clear" w:color="auto" w:fill="FFFFFF"/>
        </w:rPr>
        <w:t>技术指标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2"/>
        <w:gridCol w:w="2067"/>
        <w:gridCol w:w="4268"/>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序号</w:t>
            </w:r>
          </w:p>
        </w:tc>
        <w:tc>
          <w:tcPr>
            <w:tcW w:w="2067" w:type="dxa"/>
          </w:tcPr>
          <w:p>
            <w:pPr>
              <w:pStyle w:val="2"/>
              <w:rPr>
                <w:rFonts w:hint="eastAsia"/>
                <w:vertAlign w:val="baseline"/>
              </w:rPr>
            </w:pPr>
            <w:r>
              <w:rPr>
                <w:rFonts w:hint="eastAsia"/>
                <w:vertAlign w:val="baseline"/>
                <w:lang w:val="en-US" w:eastAsia="zh-CN"/>
              </w:rPr>
              <w:t>性能参数</w:t>
            </w:r>
          </w:p>
        </w:tc>
        <w:tc>
          <w:tcPr>
            <w:tcW w:w="4268" w:type="dxa"/>
          </w:tcPr>
          <w:p>
            <w:pPr>
              <w:pStyle w:val="2"/>
              <w:rPr>
                <w:rFonts w:hint="eastAsia"/>
                <w:vertAlign w:val="baseline"/>
              </w:rPr>
            </w:pPr>
            <w:r>
              <w:rPr>
                <w:rFonts w:hint="eastAsia"/>
                <w:vertAlign w:val="baseline"/>
                <w:lang w:val="en-US" w:eastAsia="zh-CN"/>
              </w:rPr>
              <w:t>招标人要求值</w:t>
            </w:r>
          </w:p>
        </w:tc>
        <w:tc>
          <w:tcPr>
            <w:tcW w:w="2235" w:type="dxa"/>
          </w:tcPr>
          <w:p>
            <w:pPr>
              <w:pStyle w:val="2"/>
              <w:ind w:left="0" w:leftChars="0" w:firstLine="0" w:firstLineChars="0"/>
              <w:rPr>
                <w:rFonts w:hint="eastAsia"/>
                <w:vertAlign w:val="baseline"/>
              </w:rPr>
            </w:pPr>
            <w:r>
              <w:rPr>
                <w:rFonts w:hint="eastAsia"/>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1</w:t>
            </w:r>
          </w:p>
        </w:tc>
        <w:tc>
          <w:tcPr>
            <w:tcW w:w="2067" w:type="dxa"/>
          </w:tcPr>
          <w:p>
            <w:pPr>
              <w:pStyle w:val="2"/>
              <w:ind w:left="0" w:leftChars="0" w:firstLine="240" w:firstLineChars="100"/>
              <w:rPr>
                <w:rFonts w:hint="eastAsia"/>
                <w:vertAlign w:val="baseline"/>
              </w:rPr>
            </w:pPr>
            <w:r>
              <w:rPr>
                <w:rFonts w:hint="eastAsia"/>
                <w:szCs w:val="20"/>
                <w:highlight w:val="none"/>
              </w:rPr>
              <w:t>★</w:t>
            </w:r>
            <w:r>
              <w:rPr>
                <w:rFonts w:hint="eastAsia" w:ascii="宋体" w:hAnsi="宋体" w:eastAsia="宋体" w:cs="Times New Roman"/>
                <w:szCs w:val="20"/>
                <w:highlight w:val="none"/>
              </w:rPr>
              <w:t>TEV暂态地电压</w:t>
            </w:r>
            <w:r>
              <w:rPr>
                <w:rFonts w:hint="eastAsia" w:ascii="宋体" w:hAnsi="宋体" w:cs="Times New Roman"/>
                <w:szCs w:val="20"/>
                <w:highlight w:val="none"/>
                <w:lang w:val="en-US" w:eastAsia="zh-CN"/>
              </w:rPr>
              <w:t>测量</w:t>
            </w:r>
          </w:p>
        </w:tc>
        <w:tc>
          <w:tcPr>
            <w:tcW w:w="4268" w:type="dxa"/>
          </w:tcPr>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检测带宽：3M-80MHz</w:t>
            </w:r>
          </w:p>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检测范围：0-80dbmV</w:t>
            </w:r>
          </w:p>
          <w:p>
            <w:pPr>
              <w:widowControl/>
              <w:tabs>
                <w:tab w:val="left" w:pos="420"/>
              </w:tabs>
              <w:spacing w:before="100" w:after="100" w:line="240" w:lineRule="auto"/>
              <w:ind w:left="0" w:leftChars="0" w:firstLine="0" w:firstLineChars="0"/>
              <w:jc w:val="left"/>
              <w:textAlignment w:val="baseline"/>
              <w:rPr>
                <w:rFonts w:hint="eastAsia"/>
                <w:vertAlign w:val="baseline"/>
              </w:rPr>
            </w:pPr>
            <w:r>
              <w:rPr>
                <w:rFonts w:hint="eastAsia" w:ascii="宋体" w:hAnsi="宋体" w:eastAsia="宋体" w:cs="Times New Roman"/>
                <w:szCs w:val="20"/>
                <w:highlight w:val="none"/>
              </w:rPr>
              <w:t>分辨率：0.1dB</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2</w:t>
            </w:r>
          </w:p>
        </w:tc>
        <w:tc>
          <w:tcPr>
            <w:tcW w:w="2067" w:type="dxa"/>
          </w:tcPr>
          <w:p>
            <w:pPr>
              <w:widowControl/>
              <w:tabs>
                <w:tab w:val="left" w:pos="420"/>
              </w:tabs>
              <w:spacing w:before="100" w:after="100" w:line="240" w:lineRule="auto"/>
              <w:ind w:left="0" w:leftChars="0" w:firstLine="240" w:firstLineChars="100"/>
              <w:jc w:val="left"/>
              <w:textAlignment w:val="baseline"/>
              <w:rPr>
                <w:rFonts w:hint="eastAsia" w:ascii="宋体" w:hAnsi="宋体" w:eastAsia="宋体" w:cs="Times New Roman"/>
                <w:szCs w:val="20"/>
                <w:highlight w:val="none"/>
                <w:lang w:eastAsia="zh-CN"/>
              </w:rPr>
            </w:pPr>
            <w:r>
              <w:rPr>
                <w:rFonts w:hint="eastAsia"/>
                <w:szCs w:val="20"/>
                <w:highlight w:val="none"/>
              </w:rPr>
              <w:t>★</w:t>
            </w:r>
            <w:r>
              <w:rPr>
                <w:rFonts w:hint="eastAsia" w:ascii="宋体" w:hAnsi="宋体" w:eastAsia="宋体" w:cs="Times New Roman"/>
                <w:szCs w:val="20"/>
                <w:highlight w:val="none"/>
              </w:rPr>
              <w:t>非接触超声波</w:t>
            </w:r>
            <w:r>
              <w:rPr>
                <w:rFonts w:hint="eastAsia" w:ascii="宋体" w:hAnsi="宋体" w:cs="Times New Roman"/>
                <w:szCs w:val="20"/>
                <w:highlight w:val="none"/>
                <w:lang w:val="en-US" w:eastAsia="zh-CN"/>
              </w:rPr>
              <w:t>测量</w:t>
            </w:r>
          </w:p>
          <w:p>
            <w:pPr>
              <w:pStyle w:val="2"/>
              <w:rPr>
                <w:rFonts w:hint="eastAsia"/>
                <w:vertAlign w:val="baseline"/>
              </w:rPr>
            </w:pPr>
          </w:p>
        </w:tc>
        <w:tc>
          <w:tcPr>
            <w:tcW w:w="4268" w:type="dxa"/>
          </w:tcPr>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测量范围：-10dBuV至70dBuV</w:t>
            </w:r>
          </w:p>
          <w:p>
            <w:pPr>
              <w:widowControl/>
              <w:tabs>
                <w:tab w:val="left" w:pos="420"/>
              </w:tabs>
              <w:spacing w:before="100" w:after="100" w:line="240" w:lineRule="auto"/>
              <w:ind w:left="0" w:leftChars="0" w:firstLine="0" w:firstLineChars="0"/>
              <w:jc w:val="left"/>
              <w:textAlignment w:val="baseline"/>
              <w:rPr>
                <w:rFonts w:hint="eastAsia"/>
                <w:vertAlign w:val="baseline"/>
              </w:rPr>
            </w:pPr>
            <w:r>
              <w:rPr>
                <w:rFonts w:hint="eastAsia" w:ascii="宋体" w:hAnsi="宋体" w:eastAsia="宋体" w:cs="Times New Roman"/>
                <w:szCs w:val="20"/>
                <w:highlight w:val="none"/>
              </w:rPr>
              <w:t>分辨率：0.1dB</w:t>
            </w:r>
            <w:r>
              <w:rPr>
                <w:rFonts w:hint="eastAsia" w:cs="Times New Roman"/>
                <w:szCs w:val="20"/>
                <w:highlight w:val="none"/>
                <w:lang w:val="en-US" w:eastAsia="zh-CN"/>
              </w:rPr>
              <w:t xml:space="preserve"> </w:t>
            </w:r>
            <w:r>
              <w:rPr>
                <w:rFonts w:hint="eastAsia" w:ascii="宋体" w:hAnsi="宋体" w:eastAsia="宋体" w:cs="Times New Roman"/>
                <w:szCs w:val="20"/>
                <w:highlight w:val="none"/>
              </w:rPr>
              <w:t>传感器中心频率：40kHz</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3</w:t>
            </w:r>
          </w:p>
        </w:tc>
        <w:tc>
          <w:tcPr>
            <w:tcW w:w="2067" w:type="dxa"/>
          </w:tcPr>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szCs w:val="20"/>
                <w:highlight w:val="none"/>
              </w:rPr>
              <w:t>★</w:t>
            </w:r>
            <w:r>
              <w:rPr>
                <w:rFonts w:hint="eastAsia" w:ascii="宋体" w:hAnsi="宋体" w:eastAsia="宋体" w:cs="Times New Roman"/>
                <w:szCs w:val="20"/>
                <w:highlight w:val="none"/>
              </w:rPr>
              <w:t>UHF特高频测量</w:t>
            </w:r>
          </w:p>
          <w:p>
            <w:pPr>
              <w:pStyle w:val="2"/>
              <w:rPr>
                <w:rFonts w:hint="eastAsia"/>
                <w:vertAlign w:val="baseline"/>
              </w:rPr>
            </w:pPr>
          </w:p>
        </w:tc>
        <w:tc>
          <w:tcPr>
            <w:tcW w:w="4268" w:type="dxa"/>
          </w:tcPr>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检测频带：300MHz-1500MHz</w:t>
            </w:r>
          </w:p>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检测范围：-80dBm-0</w:t>
            </w:r>
          </w:p>
          <w:p>
            <w:pPr>
              <w:pStyle w:val="2"/>
              <w:ind w:left="0" w:leftChars="0" w:firstLine="0" w:firstLineChars="0"/>
              <w:rPr>
                <w:rFonts w:hint="eastAsia" w:ascii="宋体" w:hAnsi="宋体" w:eastAsia="宋体" w:cs="Times New Roman"/>
                <w:szCs w:val="20"/>
                <w:highlight w:val="none"/>
              </w:rPr>
            </w:pPr>
            <w:r>
              <w:rPr>
                <w:rFonts w:hint="eastAsia" w:ascii="宋体" w:hAnsi="宋体" w:eastAsia="宋体" w:cs="Times New Roman"/>
                <w:szCs w:val="20"/>
                <w:highlight w:val="none"/>
              </w:rPr>
              <w:t>分辨率：0.1dB</w:t>
            </w:r>
            <w:r>
              <w:rPr>
                <w:rFonts w:hint="eastAsia" w:cs="Times New Roman"/>
                <w:szCs w:val="20"/>
                <w:highlight w:val="none"/>
                <w:lang w:val="en-US" w:eastAsia="zh-CN"/>
              </w:rPr>
              <w:t xml:space="preserve"> </w:t>
            </w:r>
            <w:r>
              <w:rPr>
                <w:rFonts w:hint="eastAsia"/>
                <w:szCs w:val="20"/>
                <w:highlight w:val="none"/>
              </w:rPr>
              <w:t>★</w:t>
            </w:r>
            <w:r>
              <w:rPr>
                <w:rFonts w:hint="eastAsia" w:ascii="宋体" w:hAnsi="宋体" w:eastAsia="宋体" w:cs="Times New Roman"/>
                <w:b/>
                <w:bCs/>
                <w:szCs w:val="20"/>
                <w:highlight w:val="none"/>
              </w:rPr>
              <w:t>传感器有效高度：&gt;1</w:t>
            </w:r>
            <w:r>
              <w:rPr>
                <w:rFonts w:hint="eastAsia" w:ascii="宋体" w:hAnsi="宋体" w:eastAsia="宋体" w:cs="Times New Roman"/>
                <w:b/>
                <w:bCs/>
                <w:szCs w:val="20"/>
                <w:highlight w:val="none"/>
                <w:lang w:val="en-US" w:eastAsia="zh-CN"/>
              </w:rPr>
              <w:t>6</w:t>
            </w:r>
            <w:r>
              <w:rPr>
                <w:rFonts w:hint="eastAsia" w:ascii="宋体" w:hAnsi="宋体" w:eastAsia="宋体" w:cs="Times New Roman"/>
                <w:b/>
                <w:bCs/>
                <w:szCs w:val="20"/>
                <w:highlight w:val="none"/>
              </w:rPr>
              <w:t>mm</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4</w:t>
            </w:r>
          </w:p>
        </w:tc>
        <w:tc>
          <w:tcPr>
            <w:tcW w:w="2067" w:type="dxa"/>
          </w:tcPr>
          <w:p>
            <w:pPr>
              <w:pStyle w:val="2"/>
              <w:ind w:left="0" w:leftChars="0" w:firstLine="0" w:firstLineChars="0"/>
              <w:rPr>
                <w:rFonts w:hint="eastAsia"/>
                <w:vertAlign w:val="baseline"/>
              </w:rPr>
            </w:pPr>
            <w:r>
              <w:rPr>
                <w:rFonts w:hint="eastAsia"/>
                <w:szCs w:val="20"/>
                <w:highlight w:val="none"/>
              </w:rPr>
              <w:t>★</w:t>
            </w:r>
            <w:r>
              <w:rPr>
                <w:rFonts w:hint="eastAsia" w:ascii="宋体" w:hAnsi="宋体" w:eastAsia="宋体" w:cs="Times New Roman"/>
                <w:szCs w:val="20"/>
                <w:highlight w:val="none"/>
              </w:rPr>
              <w:t>接触式超声波</w:t>
            </w:r>
            <w:r>
              <w:rPr>
                <w:rFonts w:hint="eastAsia" w:ascii="宋体" w:hAnsi="宋体" w:cs="Times New Roman"/>
                <w:szCs w:val="20"/>
                <w:highlight w:val="none"/>
                <w:lang w:val="en-US" w:eastAsia="zh-CN"/>
              </w:rPr>
              <w:t>测量</w:t>
            </w:r>
          </w:p>
        </w:tc>
        <w:tc>
          <w:tcPr>
            <w:tcW w:w="4268" w:type="dxa"/>
          </w:tcPr>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频率范围：20k-200kHz</w:t>
            </w:r>
          </w:p>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测量范围：-10dBuV至70dBuV</w:t>
            </w:r>
          </w:p>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szCs w:val="20"/>
                <w:highlight w:val="none"/>
              </w:rPr>
            </w:pPr>
            <w:r>
              <w:rPr>
                <w:rFonts w:hint="eastAsia" w:ascii="宋体" w:hAnsi="宋体" w:eastAsia="宋体" w:cs="Times New Roman"/>
                <w:szCs w:val="20"/>
                <w:highlight w:val="none"/>
              </w:rPr>
              <w:t>传感器峰值灵敏度：&gt;70dB</w:t>
            </w:r>
          </w:p>
          <w:p>
            <w:pPr>
              <w:widowControl/>
              <w:tabs>
                <w:tab w:val="left" w:pos="420"/>
              </w:tabs>
              <w:spacing w:before="100" w:after="100" w:line="240" w:lineRule="auto"/>
              <w:ind w:left="0" w:leftChars="0" w:firstLine="0" w:firstLineChars="0"/>
              <w:jc w:val="left"/>
              <w:textAlignment w:val="baseline"/>
              <w:rPr>
                <w:rFonts w:hint="eastAsia"/>
                <w:vertAlign w:val="baseline"/>
              </w:rPr>
            </w:pPr>
            <w:r>
              <w:rPr>
                <w:rFonts w:hint="eastAsia" w:ascii="宋体" w:hAnsi="宋体" w:eastAsia="宋体" w:cs="Times New Roman"/>
                <w:szCs w:val="20"/>
                <w:highlight w:val="none"/>
              </w:rPr>
              <w:t>分辨率：0.1dB</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5</w:t>
            </w:r>
          </w:p>
        </w:tc>
        <w:tc>
          <w:tcPr>
            <w:tcW w:w="2067" w:type="dxa"/>
          </w:tcPr>
          <w:p>
            <w:pPr>
              <w:pStyle w:val="2"/>
              <w:ind w:left="0" w:leftChars="0" w:firstLine="0" w:firstLineChars="0"/>
              <w:rPr>
                <w:rFonts w:hint="eastAsia"/>
                <w:vertAlign w:val="baseline"/>
              </w:rPr>
            </w:pPr>
            <w:r>
              <w:rPr>
                <w:rFonts w:hint="eastAsia"/>
                <w:szCs w:val="20"/>
                <w:highlight w:val="none"/>
              </w:rPr>
              <w:t>★</w:t>
            </w:r>
            <w:r>
              <w:rPr>
                <w:rFonts w:hint="eastAsia" w:ascii="宋体" w:hAnsi="宋体" w:eastAsia="宋体" w:cs="Times New Roman"/>
                <w:szCs w:val="20"/>
                <w:highlight w:val="none"/>
              </w:rPr>
              <w:t>HFCT高频电流</w:t>
            </w:r>
            <w:r>
              <w:rPr>
                <w:rFonts w:hint="eastAsia" w:ascii="宋体" w:hAnsi="宋体" w:cs="Times New Roman"/>
                <w:szCs w:val="20"/>
                <w:highlight w:val="none"/>
                <w:lang w:val="en-US" w:eastAsia="zh-CN"/>
              </w:rPr>
              <w:t>测量</w:t>
            </w:r>
          </w:p>
        </w:tc>
        <w:tc>
          <w:tcPr>
            <w:tcW w:w="4268" w:type="dxa"/>
          </w:tcPr>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b/>
                <w:bCs/>
                <w:szCs w:val="20"/>
                <w:highlight w:val="none"/>
              </w:rPr>
            </w:pPr>
            <w:r>
              <w:rPr>
                <w:rFonts w:hint="eastAsia" w:ascii="宋体" w:hAnsi="宋体" w:eastAsia="宋体" w:cs="Times New Roman"/>
                <w:b/>
                <w:bCs/>
                <w:szCs w:val="20"/>
                <w:highlight w:val="none"/>
              </w:rPr>
              <w:t>传感器带宽：100kHz-100MHz</w:t>
            </w:r>
          </w:p>
          <w:p>
            <w:pPr>
              <w:widowControl/>
              <w:tabs>
                <w:tab w:val="left" w:pos="420"/>
              </w:tabs>
              <w:spacing w:before="100" w:after="100" w:line="240" w:lineRule="auto"/>
              <w:ind w:left="0" w:leftChars="0" w:firstLine="0" w:firstLineChars="0"/>
              <w:jc w:val="left"/>
              <w:textAlignment w:val="baseline"/>
              <w:rPr>
                <w:rFonts w:hint="eastAsia" w:ascii="宋体" w:hAnsi="宋体" w:eastAsia="宋体" w:cs="Times New Roman"/>
                <w:b/>
                <w:bCs/>
                <w:szCs w:val="20"/>
                <w:highlight w:val="none"/>
              </w:rPr>
            </w:pPr>
            <w:r>
              <w:rPr>
                <w:rFonts w:hint="eastAsia" w:ascii="宋体" w:hAnsi="宋体" w:eastAsia="宋体" w:cs="Times New Roman"/>
                <w:b/>
                <w:bCs/>
                <w:szCs w:val="20"/>
                <w:highlight w:val="none"/>
              </w:rPr>
              <w:t>传感器传输阻抗：&gt;15mV/mA</w:t>
            </w:r>
          </w:p>
          <w:p>
            <w:pPr>
              <w:widowControl/>
              <w:tabs>
                <w:tab w:val="left" w:pos="420"/>
              </w:tabs>
              <w:spacing w:before="100" w:after="100" w:line="240" w:lineRule="auto"/>
              <w:ind w:left="0" w:leftChars="0" w:firstLine="0" w:firstLineChars="0"/>
              <w:jc w:val="left"/>
              <w:textAlignment w:val="baseline"/>
              <w:rPr>
                <w:rFonts w:hint="eastAsia"/>
                <w:vertAlign w:val="baseline"/>
              </w:rPr>
            </w:pPr>
            <w:r>
              <w:rPr>
                <w:rFonts w:hint="eastAsia" w:ascii="宋体" w:hAnsi="宋体" w:eastAsia="宋体" w:cs="Times New Roman"/>
                <w:szCs w:val="20"/>
                <w:highlight w:val="none"/>
              </w:rPr>
              <w:t>检测范围：1-10000PC</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6</w:t>
            </w:r>
          </w:p>
        </w:tc>
        <w:tc>
          <w:tcPr>
            <w:tcW w:w="2067" w:type="dxa"/>
          </w:tcPr>
          <w:p>
            <w:pPr>
              <w:pStyle w:val="2"/>
              <w:ind w:left="0" w:leftChars="0" w:firstLine="240" w:firstLineChars="100"/>
              <w:rPr>
                <w:rFonts w:hint="eastAsia"/>
                <w:vertAlign w:val="baseline"/>
              </w:rPr>
            </w:pPr>
            <w:r>
              <w:rPr>
                <w:rFonts w:hint="eastAsia"/>
                <w:szCs w:val="20"/>
                <w:highlight w:val="none"/>
              </w:rPr>
              <w:t>★</w:t>
            </w:r>
            <w:r>
              <w:rPr>
                <w:rFonts w:hint="eastAsia" w:ascii="宋体" w:hAnsi="宋体" w:eastAsia="宋体" w:cs="Times New Roman"/>
                <w:szCs w:val="20"/>
                <w:highlight w:val="none"/>
              </w:rPr>
              <w:t>检测仪</w:t>
            </w:r>
          </w:p>
        </w:tc>
        <w:tc>
          <w:tcPr>
            <w:tcW w:w="4268" w:type="dxa"/>
          </w:tcPr>
          <w:p>
            <w:pPr>
              <w:pStyle w:val="2"/>
              <w:ind w:left="0" w:leftChars="0" w:firstLine="0" w:firstLineChars="0"/>
              <w:rPr>
                <w:rFonts w:hint="eastAsia"/>
                <w:vertAlign w:val="baseline"/>
              </w:rPr>
            </w:pPr>
            <w:r>
              <w:rPr>
                <w:rFonts w:hint="eastAsia" w:ascii="宋体" w:hAnsi="宋体" w:eastAsia="宋体" w:cs="Times New Roman"/>
                <w:kern w:val="2"/>
                <w:szCs w:val="20"/>
                <w:highlight w:val="none"/>
              </w:rPr>
              <w:t>显示屏</w:t>
            </w:r>
            <w:r>
              <w:rPr>
                <w:rFonts w:hint="eastAsia" w:ascii="宋体" w:hAnsi="宋体" w:eastAsia="宋体" w:cs="Times New Roman"/>
                <w:szCs w:val="20"/>
                <w:highlight w:val="none"/>
              </w:rPr>
              <w:t>：</w:t>
            </w:r>
            <w:r>
              <w:rPr>
                <w:rFonts w:hint="eastAsia" w:ascii="宋体" w:hAnsi="宋体" w:eastAsia="宋体" w:cs="Times New Roman"/>
                <w:kern w:val="2"/>
                <w:szCs w:val="20"/>
                <w:highlight w:val="none"/>
              </w:rPr>
              <w:t>10.4英寸液晶显示屏；显示分辨率：2000×1200</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7</w:t>
            </w:r>
          </w:p>
        </w:tc>
        <w:tc>
          <w:tcPr>
            <w:tcW w:w="2067" w:type="dxa"/>
          </w:tcPr>
          <w:p>
            <w:pPr>
              <w:pStyle w:val="2"/>
              <w:ind w:left="0" w:leftChars="0" w:firstLine="240" w:firstLineChars="100"/>
              <w:rPr>
                <w:rFonts w:hint="eastAsia"/>
                <w:vertAlign w:val="baseline"/>
              </w:rPr>
            </w:pPr>
            <w:r>
              <w:rPr>
                <w:rFonts w:hint="eastAsia" w:ascii="宋体" w:hAnsi="宋体" w:eastAsia="宋体" w:cs="Times New Roman"/>
                <w:kern w:val="2"/>
                <w:szCs w:val="20"/>
                <w:highlight w:val="none"/>
              </w:rPr>
              <w:t>外形尺寸</w:t>
            </w:r>
          </w:p>
        </w:tc>
        <w:tc>
          <w:tcPr>
            <w:tcW w:w="4268" w:type="dxa"/>
          </w:tcPr>
          <w:p>
            <w:pPr>
              <w:pStyle w:val="2"/>
              <w:ind w:left="0" w:leftChars="0" w:firstLine="0" w:firstLineChars="0"/>
              <w:rPr>
                <w:rFonts w:hint="eastAsia"/>
                <w:vertAlign w:val="baseline"/>
              </w:rPr>
            </w:pPr>
            <w:r>
              <w:rPr>
                <w:rFonts w:hint="eastAsia" w:ascii="宋体" w:hAnsi="宋体" w:eastAsia="宋体" w:cs="Times New Roman"/>
                <w:kern w:val="2"/>
                <w:szCs w:val="20"/>
                <w:highlight w:val="none"/>
              </w:rPr>
              <w:t>长×宽×厚（</w:t>
            </w:r>
            <w:r>
              <w:rPr>
                <w:rFonts w:hint="eastAsia" w:ascii="宋体" w:hAnsi="宋体" w:eastAsia="宋体" w:cs="Times New Roman"/>
                <w:szCs w:val="20"/>
                <w:highlight w:val="none"/>
              </w:rPr>
              <w:t>245mm×155mm×7.35mm</w:t>
            </w:r>
            <w:r>
              <w:rPr>
                <w:rFonts w:hint="eastAsia" w:ascii="宋体" w:hAnsi="宋体" w:eastAsia="宋体" w:cs="Times New Roman"/>
                <w:kern w:val="2"/>
                <w:szCs w:val="20"/>
                <w:highlight w:val="none"/>
              </w:rPr>
              <w:t>）</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8</w:t>
            </w:r>
          </w:p>
        </w:tc>
        <w:tc>
          <w:tcPr>
            <w:tcW w:w="2067" w:type="dxa"/>
          </w:tcPr>
          <w:p>
            <w:pPr>
              <w:pStyle w:val="2"/>
              <w:ind w:left="0" w:leftChars="0" w:firstLine="240" w:firstLineChars="100"/>
              <w:rPr>
                <w:rFonts w:hint="eastAsia"/>
                <w:vertAlign w:val="baseline"/>
              </w:rPr>
            </w:pPr>
            <w:r>
              <w:rPr>
                <w:rFonts w:hint="eastAsia"/>
                <w:szCs w:val="20"/>
                <w:highlight w:val="none"/>
              </w:rPr>
              <w:t>★</w:t>
            </w:r>
            <w:r>
              <w:rPr>
                <w:rFonts w:hint="eastAsia" w:ascii="宋体" w:hAnsi="宋体" w:eastAsia="宋体" w:cs="Times New Roman"/>
                <w:kern w:val="2"/>
                <w:szCs w:val="20"/>
                <w:highlight w:val="none"/>
              </w:rPr>
              <w:t>重量</w:t>
            </w:r>
          </w:p>
        </w:tc>
        <w:tc>
          <w:tcPr>
            <w:tcW w:w="4268" w:type="dxa"/>
          </w:tcPr>
          <w:p>
            <w:pPr>
              <w:pStyle w:val="2"/>
              <w:rPr>
                <w:rFonts w:hint="eastAsia"/>
                <w:vertAlign w:val="baseline"/>
              </w:rPr>
            </w:pPr>
            <w:r>
              <w:rPr>
                <w:rFonts w:hint="eastAsia" w:ascii="宋体" w:hAnsi="宋体" w:eastAsia="宋体" w:cs="Times New Roman"/>
                <w:kern w:val="2"/>
                <w:szCs w:val="20"/>
                <w:highlight w:val="none"/>
              </w:rPr>
              <w:t>0.4kg</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eastAsia" w:eastAsia="宋体"/>
                <w:vertAlign w:val="baseline"/>
                <w:lang w:val="en-US" w:eastAsia="zh-CN"/>
              </w:rPr>
            </w:pPr>
            <w:r>
              <w:rPr>
                <w:rFonts w:hint="eastAsia"/>
                <w:vertAlign w:val="baseline"/>
                <w:lang w:val="en-US" w:eastAsia="zh-CN"/>
              </w:rPr>
              <w:t>9</w:t>
            </w:r>
          </w:p>
        </w:tc>
        <w:tc>
          <w:tcPr>
            <w:tcW w:w="2067" w:type="dxa"/>
          </w:tcPr>
          <w:p>
            <w:pPr>
              <w:pStyle w:val="2"/>
              <w:ind w:left="0" w:leftChars="0" w:firstLine="240" w:firstLineChars="100"/>
              <w:rPr>
                <w:rFonts w:hint="eastAsia"/>
                <w:vertAlign w:val="baseline"/>
              </w:rPr>
            </w:pPr>
            <w:r>
              <w:rPr>
                <w:rFonts w:hint="eastAsia"/>
                <w:szCs w:val="20"/>
                <w:highlight w:val="none"/>
              </w:rPr>
              <w:t>★</w:t>
            </w:r>
            <w:r>
              <w:rPr>
                <w:rFonts w:hint="eastAsia" w:ascii="宋体" w:hAnsi="宋体" w:eastAsia="宋体" w:cs="Times New Roman"/>
                <w:szCs w:val="20"/>
                <w:highlight w:val="none"/>
              </w:rPr>
              <w:t>测量显示</w:t>
            </w:r>
          </w:p>
        </w:tc>
        <w:tc>
          <w:tcPr>
            <w:tcW w:w="4268" w:type="dxa"/>
          </w:tcPr>
          <w:p>
            <w:pPr>
              <w:pStyle w:val="2"/>
              <w:ind w:left="0" w:leftChars="0" w:firstLine="240" w:firstLineChars="100"/>
              <w:rPr>
                <w:rFonts w:hint="eastAsia"/>
                <w:vertAlign w:val="baseline"/>
              </w:rPr>
            </w:pPr>
            <w:r>
              <w:rPr>
                <w:rFonts w:hint="eastAsia" w:ascii="宋体" w:hAnsi="宋体" w:eastAsia="宋体" w:cs="Times New Roman"/>
                <w:szCs w:val="20"/>
                <w:highlight w:val="none"/>
              </w:rPr>
              <w:t>实时值、最大值、实时波形图、PRPD、PRPS</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default" w:eastAsia="宋体"/>
                <w:vertAlign w:val="baseline"/>
                <w:lang w:val="en-US" w:eastAsia="zh-CN"/>
              </w:rPr>
            </w:pPr>
            <w:r>
              <w:rPr>
                <w:rFonts w:hint="eastAsia"/>
                <w:vertAlign w:val="baseline"/>
                <w:lang w:val="en-US" w:eastAsia="zh-CN"/>
              </w:rPr>
              <w:t>10</w:t>
            </w:r>
          </w:p>
        </w:tc>
        <w:tc>
          <w:tcPr>
            <w:tcW w:w="2067" w:type="dxa"/>
          </w:tcPr>
          <w:p>
            <w:pPr>
              <w:pStyle w:val="2"/>
              <w:ind w:left="0" w:leftChars="0" w:firstLine="241" w:firstLineChars="100"/>
              <w:rPr>
                <w:rFonts w:hint="eastAsia"/>
                <w:vertAlign w:val="baseline"/>
              </w:rPr>
            </w:pPr>
            <w:r>
              <w:rPr>
                <w:rFonts w:hint="eastAsia" w:ascii="宋体" w:hAnsi="宋体" w:eastAsia="宋体" w:cs="Times New Roman"/>
                <w:b/>
                <w:bCs/>
                <w:szCs w:val="20"/>
                <w:highlight w:val="none"/>
              </w:rPr>
              <w:t>触发方式</w:t>
            </w:r>
          </w:p>
        </w:tc>
        <w:tc>
          <w:tcPr>
            <w:tcW w:w="4268" w:type="dxa"/>
          </w:tcPr>
          <w:p>
            <w:pPr>
              <w:pStyle w:val="2"/>
              <w:ind w:left="0" w:leftChars="0" w:firstLine="241" w:firstLineChars="100"/>
              <w:rPr>
                <w:rFonts w:hint="eastAsia"/>
                <w:vertAlign w:val="baseline"/>
              </w:rPr>
            </w:pPr>
            <w:r>
              <w:rPr>
                <w:rFonts w:hint="eastAsia" w:ascii="宋体" w:hAnsi="宋体" w:eastAsia="宋体" w:cs="Times New Roman"/>
                <w:b/>
                <w:bCs/>
                <w:szCs w:val="20"/>
                <w:highlight w:val="none"/>
              </w:rPr>
              <w:t>软件同步、无线同步</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default" w:eastAsia="宋体"/>
                <w:vertAlign w:val="baseline"/>
                <w:lang w:val="en-US" w:eastAsia="zh-CN"/>
              </w:rPr>
            </w:pPr>
            <w:r>
              <w:rPr>
                <w:rFonts w:hint="eastAsia"/>
                <w:vertAlign w:val="baseline"/>
                <w:lang w:val="en-US" w:eastAsia="zh-CN"/>
              </w:rPr>
              <w:t>11</w:t>
            </w:r>
          </w:p>
        </w:tc>
        <w:tc>
          <w:tcPr>
            <w:tcW w:w="2067" w:type="dxa"/>
          </w:tcPr>
          <w:p>
            <w:pPr>
              <w:pStyle w:val="2"/>
              <w:ind w:left="0" w:leftChars="0" w:firstLine="240" w:firstLineChars="100"/>
              <w:rPr>
                <w:rFonts w:hint="eastAsia"/>
                <w:vertAlign w:val="baseline"/>
              </w:rPr>
            </w:pPr>
            <w:r>
              <w:rPr>
                <w:rFonts w:hint="eastAsia" w:ascii="宋体" w:hAnsi="宋体" w:eastAsia="宋体" w:cs="Times New Roman"/>
                <w:szCs w:val="20"/>
                <w:highlight w:val="none"/>
              </w:rPr>
              <w:t>标签识别</w:t>
            </w:r>
          </w:p>
        </w:tc>
        <w:tc>
          <w:tcPr>
            <w:tcW w:w="4268" w:type="dxa"/>
          </w:tcPr>
          <w:p>
            <w:pPr>
              <w:pStyle w:val="2"/>
              <w:ind w:left="0" w:leftChars="0" w:firstLine="240" w:firstLineChars="100"/>
              <w:rPr>
                <w:rFonts w:hint="eastAsia"/>
                <w:vertAlign w:val="baseline"/>
              </w:rPr>
            </w:pPr>
            <w:r>
              <w:rPr>
                <w:rFonts w:hint="eastAsia" w:ascii="宋体" w:hAnsi="宋体" w:eastAsia="宋体" w:cs="Times New Roman"/>
                <w:szCs w:val="20"/>
                <w:highlight w:val="none"/>
              </w:rPr>
              <w:t>RFID、二维码</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default" w:eastAsia="宋体"/>
                <w:vertAlign w:val="baseline"/>
                <w:lang w:val="en-US" w:eastAsia="zh-CN"/>
              </w:rPr>
            </w:pPr>
            <w:r>
              <w:rPr>
                <w:rFonts w:hint="eastAsia"/>
                <w:vertAlign w:val="baseline"/>
                <w:lang w:val="en-US" w:eastAsia="zh-CN"/>
              </w:rPr>
              <w:t>12</w:t>
            </w:r>
          </w:p>
        </w:tc>
        <w:tc>
          <w:tcPr>
            <w:tcW w:w="2067" w:type="dxa"/>
          </w:tcPr>
          <w:p>
            <w:pPr>
              <w:pStyle w:val="2"/>
              <w:ind w:left="0" w:leftChars="0" w:firstLine="240" w:firstLineChars="100"/>
              <w:rPr>
                <w:rFonts w:hint="eastAsia"/>
                <w:vertAlign w:val="baseline"/>
              </w:rPr>
            </w:pPr>
            <w:r>
              <w:rPr>
                <w:rFonts w:hint="eastAsia"/>
                <w:szCs w:val="20"/>
                <w:highlight w:val="none"/>
              </w:rPr>
              <w:t>★</w:t>
            </w:r>
            <w:r>
              <w:rPr>
                <w:rFonts w:hint="eastAsia" w:ascii="宋体" w:hAnsi="宋体" w:eastAsia="宋体" w:cs="Times New Roman"/>
                <w:szCs w:val="20"/>
                <w:highlight w:val="none"/>
              </w:rPr>
              <w:t>无线连接方式</w:t>
            </w:r>
          </w:p>
        </w:tc>
        <w:tc>
          <w:tcPr>
            <w:tcW w:w="4268" w:type="dxa"/>
          </w:tcPr>
          <w:p>
            <w:pPr>
              <w:pStyle w:val="2"/>
              <w:rPr>
                <w:rFonts w:hint="eastAsia"/>
                <w:vertAlign w:val="baseline"/>
              </w:rPr>
            </w:pPr>
            <w:r>
              <w:rPr>
                <w:rFonts w:hint="eastAsia" w:ascii="宋体" w:hAnsi="宋体" w:eastAsia="宋体" w:cs="Times New Roman"/>
                <w:szCs w:val="20"/>
                <w:highlight w:val="none"/>
              </w:rPr>
              <w:t>WIFI</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default" w:eastAsia="宋体"/>
                <w:vertAlign w:val="baseline"/>
                <w:lang w:val="en-US" w:eastAsia="zh-CN"/>
              </w:rPr>
            </w:pPr>
            <w:r>
              <w:rPr>
                <w:rFonts w:hint="eastAsia"/>
                <w:vertAlign w:val="baseline"/>
                <w:lang w:val="en-US" w:eastAsia="zh-CN"/>
              </w:rPr>
              <w:t>13</w:t>
            </w:r>
          </w:p>
        </w:tc>
        <w:tc>
          <w:tcPr>
            <w:tcW w:w="2067" w:type="dxa"/>
          </w:tcPr>
          <w:p>
            <w:pPr>
              <w:pStyle w:val="2"/>
              <w:ind w:left="0" w:leftChars="0" w:firstLine="240" w:firstLineChars="100"/>
              <w:rPr>
                <w:rFonts w:hint="eastAsia"/>
                <w:vertAlign w:val="baseline"/>
              </w:rPr>
            </w:pPr>
            <w:r>
              <w:rPr>
                <w:rFonts w:hint="eastAsia" w:ascii="宋体" w:hAnsi="宋体" w:eastAsia="宋体" w:cs="Times New Roman"/>
                <w:szCs w:val="20"/>
                <w:highlight w:val="none"/>
              </w:rPr>
              <w:t>内部电池</w:t>
            </w:r>
          </w:p>
        </w:tc>
        <w:tc>
          <w:tcPr>
            <w:tcW w:w="4268" w:type="dxa"/>
          </w:tcPr>
          <w:p>
            <w:pPr>
              <w:pStyle w:val="2"/>
              <w:rPr>
                <w:rFonts w:hint="eastAsia"/>
                <w:vertAlign w:val="baseline"/>
              </w:rPr>
            </w:pPr>
            <w:r>
              <w:rPr>
                <w:rFonts w:hint="eastAsia" w:ascii="宋体" w:hAnsi="宋体" w:eastAsia="宋体" w:cs="Times New Roman"/>
                <w:szCs w:val="20"/>
                <w:highlight w:val="none"/>
              </w:rPr>
              <w:t>18650锂电池</w:t>
            </w:r>
          </w:p>
        </w:tc>
        <w:tc>
          <w:tcPr>
            <w:tcW w:w="2235"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Pr>
          <w:p>
            <w:pPr>
              <w:pStyle w:val="2"/>
              <w:rPr>
                <w:rFonts w:hint="default" w:eastAsia="宋体"/>
                <w:vertAlign w:val="baseline"/>
                <w:lang w:val="en-US" w:eastAsia="zh-CN"/>
              </w:rPr>
            </w:pPr>
            <w:r>
              <w:rPr>
                <w:rFonts w:hint="eastAsia"/>
                <w:vertAlign w:val="baseline"/>
                <w:lang w:val="en-US" w:eastAsia="zh-CN"/>
              </w:rPr>
              <w:t>14</w:t>
            </w:r>
          </w:p>
        </w:tc>
        <w:tc>
          <w:tcPr>
            <w:tcW w:w="2067" w:type="dxa"/>
          </w:tcPr>
          <w:p>
            <w:pPr>
              <w:pStyle w:val="2"/>
              <w:ind w:left="0" w:leftChars="0" w:firstLine="0" w:firstLineChars="0"/>
              <w:rPr>
                <w:rFonts w:hint="eastAsia"/>
                <w:vertAlign w:val="baseline"/>
              </w:rPr>
            </w:pPr>
            <w:r>
              <w:rPr>
                <w:rFonts w:hint="eastAsia" w:ascii="宋体" w:hAnsi="宋体" w:eastAsia="宋体" w:cs="Times New Roman"/>
                <w:szCs w:val="20"/>
                <w:highlight w:val="none"/>
              </w:rPr>
              <w:t>连续工作时间</w:t>
            </w:r>
          </w:p>
        </w:tc>
        <w:tc>
          <w:tcPr>
            <w:tcW w:w="4268" w:type="dxa"/>
          </w:tcPr>
          <w:p>
            <w:pPr>
              <w:pStyle w:val="2"/>
              <w:rPr>
                <w:rFonts w:hint="eastAsia"/>
                <w:vertAlign w:val="baseline"/>
              </w:rPr>
            </w:pPr>
            <w:r>
              <w:rPr>
                <w:rFonts w:hint="eastAsia" w:ascii="宋体" w:hAnsi="宋体" w:eastAsia="宋体" w:cs="Times New Roman"/>
                <w:szCs w:val="20"/>
                <w:highlight w:val="none"/>
              </w:rPr>
              <w:t>大于12小时</w:t>
            </w:r>
          </w:p>
        </w:tc>
        <w:tc>
          <w:tcPr>
            <w:tcW w:w="2235" w:type="dxa"/>
          </w:tcPr>
          <w:p>
            <w:pPr>
              <w:pStyle w:val="2"/>
              <w:rPr>
                <w:rFonts w:hint="eastAsia"/>
                <w:vertAlign w:val="baseline"/>
              </w:rPr>
            </w:pPr>
          </w:p>
        </w:tc>
      </w:tr>
    </w:tbl>
    <w:p>
      <w:pPr>
        <w:widowControl/>
        <w:tabs>
          <w:tab w:val="left" w:pos="420"/>
        </w:tabs>
        <w:spacing w:before="100" w:after="100" w:line="240" w:lineRule="auto"/>
        <w:ind w:left="0" w:leftChars="0" w:firstLine="0" w:firstLineChars="0"/>
        <w:jc w:val="left"/>
        <w:textAlignment w:val="baseline"/>
        <w:rPr>
          <w:rFonts w:hint="eastAsia" w:ascii="宋体" w:hAnsi="宋体"/>
          <w:b/>
          <w:sz w:val="21"/>
          <w:szCs w:val="21"/>
          <w:highlight w:val="none"/>
        </w:rPr>
      </w:pPr>
      <w:bookmarkStart w:id="32" w:name="_Toc14198"/>
    </w:p>
    <w:p>
      <w:pPr>
        <w:pStyle w:val="4"/>
        <w:bidi w:val="0"/>
        <w:rPr>
          <w:rFonts w:cs="宋体"/>
          <w:spacing w:val="1"/>
          <w:highlight w:val="none"/>
        </w:rPr>
      </w:pPr>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4"/>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4"/>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4"/>
        <w:numPr>
          <w:ilvl w:val="0"/>
          <w:numId w:val="1"/>
        </w:numPr>
        <w:bidi w:val="0"/>
        <w:rPr>
          <w:rFonts w:hint="eastAsia"/>
          <w:highlight w:val="none"/>
        </w:rPr>
      </w:pPr>
      <w:bookmarkStart w:id="35" w:name="_Toc25792"/>
      <w:r>
        <w:rPr>
          <w:rFonts w:hint="eastAsia"/>
          <w:highlight w:val="none"/>
        </w:rPr>
        <w:t>供货范围清单</w:t>
      </w:r>
      <w:bookmarkEnd w:id="35"/>
    </w:p>
    <w:p>
      <w:pPr>
        <w:spacing w:line="360" w:lineRule="auto"/>
        <w:ind w:firstLine="480" w:firstLineChars="200"/>
        <w:rPr>
          <w:rFonts w:ascii="宋体"/>
          <w:color w:val="000000"/>
          <w:szCs w:val="21"/>
          <w:highlight w:val="none"/>
        </w:rPr>
      </w:pPr>
      <w:r>
        <w:rPr>
          <w:rFonts w:hint="eastAsia" w:ascii="宋体" w:hAnsi="宋体"/>
          <w:color w:val="000000"/>
          <w:szCs w:val="21"/>
          <w:highlight w:val="none"/>
        </w:rPr>
        <w:t>每台</w:t>
      </w:r>
      <w:r>
        <w:rPr>
          <w:rFonts w:hint="eastAsia" w:ascii="宋体" w:hAnsi="宋体"/>
          <w:color w:val="000000"/>
          <w:szCs w:val="21"/>
          <w:highlight w:val="none"/>
          <w:lang w:val="en-US" w:eastAsia="zh-CN"/>
        </w:rPr>
        <w:t xml:space="preserve"> 局部放电巡检仪</w:t>
      </w:r>
      <w:r>
        <w:rPr>
          <w:rFonts w:hint="eastAsia"/>
          <w:color w:val="000000"/>
          <w:szCs w:val="21"/>
          <w:highlight w:val="none"/>
        </w:rPr>
        <w:t>的</w:t>
      </w:r>
      <w:r>
        <w:rPr>
          <w:rFonts w:hint="eastAsia" w:ascii="宋体" w:hAnsi="宋体"/>
          <w:color w:val="000000"/>
          <w:szCs w:val="21"/>
          <w:highlight w:val="none"/>
        </w:rPr>
        <w:t>供货范围包括：</w:t>
      </w:r>
    </w:p>
    <w:tbl>
      <w:tblPr>
        <w:tblStyle w:val="13"/>
        <w:tblW w:w="85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9"/>
        <w:gridCol w:w="4854"/>
        <w:gridCol w:w="250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8" w:hRule="atLeast"/>
          <w:tblHeader/>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序号</w:t>
            </w:r>
          </w:p>
        </w:tc>
        <w:tc>
          <w:tcPr>
            <w:tcW w:w="4854"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名    称</w:t>
            </w:r>
          </w:p>
        </w:tc>
        <w:tc>
          <w:tcPr>
            <w:tcW w:w="2506"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w:t>
            </w:r>
          </w:p>
        </w:tc>
        <w:tc>
          <w:tcPr>
            <w:tcW w:w="4854" w:type="dxa"/>
            <w:tcBorders>
              <w:tl2br w:val="nil"/>
              <w:tr2bl w:val="nil"/>
            </w:tcBorders>
            <w:noWrap w:val="0"/>
            <w:vAlign w:val="center"/>
          </w:tcPr>
          <w:p>
            <w:pPr>
              <w:spacing w:line="360" w:lineRule="auto"/>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巡检仪主机                                       </w:t>
            </w:r>
          </w:p>
        </w:tc>
        <w:tc>
          <w:tcPr>
            <w:tcW w:w="2506" w:type="dxa"/>
            <w:tcBorders>
              <w:tl2br w:val="nil"/>
              <w:tr2bl w:val="nil"/>
            </w:tcBorders>
            <w:noWrap w:val="0"/>
            <w:vAlign w:val="center"/>
          </w:tcPr>
          <w:p>
            <w:pPr>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2</w:t>
            </w:r>
          </w:p>
        </w:tc>
        <w:tc>
          <w:tcPr>
            <w:tcW w:w="4854" w:type="dxa"/>
            <w:tcBorders>
              <w:tl2br w:val="nil"/>
              <w:tr2bl w:val="nil"/>
            </w:tcBorders>
            <w:noWrap w:val="0"/>
            <w:vAlign w:val="center"/>
          </w:tcPr>
          <w:p>
            <w:pPr>
              <w:spacing w:line="360" w:lineRule="auto"/>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巡检仪嵌入式软件                                 </w:t>
            </w:r>
          </w:p>
        </w:tc>
        <w:tc>
          <w:tcPr>
            <w:tcW w:w="2506" w:type="dxa"/>
            <w:tcBorders>
              <w:tl2br w:val="nil"/>
              <w:tr2bl w:val="nil"/>
            </w:tcBorders>
            <w:noWrap w:val="0"/>
            <w:vAlign w:val="center"/>
          </w:tcPr>
          <w:p>
            <w:pPr>
              <w:spacing w:line="440" w:lineRule="exact"/>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3</w:t>
            </w:r>
          </w:p>
        </w:tc>
        <w:tc>
          <w:tcPr>
            <w:tcW w:w="4854" w:type="dxa"/>
            <w:tcBorders>
              <w:tl2br w:val="nil"/>
              <w:tr2bl w:val="nil"/>
            </w:tcBorders>
            <w:noWrap w:val="0"/>
            <w:vAlign w:val="center"/>
          </w:tcPr>
          <w:p>
            <w:pPr>
              <w:spacing w:line="360" w:lineRule="auto"/>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无线同步模块     </w:t>
            </w:r>
          </w:p>
        </w:tc>
        <w:tc>
          <w:tcPr>
            <w:tcW w:w="2506" w:type="dxa"/>
            <w:tcBorders>
              <w:tl2br w:val="nil"/>
              <w:tr2bl w:val="nil"/>
            </w:tcBorders>
            <w:noWrap w:val="0"/>
            <w:vAlign w:val="center"/>
          </w:tcPr>
          <w:p>
            <w:pPr>
              <w:spacing w:line="440" w:lineRule="exact"/>
              <w:jc w:val="center"/>
              <w:rPr>
                <w:rFonts w:hint="eastAsia" w:ascii="宋体" w:hAnsi="宋体" w:eastAsia="宋体" w:cs="Times New Roman"/>
                <w:color w:val="000000"/>
                <w:kern w:val="2"/>
                <w:sz w:val="24"/>
                <w:szCs w:val="21"/>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4</w:t>
            </w:r>
          </w:p>
        </w:tc>
        <w:tc>
          <w:tcPr>
            <w:tcW w:w="4854" w:type="dxa"/>
            <w:tcBorders>
              <w:tl2br w:val="nil"/>
              <w:tr2bl w:val="nil"/>
            </w:tcBorders>
            <w:noWrap w:val="0"/>
            <w:vAlign w:val="center"/>
          </w:tcPr>
          <w:p>
            <w:pPr>
              <w:spacing w:line="360" w:lineRule="auto"/>
              <w:ind w:left="0" w:leftChars="0" w:firstLine="480" w:firstLineChars="200"/>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超声局放智能传感器                               </w:t>
            </w:r>
          </w:p>
        </w:tc>
        <w:tc>
          <w:tcPr>
            <w:tcW w:w="2506" w:type="dxa"/>
            <w:tcBorders>
              <w:tl2br w:val="nil"/>
              <w:tr2bl w:val="nil"/>
            </w:tcBorders>
            <w:noWrap w:val="0"/>
            <w:vAlign w:val="center"/>
          </w:tcPr>
          <w:p>
            <w:pPr>
              <w:spacing w:line="440" w:lineRule="exact"/>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5</w:t>
            </w:r>
          </w:p>
        </w:tc>
        <w:tc>
          <w:tcPr>
            <w:tcW w:w="4854" w:type="dxa"/>
            <w:tcBorders>
              <w:tl2br w:val="nil"/>
              <w:tr2bl w:val="nil"/>
            </w:tcBorders>
            <w:noWrap w:val="0"/>
            <w:vAlign w:val="center"/>
          </w:tcPr>
          <w:p>
            <w:pPr>
              <w:spacing w:line="360" w:lineRule="auto"/>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特高频局放智能传感器                             </w:t>
            </w:r>
          </w:p>
        </w:tc>
        <w:tc>
          <w:tcPr>
            <w:tcW w:w="2506" w:type="dxa"/>
            <w:tcBorders>
              <w:tl2br w:val="nil"/>
              <w:tr2bl w:val="nil"/>
            </w:tcBorders>
            <w:noWrap w:val="0"/>
            <w:vAlign w:val="center"/>
          </w:tcPr>
          <w:p>
            <w:pPr>
              <w:spacing w:line="440" w:lineRule="exact"/>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6</w:t>
            </w:r>
          </w:p>
        </w:tc>
        <w:tc>
          <w:tcPr>
            <w:tcW w:w="4854" w:type="dxa"/>
            <w:tcBorders>
              <w:tl2br w:val="nil"/>
              <w:tr2bl w:val="nil"/>
            </w:tcBorders>
            <w:noWrap w:val="0"/>
            <w:vAlign w:val="center"/>
          </w:tcPr>
          <w:p>
            <w:pPr>
              <w:spacing w:line="360" w:lineRule="auto"/>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开关柜复合智能传感器                             </w:t>
            </w:r>
          </w:p>
        </w:tc>
        <w:tc>
          <w:tcPr>
            <w:tcW w:w="2506" w:type="dxa"/>
            <w:tcBorders>
              <w:tl2br w:val="nil"/>
              <w:tr2bl w:val="nil"/>
            </w:tcBorders>
            <w:noWrap w:val="0"/>
            <w:vAlign w:val="center"/>
          </w:tcPr>
          <w:p>
            <w:pPr>
              <w:spacing w:line="440" w:lineRule="exact"/>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7</w:t>
            </w:r>
          </w:p>
        </w:tc>
        <w:tc>
          <w:tcPr>
            <w:tcW w:w="4854" w:type="dxa"/>
            <w:tcBorders>
              <w:tl2br w:val="nil"/>
              <w:tr2bl w:val="nil"/>
            </w:tcBorders>
            <w:noWrap w:val="0"/>
            <w:vAlign w:val="center"/>
          </w:tcPr>
          <w:p>
            <w:pPr>
              <w:spacing w:line="360" w:lineRule="auto"/>
              <w:jc w:val="left"/>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高频电流局放智能传感器  </w:t>
            </w:r>
          </w:p>
        </w:tc>
        <w:tc>
          <w:tcPr>
            <w:tcW w:w="2506" w:type="dxa"/>
            <w:tcBorders>
              <w:tl2br w:val="nil"/>
              <w:tr2bl w:val="nil"/>
            </w:tcBorders>
            <w:noWrap w:val="0"/>
            <w:vAlign w:val="center"/>
          </w:tcPr>
          <w:p>
            <w:pPr>
              <w:spacing w:line="440" w:lineRule="exact"/>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3" w:hRule="atLeast"/>
          <w:jc w:val="center"/>
        </w:trPr>
        <w:tc>
          <w:tcPr>
            <w:tcW w:w="1239" w:type="dxa"/>
            <w:tcBorders>
              <w:tl2br w:val="nil"/>
              <w:tr2bl w:val="nil"/>
            </w:tcBorders>
            <w:noWrap w:val="0"/>
            <w:vAlign w:val="center"/>
          </w:tcPr>
          <w:p>
            <w:pPr>
              <w:pStyle w:val="6"/>
              <w:jc w:val="center"/>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8</w:t>
            </w:r>
          </w:p>
        </w:tc>
        <w:tc>
          <w:tcPr>
            <w:tcW w:w="4854" w:type="dxa"/>
            <w:tcBorders>
              <w:tl2br w:val="nil"/>
              <w:tr2bl w:val="nil"/>
            </w:tcBorders>
            <w:noWrap w:val="0"/>
            <w:vAlign w:val="center"/>
          </w:tcPr>
          <w:p>
            <w:pPr>
              <w:spacing w:line="360" w:lineRule="auto"/>
              <w:jc w:val="left"/>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 xml:space="preserve">防护箱                                           </w:t>
            </w:r>
          </w:p>
        </w:tc>
        <w:tc>
          <w:tcPr>
            <w:tcW w:w="2506" w:type="dxa"/>
            <w:tcBorders>
              <w:tl2br w:val="nil"/>
              <w:tr2bl w:val="nil"/>
            </w:tcBorders>
            <w:noWrap w:val="0"/>
            <w:vAlign w:val="center"/>
          </w:tcPr>
          <w:p>
            <w:pPr>
              <w:tabs>
                <w:tab w:val="left" w:pos="1069"/>
              </w:tabs>
              <w:ind w:left="410" w:leftChars="0" w:firstLine="720" w:firstLineChars="300"/>
              <w:jc w:val="left"/>
              <w:rPr>
                <w:rFonts w:hint="eastAsia" w:ascii="宋体" w:hAnsi="宋体" w:eastAsia="宋体" w:cs="Times New Roman"/>
                <w:color w:val="000000"/>
                <w:kern w:val="2"/>
                <w:sz w:val="24"/>
                <w:szCs w:val="21"/>
                <w:highlight w:val="none"/>
                <w:lang w:val="en-US" w:eastAsia="zh-CN" w:bidi="ar-SA"/>
              </w:rPr>
            </w:pPr>
            <w:r>
              <w:rPr>
                <w:rFonts w:hint="eastAsia" w:ascii="宋体" w:hAnsi="宋体" w:eastAsia="宋体" w:cs="Times New Roman"/>
                <w:color w:val="000000"/>
                <w:kern w:val="2"/>
                <w:sz w:val="24"/>
                <w:szCs w:val="21"/>
                <w:highlight w:val="none"/>
                <w:lang w:val="en-US" w:eastAsia="zh-CN" w:bidi="ar-SA"/>
              </w:rPr>
              <w:t>1套</w:t>
            </w:r>
          </w:p>
        </w:tc>
      </w:tr>
    </w:tbl>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4"/>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4"/>
        <w:bidi w:val="0"/>
        <w:rPr>
          <w:highlight w:val="none"/>
        </w:rPr>
      </w:pPr>
      <w:bookmarkStart w:id="38" w:name="_Toc10126"/>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4"/>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EAE7A6"/>
    <w:multiLevelType w:val="singleLevel"/>
    <w:tmpl w:val="DAEAE7A6"/>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5D618F7"/>
    <w:rsid w:val="07B66435"/>
    <w:rsid w:val="07E06245"/>
    <w:rsid w:val="0BAB653E"/>
    <w:rsid w:val="0D344206"/>
    <w:rsid w:val="0EA101F8"/>
    <w:rsid w:val="11624E20"/>
    <w:rsid w:val="13066AFF"/>
    <w:rsid w:val="16406CB6"/>
    <w:rsid w:val="17486E4C"/>
    <w:rsid w:val="19277699"/>
    <w:rsid w:val="1C79220A"/>
    <w:rsid w:val="1C8772B6"/>
    <w:rsid w:val="1D3614FA"/>
    <w:rsid w:val="1FA263E4"/>
    <w:rsid w:val="1FC538E2"/>
    <w:rsid w:val="22703D10"/>
    <w:rsid w:val="23B96AFD"/>
    <w:rsid w:val="273F6164"/>
    <w:rsid w:val="27E502D5"/>
    <w:rsid w:val="29464C18"/>
    <w:rsid w:val="2B2A0492"/>
    <w:rsid w:val="2C3F36A7"/>
    <w:rsid w:val="2EAE6CA3"/>
    <w:rsid w:val="30427C69"/>
    <w:rsid w:val="33342978"/>
    <w:rsid w:val="33C00172"/>
    <w:rsid w:val="34234DD5"/>
    <w:rsid w:val="34DB0F5E"/>
    <w:rsid w:val="366559E4"/>
    <w:rsid w:val="367B35A2"/>
    <w:rsid w:val="3988303A"/>
    <w:rsid w:val="3CBB7678"/>
    <w:rsid w:val="3F3F3186"/>
    <w:rsid w:val="41F6735B"/>
    <w:rsid w:val="47874069"/>
    <w:rsid w:val="47B84838"/>
    <w:rsid w:val="48CC7BFD"/>
    <w:rsid w:val="49244D8F"/>
    <w:rsid w:val="49793721"/>
    <w:rsid w:val="56BA2608"/>
    <w:rsid w:val="58B95CBA"/>
    <w:rsid w:val="596D67DA"/>
    <w:rsid w:val="5A44578C"/>
    <w:rsid w:val="5E375A3D"/>
    <w:rsid w:val="5E60690D"/>
    <w:rsid w:val="5EC33DB0"/>
    <w:rsid w:val="5F471779"/>
    <w:rsid w:val="60EC26DA"/>
    <w:rsid w:val="6268037D"/>
    <w:rsid w:val="62740596"/>
    <w:rsid w:val="62CD7EA4"/>
    <w:rsid w:val="65974683"/>
    <w:rsid w:val="70CA591E"/>
    <w:rsid w:val="76211CFF"/>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4780</Words>
  <Characters>5114</Characters>
  <Lines>30</Lines>
  <Paragraphs>8</Paragraphs>
  <TotalTime>7</TotalTime>
  <ScaleCrop>false</ScaleCrop>
  <LinksUpToDate>false</LinksUpToDate>
  <CharactersWithSpaces>5430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