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val="0"/>
        <w:snapToGrid w:val="0"/>
        <w:spacing w:line="480" w:lineRule="auto"/>
        <w:jc w:val="center"/>
        <w:rPr>
          <w:rFonts w:hint="eastAsia" w:ascii="宋体" w:hAnsi="宋体" w:eastAsia="宋体" w:cs="宋体"/>
          <w:b/>
          <w:bCs w:val="0"/>
          <w:color w:val="auto"/>
          <w:sz w:val="28"/>
          <w:szCs w:val="28"/>
        </w:rPr>
      </w:pPr>
      <w:r>
        <w:rPr>
          <w:rFonts w:hint="eastAsia" w:ascii="宋体" w:hAnsi="宋体" w:eastAsia="宋体" w:cs="宋体"/>
          <w:b/>
          <w:bCs w:val="0"/>
          <w:color w:val="auto"/>
          <w:sz w:val="28"/>
          <w:szCs w:val="28"/>
        </w:rPr>
        <w:t>采购</w:t>
      </w:r>
      <w:r>
        <w:rPr>
          <w:rFonts w:hint="eastAsia" w:ascii="宋体" w:hAnsi="宋体" w:eastAsia="宋体" w:cs="宋体"/>
          <w:b/>
          <w:bCs w:val="0"/>
          <w:color w:val="auto"/>
          <w:sz w:val="28"/>
          <w:szCs w:val="28"/>
          <w:lang w:eastAsia="zh-CN"/>
        </w:rPr>
        <w:t>服务</w:t>
      </w:r>
      <w:r>
        <w:rPr>
          <w:rFonts w:hint="eastAsia" w:ascii="宋体" w:hAnsi="宋体" w:eastAsia="宋体" w:cs="宋体"/>
          <w:b/>
          <w:bCs w:val="0"/>
          <w:color w:val="auto"/>
          <w:sz w:val="28"/>
          <w:szCs w:val="28"/>
        </w:rPr>
        <w:t>需求说明</w:t>
      </w:r>
    </w:p>
    <w:p>
      <w:pPr>
        <w:pStyle w:val="5"/>
        <w:keepNext w:val="0"/>
        <w:keepLines w:val="0"/>
        <w:pageBreakBefore w:val="0"/>
        <w:widowControl/>
        <w:kinsoku/>
        <w:wordWrap/>
        <w:overflowPunct/>
        <w:topLinePunct w:val="0"/>
        <w:autoSpaceDE/>
        <w:autoSpaceDN/>
        <w:bidi w:val="0"/>
        <w:adjustRightInd w:val="0"/>
        <w:snapToGrid w:val="0"/>
        <w:spacing w:before="157" w:beforeLines="50" w:line="480" w:lineRule="auto"/>
        <w:ind w:left="0" w:leftChars="0" w:right="110" w:rightChars="50" w:firstLine="480" w:firstLineChars="200"/>
        <w:rPr>
          <w:rFonts w:hint="eastAsia" w:ascii="宋体" w:hAnsi="宋体" w:eastAsia="宋体" w:cs="宋体"/>
          <w:b w:val="0"/>
          <w:bCs/>
          <w:color w:val="auto"/>
          <w:sz w:val="24"/>
          <w:szCs w:val="24"/>
          <w:highlight w:val="none"/>
          <w:lang w:eastAsia="zh-CN"/>
        </w:rPr>
      </w:pPr>
      <w:bookmarkStart w:id="0" w:name="OLE_LINK1"/>
      <w:r>
        <w:rPr>
          <w:rFonts w:hint="eastAsia" w:ascii="宋体" w:hAnsi="宋体" w:eastAsia="宋体" w:cs="宋体"/>
          <w:b w:val="0"/>
          <w:bCs/>
          <w:color w:val="auto"/>
          <w:sz w:val="24"/>
          <w:szCs w:val="24"/>
          <w:highlight w:val="none"/>
          <w:lang w:eastAsia="zh-CN"/>
        </w:rPr>
        <w:t>因生产作业的增加，工器具及仪器仪表的使用频率日益扩大，在项目施工中，部分工器具及仪器仪表因长时间使用会出现不同程度的故障和精确度出现偏差，为了保障公司生产作业的顺利进行和测量数据的准确性，</w:t>
      </w:r>
      <w:r>
        <w:rPr>
          <w:rFonts w:hint="eastAsia" w:ascii="宋体" w:hAnsi="宋体" w:eastAsia="宋体" w:cs="宋体"/>
          <w:b w:val="0"/>
          <w:bCs/>
          <w:color w:val="auto"/>
          <w:sz w:val="24"/>
          <w:szCs w:val="24"/>
          <w:highlight w:val="none"/>
          <w:lang w:val="en-US" w:eastAsia="zh-CN"/>
        </w:rPr>
        <w:t>拟采购一家供应商提供生产工器具及仪器仪表保养保养维护、修理服务工作。</w:t>
      </w:r>
      <w:bookmarkStart w:id="1" w:name="OLE_LINK4"/>
      <w:r>
        <w:rPr>
          <w:rFonts w:hint="eastAsia" w:ascii="宋体" w:hAnsi="宋体" w:eastAsia="宋体" w:cs="宋体"/>
          <w:b w:val="0"/>
          <w:bCs/>
          <w:color w:val="auto"/>
          <w:sz w:val="24"/>
          <w:szCs w:val="24"/>
          <w:highlight w:val="none"/>
          <w:lang w:val="en-US" w:eastAsia="zh-CN"/>
        </w:rPr>
        <w:t>本次</w:t>
      </w:r>
      <w:r>
        <w:rPr>
          <w:rFonts w:hint="eastAsia" w:ascii="宋体" w:hAnsi="宋体" w:eastAsia="宋体" w:cs="宋体"/>
          <w:b w:val="0"/>
          <w:bCs/>
          <w:color w:val="auto"/>
          <w:sz w:val="24"/>
          <w:szCs w:val="24"/>
          <w:highlight w:val="none"/>
          <w:lang w:eastAsia="zh-CN"/>
        </w:rPr>
        <w:t>项目为框架采购项目，</w:t>
      </w:r>
      <w:r>
        <w:rPr>
          <w:rFonts w:hint="eastAsia" w:ascii="宋体" w:hAnsi="宋体" w:eastAsia="宋体" w:cs="宋体"/>
          <w:b w:val="0"/>
          <w:bCs/>
          <w:color w:val="auto"/>
          <w:sz w:val="24"/>
          <w:szCs w:val="24"/>
          <w:highlight w:val="none"/>
          <w:lang w:val="en-US" w:eastAsia="zh-CN"/>
        </w:rPr>
        <w:t>服务内容及预估数量</w:t>
      </w:r>
      <w:r>
        <w:rPr>
          <w:rFonts w:hint="eastAsia" w:ascii="宋体" w:hAnsi="宋体" w:eastAsia="宋体" w:cs="宋体"/>
          <w:b w:val="0"/>
          <w:bCs/>
          <w:color w:val="auto"/>
          <w:sz w:val="24"/>
          <w:szCs w:val="24"/>
          <w:highlight w:val="none"/>
          <w:lang w:eastAsia="zh-CN"/>
        </w:rPr>
        <w:t>根据采购方</w:t>
      </w:r>
      <w:r>
        <w:rPr>
          <w:rFonts w:hint="eastAsia" w:ascii="宋体" w:hAnsi="宋体" w:eastAsia="宋体" w:cs="宋体"/>
          <w:b w:val="0"/>
          <w:bCs/>
          <w:color w:val="auto"/>
          <w:sz w:val="24"/>
          <w:szCs w:val="24"/>
          <w:highlight w:val="none"/>
          <w:lang w:val="en-US" w:eastAsia="zh-CN"/>
        </w:rPr>
        <w:t>生产工器具及仪器仪表情况</w:t>
      </w:r>
      <w:r>
        <w:rPr>
          <w:rFonts w:hint="eastAsia" w:ascii="宋体" w:hAnsi="宋体" w:eastAsia="宋体" w:cs="宋体"/>
          <w:b w:val="0"/>
          <w:bCs/>
          <w:color w:val="auto"/>
          <w:sz w:val="24"/>
          <w:szCs w:val="24"/>
          <w:highlight w:val="none"/>
          <w:lang w:eastAsia="zh-CN"/>
        </w:rPr>
        <w:t>需求</w:t>
      </w:r>
      <w:r>
        <w:rPr>
          <w:rFonts w:hint="eastAsia" w:ascii="宋体" w:hAnsi="宋体" w:eastAsia="宋体" w:cs="宋体"/>
          <w:b w:val="0"/>
          <w:bCs/>
          <w:color w:val="auto"/>
          <w:sz w:val="24"/>
          <w:szCs w:val="24"/>
          <w:highlight w:val="none"/>
          <w:lang w:val="en-US" w:eastAsia="zh-CN"/>
        </w:rPr>
        <w:t>确定</w:t>
      </w:r>
      <w:r>
        <w:rPr>
          <w:rFonts w:hint="eastAsia" w:ascii="宋体" w:hAnsi="宋体" w:eastAsia="宋体" w:cs="宋体"/>
          <w:b w:val="0"/>
          <w:bCs/>
          <w:color w:val="auto"/>
          <w:sz w:val="24"/>
          <w:szCs w:val="24"/>
          <w:highlight w:val="none"/>
          <w:lang w:eastAsia="zh-CN"/>
        </w:rPr>
        <w:t>，最终根据实际发生据实结算。</w:t>
      </w:r>
    </w:p>
    <w:bookmarkEnd w:id="0"/>
    <w:bookmarkEnd w:id="1"/>
    <w:p>
      <w:pPr>
        <w:pStyle w:val="5"/>
        <w:keepNext w:val="0"/>
        <w:keepLines w:val="0"/>
        <w:pageBreakBefore w:val="0"/>
        <w:widowControl/>
        <w:kinsoku/>
        <w:wordWrap/>
        <w:overflowPunct/>
        <w:topLinePunct w:val="0"/>
        <w:autoSpaceDE/>
        <w:autoSpaceDN/>
        <w:bidi w:val="0"/>
        <w:adjustRightInd w:val="0"/>
        <w:snapToGrid w:val="0"/>
        <w:spacing w:before="157" w:beforeLines="50" w:line="480" w:lineRule="auto"/>
        <w:ind w:left="110" w:leftChars="50" w:right="110" w:rightChars="50"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报价人提供报价时，费用需包含：</w:t>
      </w:r>
      <w:r>
        <w:rPr>
          <w:rFonts w:hint="eastAsia" w:ascii="宋体" w:hAnsi="宋体" w:eastAsia="宋体" w:cs="宋体"/>
          <w:b w:val="0"/>
          <w:bCs/>
          <w:color w:val="auto"/>
          <w:sz w:val="24"/>
          <w:szCs w:val="24"/>
          <w:highlight w:val="none"/>
          <w:lang w:val="en-US" w:eastAsia="zh-CN"/>
        </w:rPr>
        <w:t>工器具及仪器仪表保养维护、修理费、快递</w:t>
      </w:r>
      <w:r>
        <w:rPr>
          <w:rFonts w:hint="eastAsia" w:ascii="宋体" w:hAnsi="宋体" w:eastAsia="宋体" w:cs="宋体"/>
          <w:b w:val="0"/>
          <w:bCs/>
          <w:color w:val="auto"/>
          <w:sz w:val="24"/>
          <w:szCs w:val="24"/>
          <w:highlight w:val="none"/>
          <w:lang w:eastAsia="zh-CN"/>
        </w:rPr>
        <w:t>托寄费</w:t>
      </w:r>
      <w:r>
        <w:rPr>
          <w:rFonts w:hint="eastAsia" w:ascii="宋体" w:hAnsi="宋体" w:eastAsia="宋体" w:cs="宋体"/>
          <w:b/>
          <w:bCs w:val="0"/>
          <w:color w:val="auto"/>
          <w:sz w:val="24"/>
          <w:szCs w:val="24"/>
          <w:highlight w:val="none"/>
          <w:lang w:eastAsia="zh-CN"/>
        </w:rPr>
        <w:t>（包含来回邮寄费）</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eastAsia="zh-CN"/>
        </w:rPr>
        <w:t>税</w:t>
      </w:r>
      <w:r>
        <w:rPr>
          <w:rFonts w:hint="eastAsia" w:ascii="宋体" w:hAnsi="宋体" w:eastAsia="宋体" w:cs="宋体"/>
          <w:b w:val="0"/>
          <w:bCs/>
          <w:color w:val="auto"/>
          <w:sz w:val="24"/>
          <w:szCs w:val="24"/>
          <w:highlight w:val="none"/>
          <w:lang w:val="en-US" w:eastAsia="zh-CN"/>
        </w:rPr>
        <w:t>费</w:t>
      </w:r>
      <w:r>
        <w:rPr>
          <w:rFonts w:hint="eastAsia" w:ascii="宋体" w:hAnsi="宋体" w:eastAsia="宋体" w:cs="宋体"/>
          <w:b w:val="0"/>
          <w:bCs/>
          <w:color w:val="auto"/>
          <w:sz w:val="24"/>
          <w:szCs w:val="24"/>
          <w:highlight w:val="none"/>
          <w:lang w:eastAsia="zh-CN"/>
        </w:rPr>
        <w:t>等完成该项工作所需的全部费用，除此之外，采购方不再单独支付其它费用。</w:t>
      </w:r>
    </w:p>
    <w:p>
      <w:pPr>
        <w:pStyle w:val="5"/>
        <w:keepNext w:val="0"/>
        <w:keepLines w:val="0"/>
        <w:pageBreakBefore w:val="0"/>
        <w:widowControl/>
        <w:kinsoku/>
        <w:wordWrap/>
        <w:overflowPunct/>
        <w:topLinePunct w:val="0"/>
        <w:autoSpaceDE/>
        <w:autoSpaceDN/>
        <w:bidi w:val="0"/>
        <w:adjustRightInd w:val="0"/>
        <w:snapToGrid w:val="0"/>
        <w:spacing w:before="157" w:beforeLines="50" w:line="480" w:lineRule="auto"/>
        <w:ind w:left="110" w:leftChars="50" w:right="110" w:rightChars="50" w:firstLine="480" w:firstLineChars="200"/>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报价方取件地址：昆明市西山区丽苑路313号，如地址变更，按照采购方实际委托为准。</w:t>
      </w:r>
    </w:p>
    <w:p>
      <w:pPr>
        <w:pStyle w:val="5"/>
        <w:keepNext w:val="0"/>
        <w:keepLines w:val="0"/>
        <w:pageBreakBefore w:val="0"/>
        <w:widowControl/>
        <w:kinsoku/>
        <w:wordWrap/>
        <w:overflowPunct/>
        <w:topLinePunct w:val="0"/>
        <w:autoSpaceDE/>
        <w:autoSpaceDN/>
        <w:bidi w:val="0"/>
        <w:adjustRightInd w:val="0"/>
        <w:snapToGrid w:val="0"/>
        <w:spacing w:before="157" w:beforeLines="50" w:line="480" w:lineRule="auto"/>
        <w:ind w:left="110" w:leftChars="50" w:right="110" w:rightChars="50" w:firstLine="480" w:firstLineChars="200"/>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服务数量：总共约150台仪器仪表服务，实际数量以使用过程中仪器仪表状态为准，</w:t>
      </w:r>
      <w:r>
        <w:rPr>
          <w:rFonts w:hint="eastAsia" w:ascii="宋体" w:hAnsi="宋体" w:eastAsia="宋体" w:cs="宋体"/>
          <w:b w:val="0"/>
          <w:bCs/>
          <w:color w:val="auto"/>
          <w:sz w:val="24"/>
          <w:szCs w:val="24"/>
          <w:highlight w:val="none"/>
          <w:lang w:eastAsia="zh-CN"/>
        </w:rPr>
        <w:t>采购方不保证预估数量的准确性</w:t>
      </w:r>
      <w:r>
        <w:rPr>
          <w:rFonts w:hint="eastAsia" w:ascii="宋体" w:hAnsi="宋体" w:eastAsia="宋体" w:cs="宋体"/>
          <w:b w:val="0"/>
          <w:bCs/>
          <w:color w:val="auto"/>
          <w:sz w:val="24"/>
          <w:szCs w:val="24"/>
          <w:highlight w:val="none"/>
          <w:lang w:val="en-US" w:eastAsia="zh-CN"/>
        </w:rPr>
        <w:t>。</w:t>
      </w:r>
    </w:p>
    <w:p>
      <w:pPr>
        <w:pStyle w:val="5"/>
        <w:keepNext w:val="0"/>
        <w:keepLines w:val="0"/>
        <w:pageBreakBefore w:val="0"/>
        <w:widowControl/>
        <w:kinsoku/>
        <w:wordWrap/>
        <w:overflowPunct/>
        <w:topLinePunct w:val="0"/>
        <w:autoSpaceDE/>
        <w:autoSpaceDN/>
        <w:bidi w:val="0"/>
        <w:adjustRightInd w:val="0"/>
        <w:snapToGrid w:val="0"/>
        <w:spacing w:before="157" w:beforeLines="50" w:line="480" w:lineRule="auto"/>
        <w:ind w:left="0" w:leftChars="0" w:right="110" w:rightChars="50" w:firstLine="480" w:firstLineChars="200"/>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技术服务质量标准:符合国家标准及行业标准。</w:t>
      </w:r>
    </w:p>
    <w:p>
      <w:pPr>
        <w:keepNext w:val="0"/>
        <w:keepLines w:val="0"/>
        <w:pageBreakBefore w:val="0"/>
        <w:widowControl/>
        <w:kinsoku/>
        <w:wordWrap/>
        <w:overflowPunct/>
        <w:topLinePunct w:val="0"/>
        <w:autoSpaceDE/>
        <w:autoSpaceDN/>
        <w:bidi w:val="0"/>
        <w:adjustRightInd w:val="0"/>
        <w:snapToGrid w:val="0"/>
        <w:spacing w:before="157" w:beforeLines="50" w:line="480" w:lineRule="auto"/>
        <w:ind w:right="110" w:rightChars="50" w:firstLine="480" w:firstLineChars="200"/>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服务期限：</w:t>
      </w:r>
      <w:bookmarkStart w:id="2" w:name="OLE_LINK3"/>
      <w:r>
        <w:rPr>
          <w:rFonts w:hint="eastAsia" w:ascii="宋体" w:hAnsi="宋体" w:eastAsia="宋体" w:cs="宋体"/>
          <w:b w:val="0"/>
          <w:bCs/>
          <w:color w:val="auto"/>
          <w:sz w:val="24"/>
          <w:szCs w:val="24"/>
          <w:highlight w:val="none"/>
          <w:lang w:val="en-US" w:eastAsia="zh-CN"/>
        </w:rPr>
        <w:t>自合同签订之日起1年止</w:t>
      </w:r>
      <w:bookmarkEnd w:id="2"/>
      <w:r>
        <w:rPr>
          <w:rFonts w:hint="eastAsia" w:ascii="宋体" w:hAnsi="宋体" w:eastAsia="宋体" w:cs="宋体"/>
          <w:b w:val="0"/>
          <w:bCs/>
          <w:color w:val="auto"/>
          <w:sz w:val="24"/>
          <w:szCs w:val="24"/>
          <w:highlight w:val="none"/>
          <w:lang w:val="en-US" w:eastAsia="zh-CN"/>
        </w:rPr>
        <w:t>。</w:t>
      </w:r>
    </w:p>
    <w:p>
      <w:pPr>
        <w:pStyle w:val="2"/>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验收标准：成交供应商更换部件必须与采购方委托要求品牌原厂部件一致，设备部件保修期与部件生产商提供的保修期相同，维修保养后采购方生产工器具及仪器仪表保持良好状态，满足甲方生产作业需求。</w:t>
      </w:r>
    </w:p>
    <w:p>
      <w:pPr>
        <w:pStyle w:val="5"/>
        <w:keepNext w:val="0"/>
        <w:keepLines w:val="0"/>
        <w:pageBreakBefore w:val="0"/>
        <w:widowControl/>
        <w:kinsoku/>
        <w:wordWrap/>
        <w:overflowPunct/>
        <w:topLinePunct w:val="0"/>
        <w:autoSpaceDE/>
        <w:autoSpaceDN/>
        <w:bidi w:val="0"/>
        <w:adjustRightInd w:val="0"/>
        <w:snapToGrid w:val="0"/>
        <w:spacing w:before="157" w:beforeLines="50" w:line="480" w:lineRule="auto"/>
        <w:ind w:left="110" w:leftChars="50" w:right="110" w:rightChars="50"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结算方式：按照季度进行结算支付。每季度末委托期届满时，双方</w:t>
      </w:r>
      <w:r>
        <w:rPr>
          <w:rFonts w:hint="eastAsia" w:ascii="宋体" w:hAnsi="宋体" w:eastAsia="宋体" w:cs="宋体"/>
          <w:b w:val="0"/>
          <w:bCs/>
          <w:color w:val="auto"/>
          <w:sz w:val="24"/>
          <w:szCs w:val="24"/>
          <w:highlight w:val="none"/>
          <w:lang w:val="en-US" w:eastAsia="zh-CN"/>
        </w:rPr>
        <w:t>以每个季度实际发生保养、维修设备确认单作为依据进行季度结算并支付。</w:t>
      </w:r>
    </w:p>
    <w:p>
      <w:pPr>
        <w:pStyle w:val="5"/>
        <w:keepNext w:val="0"/>
        <w:keepLines w:val="0"/>
        <w:pageBreakBefore w:val="0"/>
        <w:widowControl/>
        <w:kinsoku/>
        <w:wordWrap/>
        <w:overflowPunct/>
        <w:topLinePunct w:val="0"/>
        <w:autoSpaceDE/>
        <w:autoSpaceDN/>
        <w:bidi w:val="0"/>
        <w:adjustRightInd w:val="0"/>
        <w:snapToGrid w:val="0"/>
        <w:spacing w:line="480" w:lineRule="auto"/>
        <w:ind w:left="110" w:leftChars="50" w:right="110" w:rightChars="50" w:firstLine="480" w:firstLineChars="200"/>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考核方式：采购方将对报价方服务质量进行评价，服务过程采购方有项目相关问题，报价方应派服务人员解决问题，若报价方未按采购方要求的时间和质量问题进行整改处理的，采购方将不予支付费用，给采购方带来损失的，报价方须按合同约定进行赔偿。</w:t>
      </w:r>
    </w:p>
    <w:p>
      <w:pPr>
        <w:pStyle w:val="5"/>
        <w:keepNext w:val="0"/>
        <w:keepLines w:val="0"/>
        <w:pageBreakBefore w:val="0"/>
        <w:widowControl/>
        <w:kinsoku/>
        <w:wordWrap/>
        <w:overflowPunct/>
        <w:topLinePunct w:val="0"/>
        <w:autoSpaceDE/>
        <w:autoSpaceDN/>
        <w:bidi w:val="0"/>
        <w:adjustRightInd w:val="0"/>
        <w:snapToGrid w:val="0"/>
        <w:spacing w:line="480" w:lineRule="auto"/>
        <w:ind w:left="110" w:leftChars="50" w:right="110" w:rightChars="50" w:firstLine="480" w:firstLineChars="200"/>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报价方式：报价人按照单项最高限价进行下浮率报价。报价方需开具符合国家税务要求及采购方财务要求的发票。</w:t>
      </w:r>
    </w:p>
    <w:p>
      <w:pPr>
        <w:spacing w:before="169" w:line="225" w:lineRule="auto"/>
        <w:ind w:left="125"/>
        <w:jc w:val="center"/>
        <w:rPr>
          <w:rFonts w:hint="eastAsia" w:ascii="宋体" w:hAnsi="宋体" w:eastAsia="宋体" w:cs="宋体"/>
          <w:b/>
          <w:bCs/>
          <w:color w:val="auto"/>
          <w:sz w:val="24"/>
          <w:szCs w:val="24"/>
          <w:lang w:eastAsia="zh-CN"/>
        </w:rPr>
      </w:pPr>
      <w:r>
        <w:rPr>
          <w:rFonts w:hint="eastAsia" w:ascii="宋体" w:hAnsi="宋体" w:eastAsia="宋体" w:cs="宋体"/>
          <w:b/>
          <w:bCs/>
          <w:color w:val="auto"/>
          <w:spacing w:val="7"/>
          <w:sz w:val="24"/>
          <w:szCs w:val="24"/>
        </w:rPr>
        <w:t>报价</w:t>
      </w:r>
      <w:r>
        <w:rPr>
          <w:rFonts w:hint="eastAsia" w:ascii="宋体" w:hAnsi="宋体" w:eastAsia="宋体" w:cs="宋体"/>
          <w:b/>
          <w:bCs/>
          <w:color w:val="auto"/>
          <w:spacing w:val="7"/>
          <w:sz w:val="24"/>
          <w:szCs w:val="24"/>
          <w:lang w:eastAsia="zh-CN"/>
        </w:rPr>
        <w:t>格式</w:t>
      </w:r>
    </w:p>
    <w:tbl>
      <w:tblPr>
        <w:tblStyle w:val="8"/>
        <w:tblW w:w="887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28"/>
        <w:gridCol w:w="3238"/>
        <w:gridCol w:w="2693"/>
        <w:gridCol w:w="192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jc w:val="center"/>
        </w:trPr>
        <w:tc>
          <w:tcPr>
            <w:tcW w:w="1028" w:type="dxa"/>
            <w:noWrap w:val="0"/>
            <w:vAlign w:val="center"/>
          </w:tcPr>
          <w:p>
            <w:pPr>
              <w:spacing w:before="119" w:line="225" w:lineRule="auto"/>
              <w:ind w:left="279"/>
              <w:rPr>
                <w:rFonts w:hint="eastAsia" w:ascii="宋体" w:hAnsi="宋体" w:eastAsia="宋体" w:cs="宋体"/>
                <w:color w:val="auto"/>
                <w:sz w:val="24"/>
                <w:szCs w:val="24"/>
              </w:rPr>
            </w:pPr>
            <w:r>
              <w:rPr>
                <w:rFonts w:hint="eastAsia" w:ascii="宋体" w:hAnsi="宋体" w:eastAsia="宋体" w:cs="宋体"/>
                <w:color w:val="auto"/>
                <w:spacing w:val="6"/>
                <w:sz w:val="24"/>
                <w:szCs w:val="24"/>
              </w:rPr>
              <w:t>序号</w:t>
            </w:r>
          </w:p>
        </w:tc>
        <w:tc>
          <w:tcPr>
            <w:tcW w:w="3238" w:type="dxa"/>
            <w:noWrap w:val="0"/>
            <w:vAlign w:val="center"/>
          </w:tcPr>
          <w:p>
            <w:pPr>
              <w:spacing w:before="119" w:line="225" w:lineRule="auto"/>
              <w:ind w:left="1151"/>
              <w:rPr>
                <w:rFonts w:hint="eastAsia" w:ascii="宋体" w:hAnsi="宋体" w:eastAsia="宋体" w:cs="宋体"/>
                <w:color w:val="auto"/>
                <w:sz w:val="24"/>
                <w:szCs w:val="24"/>
              </w:rPr>
            </w:pPr>
            <w:r>
              <w:rPr>
                <w:rFonts w:hint="eastAsia" w:ascii="宋体" w:hAnsi="宋体" w:eastAsia="宋体" w:cs="宋体"/>
                <w:color w:val="auto"/>
                <w:spacing w:val="6"/>
                <w:sz w:val="24"/>
                <w:szCs w:val="24"/>
              </w:rPr>
              <w:t>报价内</w:t>
            </w:r>
            <w:r>
              <w:rPr>
                <w:rFonts w:hint="eastAsia" w:ascii="宋体" w:hAnsi="宋体" w:eastAsia="宋体" w:cs="宋体"/>
                <w:color w:val="auto"/>
                <w:spacing w:val="5"/>
                <w:sz w:val="24"/>
                <w:szCs w:val="24"/>
              </w:rPr>
              <w:t>容</w:t>
            </w:r>
          </w:p>
        </w:tc>
        <w:tc>
          <w:tcPr>
            <w:tcW w:w="2693" w:type="dxa"/>
            <w:noWrap w:val="0"/>
            <w:vAlign w:val="center"/>
          </w:tcPr>
          <w:p>
            <w:pPr>
              <w:spacing w:before="42" w:line="224" w:lineRule="auto"/>
              <w:ind w:firstLine="768" w:firstLineChars="300"/>
              <w:rPr>
                <w:rFonts w:hint="eastAsia" w:ascii="宋体" w:hAnsi="宋体" w:eastAsia="宋体" w:cs="宋体"/>
                <w:color w:val="auto"/>
                <w:spacing w:val="5"/>
                <w:sz w:val="24"/>
                <w:szCs w:val="24"/>
              </w:rPr>
            </w:pPr>
            <w:r>
              <w:rPr>
                <w:rFonts w:hint="eastAsia" w:ascii="宋体" w:hAnsi="宋体" w:eastAsia="宋体" w:cs="宋体"/>
                <w:color w:val="auto"/>
                <w:spacing w:val="8"/>
                <w:sz w:val="24"/>
                <w:szCs w:val="24"/>
              </w:rPr>
              <w:t>报</w:t>
            </w:r>
            <w:r>
              <w:rPr>
                <w:rFonts w:hint="eastAsia" w:ascii="宋体" w:hAnsi="宋体" w:eastAsia="宋体" w:cs="宋体"/>
                <w:color w:val="auto"/>
                <w:spacing w:val="5"/>
                <w:sz w:val="24"/>
                <w:szCs w:val="24"/>
              </w:rPr>
              <w:t>价</w:t>
            </w:r>
          </w:p>
          <w:p>
            <w:pPr>
              <w:spacing w:before="42" w:line="224" w:lineRule="auto"/>
              <w:rPr>
                <w:rFonts w:hint="eastAsia" w:ascii="宋体" w:hAnsi="宋体" w:eastAsia="宋体" w:cs="宋体"/>
                <w:color w:val="auto"/>
                <w:sz w:val="24"/>
                <w:szCs w:val="24"/>
              </w:rPr>
            </w:pPr>
            <w:r>
              <w:rPr>
                <w:rFonts w:hint="eastAsia" w:ascii="宋体" w:hAnsi="宋体" w:eastAsia="宋体" w:cs="宋体"/>
                <w:color w:val="auto"/>
                <w:spacing w:val="5"/>
                <w:sz w:val="24"/>
                <w:szCs w:val="24"/>
              </w:rPr>
              <w:t>(</w:t>
            </w:r>
            <w:r>
              <w:rPr>
                <w:rFonts w:hint="eastAsia" w:ascii="宋体" w:hAnsi="宋体" w:eastAsia="宋体" w:cs="宋体"/>
                <w:color w:val="auto"/>
                <w:spacing w:val="5"/>
                <w:sz w:val="24"/>
                <w:szCs w:val="24"/>
                <w:lang w:val="en-US" w:eastAsia="zh-CN"/>
              </w:rPr>
              <w:t>最高限价下浮率</w:t>
            </w:r>
            <w:r>
              <w:rPr>
                <w:rFonts w:hint="eastAsia" w:ascii="宋体" w:hAnsi="宋体" w:eastAsia="宋体" w:cs="宋体"/>
                <w:color w:val="auto"/>
                <w:spacing w:val="5"/>
                <w:sz w:val="24"/>
                <w:szCs w:val="24"/>
              </w:rPr>
              <w:t>)</w:t>
            </w:r>
          </w:p>
        </w:tc>
        <w:tc>
          <w:tcPr>
            <w:tcW w:w="1920" w:type="dxa"/>
            <w:noWrap w:val="0"/>
            <w:vAlign w:val="center"/>
          </w:tcPr>
          <w:p>
            <w:pPr>
              <w:spacing w:before="120" w:line="227" w:lineRule="auto"/>
              <w:ind w:left="837"/>
              <w:rPr>
                <w:rFonts w:hint="eastAsia" w:ascii="宋体" w:hAnsi="宋体" w:eastAsia="宋体" w:cs="宋体"/>
                <w:color w:val="auto"/>
                <w:sz w:val="24"/>
                <w:szCs w:val="24"/>
              </w:rPr>
            </w:pPr>
            <w:r>
              <w:rPr>
                <w:rFonts w:hint="eastAsia" w:ascii="宋体" w:hAnsi="宋体" w:eastAsia="宋体" w:cs="宋体"/>
                <w:color w:val="auto"/>
                <w:spacing w:val="4"/>
                <w:sz w:val="24"/>
                <w:szCs w:val="24"/>
              </w:rPr>
              <w:t>备</w:t>
            </w:r>
            <w:r>
              <w:rPr>
                <w:rFonts w:hint="eastAsia" w:ascii="宋体" w:hAnsi="宋体" w:eastAsia="宋体" w:cs="宋体"/>
                <w:color w:val="auto"/>
                <w:spacing w:val="3"/>
                <w:sz w:val="24"/>
                <w:szCs w:val="24"/>
              </w:rPr>
              <w:t>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2" w:hRule="atLeast"/>
          <w:jc w:val="center"/>
        </w:trPr>
        <w:tc>
          <w:tcPr>
            <w:tcW w:w="1028" w:type="dxa"/>
            <w:noWrap w:val="0"/>
            <w:vAlign w:val="center"/>
          </w:tcPr>
          <w:p>
            <w:pPr>
              <w:spacing w:before="147" w:line="194" w:lineRule="auto"/>
              <w:ind w:left="476"/>
              <w:rPr>
                <w:rFonts w:hint="eastAsia" w:ascii="宋体" w:hAnsi="宋体" w:eastAsia="宋体" w:cs="宋体"/>
                <w:color w:val="auto"/>
                <w:sz w:val="24"/>
                <w:szCs w:val="24"/>
              </w:rPr>
            </w:pPr>
          </w:p>
          <w:p>
            <w:pPr>
              <w:spacing w:before="147" w:line="194" w:lineRule="auto"/>
              <w:ind w:left="476"/>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3238" w:type="dxa"/>
            <w:noWrap w:val="0"/>
            <w:vAlign w:val="center"/>
          </w:tcPr>
          <w:p>
            <w:pPr>
              <w:spacing w:before="116" w:line="225" w:lineRule="auto"/>
              <w:rPr>
                <w:rFonts w:hint="eastAsia" w:ascii="宋体" w:hAnsi="宋体" w:eastAsia="宋体" w:cs="宋体"/>
                <w:color w:val="auto"/>
                <w:sz w:val="24"/>
                <w:szCs w:val="24"/>
              </w:rPr>
            </w:pPr>
            <w:bookmarkStart w:id="3" w:name="OLE_LINK2"/>
            <w:r>
              <w:rPr>
                <w:rFonts w:hint="eastAsia" w:ascii="宋体" w:hAnsi="宋体" w:eastAsia="宋体" w:cs="宋体"/>
                <w:color w:val="auto"/>
                <w:sz w:val="24"/>
                <w:szCs w:val="24"/>
                <w:lang w:val="en-US" w:eastAsia="zh-CN"/>
              </w:rPr>
              <w:t>2026年工器具及仪器仪表保养维护、修理服务</w:t>
            </w:r>
            <w:bookmarkEnd w:id="3"/>
          </w:p>
        </w:tc>
        <w:tc>
          <w:tcPr>
            <w:tcW w:w="2693" w:type="dxa"/>
            <w:noWrap w:val="0"/>
            <w:vAlign w:val="center"/>
          </w:tcPr>
          <w:p>
            <w:pPr>
              <w:spacing w:before="116" w:line="304" w:lineRule="exact"/>
              <w:ind w:left="1014" w:firstLine="240" w:firstLineChars="100"/>
              <w:rPr>
                <w:rFonts w:hint="eastAsia" w:ascii="宋体" w:hAnsi="宋体" w:eastAsia="宋体" w:cs="宋体"/>
                <w:color w:val="auto"/>
                <w:sz w:val="24"/>
                <w:szCs w:val="24"/>
              </w:rPr>
            </w:pPr>
            <w:r>
              <w:rPr>
                <w:rFonts w:hint="eastAsia" w:ascii="宋体" w:hAnsi="宋体" w:eastAsia="宋体" w:cs="宋体"/>
                <w:color w:val="auto"/>
                <w:position w:val="1"/>
                <w:sz w:val="24"/>
                <w:szCs w:val="24"/>
              </w:rPr>
              <w:t>%</w:t>
            </w:r>
          </w:p>
        </w:tc>
        <w:tc>
          <w:tcPr>
            <w:tcW w:w="1920" w:type="dxa"/>
            <w:noWrap w:val="0"/>
            <w:vAlign w:val="center"/>
          </w:tcPr>
          <w:p>
            <w:pPr>
              <w:spacing w:before="116" w:line="468" w:lineRule="exact"/>
              <w:ind w:left="235"/>
              <w:rPr>
                <w:rFonts w:hint="eastAsia" w:ascii="宋体" w:hAnsi="宋体" w:eastAsia="宋体" w:cs="宋体"/>
                <w:color w:val="auto"/>
                <w:sz w:val="24"/>
                <w:szCs w:val="24"/>
              </w:rPr>
            </w:pPr>
          </w:p>
        </w:tc>
      </w:tr>
    </w:tbl>
    <w:p>
      <w:pPr>
        <w:keepNext w:val="0"/>
        <w:keepLines w:val="0"/>
        <w:pageBreakBefore w:val="0"/>
        <w:widowControl/>
        <w:kinsoku/>
        <w:wordWrap/>
        <w:overflowPunct/>
        <w:topLinePunct w:val="0"/>
        <w:autoSpaceDE/>
        <w:autoSpaceDN/>
        <w:bidi w:val="0"/>
        <w:adjustRightInd w:val="0"/>
        <w:snapToGrid w:val="0"/>
        <w:spacing w:line="360" w:lineRule="auto"/>
        <w:rPr>
          <w:rFonts w:hint="eastAsia" w:ascii="宋体" w:hAnsi="宋体" w:eastAsia="宋体" w:cs="宋体"/>
          <w:color w:val="auto"/>
          <w:sz w:val="24"/>
          <w:szCs w:val="24"/>
          <w:lang w:val="en-US" w:eastAsia="zh-CN"/>
        </w:rPr>
      </w:pPr>
    </w:p>
    <w:p>
      <w:pPr>
        <w:pStyle w:val="5"/>
        <w:keepNext w:val="0"/>
        <w:keepLines w:val="0"/>
        <w:pageBreakBefore w:val="0"/>
        <w:widowControl/>
        <w:kinsoku/>
        <w:wordWrap/>
        <w:overflowPunct/>
        <w:topLinePunct w:val="0"/>
        <w:autoSpaceDE/>
        <w:autoSpaceDN/>
        <w:bidi w:val="0"/>
        <w:adjustRightInd w:val="0"/>
        <w:snapToGrid w:val="0"/>
        <w:spacing w:line="360" w:lineRule="auto"/>
        <w:ind w:firstLine="468" w:firstLineChars="195"/>
        <w:rPr>
          <w:rFonts w:hint="eastAsia" w:ascii="宋体" w:hAnsi="宋体" w:eastAsia="宋体" w:cs="宋体"/>
          <w:b/>
          <w:bCs/>
          <w:i w:val="0"/>
          <w:iCs w:val="0"/>
          <w:color w:val="auto"/>
          <w:kern w:val="0"/>
          <w:sz w:val="24"/>
          <w:szCs w:val="24"/>
          <w:u w:val="none"/>
          <w:lang w:val="en-US" w:eastAsia="zh-CN" w:bidi="ar"/>
        </w:rPr>
      </w:pPr>
      <w:r>
        <w:rPr>
          <w:rFonts w:hint="eastAsia" w:ascii="宋体" w:hAnsi="宋体" w:eastAsia="宋体" w:cs="宋体"/>
          <w:b w:val="0"/>
          <w:bCs/>
          <w:color w:val="auto"/>
          <w:sz w:val="24"/>
          <w:szCs w:val="24"/>
          <w:lang w:val="en-US" w:eastAsia="zh-CN"/>
        </w:rPr>
        <w:t>最高限价及服务清单：</w:t>
      </w:r>
      <w:r>
        <w:rPr>
          <w:rFonts w:hint="eastAsia" w:ascii="宋体" w:hAnsi="宋体" w:eastAsia="宋体" w:cs="宋体"/>
          <w:i w:val="0"/>
          <w:iCs w:val="0"/>
          <w:color w:val="auto"/>
          <w:kern w:val="0"/>
          <w:sz w:val="24"/>
          <w:szCs w:val="24"/>
          <w:u w:val="none"/>
          <w:lang w:val="en-US" w:eastAsia="zh-CN" w:bidi="ar"/>
        </w:rPr>
        <w:t>单位：人民币（元含税）</w:t>
      </w:r>
    </w:p>
    <w:p>
      <w:pPr>
        <w:pStyle w:val="2"/>
        <w:jc w:val="center"/>
        <w:rPr>
          <w:rFonts w:hint="eastAsia" w:ascii="宋体" w:hAnsi="宋体" w:eastAsia="宋体" w:cs="宋体"/>
          <w:b/>
          <w:bCs/>
          <w:i w:val="0"/>
          <w:iCs w:val="0"/>
          <w:color w:val="auto"/>
          <w:kern w:val="0"/>
          <w:sz w:val="24"/>
          <w:szCs w:val="24"/>
          <w:u w:val="none"/>
          <w:lang w:val="en-US" w:eastAsia="zh-CN" w:bidi="ar"/>
        </w:rPr>
      </w:pPr>
      <w:r>
        <w:rPr>
          <w:rFonts w:hint="eastAsia" w:ascii="宋体" w:hAnsi="宋体" w:eastAsia="宋体" w:cs="宋体"/>
          <w:b/>
          <w:bCs/>
          <w:i w:val="0"/>
          <w:iCs w:val="0"/>
          <w:color w:val="auto"/>
          <w:kern w:val="0"/>
          <w:sz w:val="24"/>
          <w:szCs w:val="24"/>
          <w:u w:val="none"/>
          <w:lang w:val="en-US" w:eastAsia="zh-CN" w:bidi="ar"/>
        </w:rPr>
        <w:t>最高限价及服务内容清单</w:t>
      </w:r>
    </w:p>
    <w:tbl>
      <w:tblPr>
        <w:tblStyle w:val="6"/>
        <w:tblW w:w="908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71"/>
        <w:gridCol w:w="2580"/>
        <w:gridCol w:w="930"/>
        <w:gridCol w:w="1575"/>
        <w:gridCol w:w="32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序号</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服务内容名称</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单位</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最高限价（元）</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908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熔接机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bookmarkStart w:id="4" w:name="OLE_LINK5" w:colFirst="3" w:colLast="3"/>
            <w:r>
              <w:rPr>
                <w:rFonts w:hint="eastAsia" w:ascii="宋体" w:hAnsi="宋体" w:eastAsia="宋体" w:cs="宋体"/>
                <w:i w:val="0"/>
                <w:iCs w:val="0"/>
                <w:color w:val="auto"/>
                <w:kern w:val="0"/>
                <w:sz w:val="20"/>
                <w:szCs w:val="20"/>
                <w:u w:val="none"/>
                <w:lang w:val="en-US" w:eastAsia="zh-CN" w:bidi="ar"/>
              </w:rPr>
              <w:t>1</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熔接机常规维护保养</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次</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1200.00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熔接机更换调芯架</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3305.00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原装配件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熔接机更换弹性体</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2950.00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原装配件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熔接机更换主板</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7491.00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原装配件藤仓80S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熔接机更换主板</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5288.00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原装配件藤仓60R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熔接机更换主板</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4627.00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住友T-82C+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熔接机更换主板</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4627.00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住友T-82M12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更换电极棒</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600.00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原装配件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更换切割刀刀片</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700.00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更换切割刀刀片</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850.00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住友FC-6S原装配件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11</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更换切割刀刀片</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850.00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藤仓CT06/CT30/CT20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更换切割刀</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2534.00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藤仓CT-08/CT-50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13</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更换切割刀</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2400.00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日本住友FC-6S+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14</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更换切割刀</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3800.00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藤仓CT-08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更换切割刀</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3700.00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藤仓CT-50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16</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更换切割刀光纤压板</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320.00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国产FF-77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17</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更换切割刀压垫</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100.00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标件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18</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更换电池</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1400.00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标件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19</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更换电池</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1542.00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60R/80S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20</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更换马达</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3900.00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住友T-82C+、T-82M12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21</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更换镜头</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5100.00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原装配件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22</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藤仓电池充电线</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520.00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原装配件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23</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更换加热炉外壳</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850.00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60R/80S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住友/藤仓带状光纤夹具</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1800.00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原装配件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w:t>
            </w:r>
          </w:p>
        </w:tc>
        <w:tc>
          <w:tcPr>
            <w:tcW w:w="258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清洁更换 V 型槽</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2110.00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原装配件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26</w:t>
            </w:r>
          </w:p>
        </w:tc>
        <w:tc>
          <w:tcPr>
            <w:tcW w:w="258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更换 CCD 图像采集芯片</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1500.00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原装配件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27</w:t>
            </w:r>
          </w:p>
        </w:tc>
        <w:tc>
          <w:tcPr>
            <w:tcW w:w="258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更换反光棱镜 / 反光镜片</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1135.00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原装配件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28</w:t>
            </w:r>
          </w:p>
        </w:tc>
        <w:tc>
          <w:tcPr>
            <w:tcW w:w="258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更换内部 LED 照明灯</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640.00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原装配件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29</w:t>
            </w:r>
          </w:p>
        </w:tc>
        <w:tc>
          <w:tcPr>
            <w:tcW w:w="258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熔接损耗测试与整机精度校准</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600.00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原装配件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30</w:t>
            </w:r>
          </w:p>
        </w:tc>
        <w:tc>
          <w:tcPr>
            <w:tcW w:w="258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更换单芯光纤夹具</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750.00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原装配件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31</w:t>
            </w:r>
          </w:p>
        </w:tc>
        <w:tc>
          <w:tcPr>
            <w:tcW w:w="258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防风罩合页 / 门锁 / 防风胶条更换</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510.00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原装配件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32</w:t>
            </w:r>
          </w:p>
        </w:tc>
        <w:tc>
          <w:tcPr>
            <w:tcW w:w="258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更换镜头防尘玻璃镜片</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780.00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原装配件</w:t>
            </w:r>
          </w:p>
        </w:tc>
      </w:tr>
      <w:bookmarkEnd w:id="4"/>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081" w:type="dxa"/>
            <w:gridSpan w:val="5"/>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光时域反射仪（OTDR）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33</w:t>
            </w:r>
          </w:p>
        </w:tc>
        <w:tc>
          <w:tcPr>
            <w:tcW w:w="258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OTDR常规维护保养</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600.00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Style w:val="9"/>
                <w:color w:val="auto"/>
                <w:lang w:val="en-US" w:eastAsia="zh-CN" w:bidi="ar"/>
              </w:rPr>
              <w:t>型号：MAX-750C-NS2260-1、EXFO/Max720C-SM1、青岛诺克/NK6200-S3、  Anritsu MT9082B9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34</w:t>
            </w:r>
          </w:p>
        </w:tc>
        <w:tc>
          <w:tcPr>
            <w:tcW w:w="258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OTDR更换触摸屏</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551.00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Style w:val="9"/>
                <w:color w:val="auto"/>
                <w:lang w:val="en-US" w:eastAsia="zh-CN" w:bidi="ar"/>
              </w:rPr>
              <w:t>型号：MAX-750C-NS2260-1、EXFO/Max720C-SM1、青岛诺克/NK6200-S3、 Anritsu MT9082B9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35</w:t>
            </w:r>
          </w:p>
        </w:tc>
        <w:tc>
          <w:tcPr>
            <w:tcW w:w="258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OTDR更换触摸屏</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750.00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标件安立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36</w:t>
            </w:r>
          </w:p>
        </w:tc>
        <w:tc>
          <w:tcPr>
            <w:tcW w:w="258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OTDR更换光口</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600.00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国标件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37</w:t>
            </w:r>
          </w:p>
        </w:tc>
        <w:tc>
          <w:tcPr>
            <w:tcW w:w="258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OTDR更换光口</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1200.00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原装配件EXFO</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38</w:t>
            </w:r>
          </w:p>
        </w:tc>
        <w:tc>
          <w:tcPr>
            <w:tcW w:w="258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OTDR更换光口</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1322.00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原装配件安立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39</w:t>
            </w:r>
          </w:p>
        </w:tc>
        <w:tc>
          <w:tcPr>
            <w:tcW w:w="258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OTDR更换光口</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300.00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普件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40</w:t>
            </w:r>
          </w:p>
        </w:tc>
        <w:tc>
          <w:tcPr>
            <w:tcW w:w="258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OTDR刷机</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800.00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Style w:val="9"/>
                <w:color w:val="auto"/>
                <w:lang w:val="en-US" w:eastAsia="zh-CN" w:bidi="ar"/>
              </w:rPr>
              <w:t>型号：MAX-750C-NS2260-1、EXFO/Max720C-SM1、青岛诺克/NK6200-S3、 Anritsu MT9082B9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41</w:t>
            </w:r>
          </w:p>
        </w:tc>
        <w:tc>
          <w:tcPr>
            <w:tcW w:w="258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更换FC/SC光接口法兰头</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891.00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42</w:t>
            </w:r>
          </w:p>
        </w:tc>
        <w:tc>
          <w:tcPr>
            <w:tcW w:w="258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更换内置锂电池</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1845.00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43</w:t>
            </w:r>
          </w:p>
        </w:tc>
        <w:tc>
          <w:tcPr>
            <w:tcW w:w="258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系统软件刷机、固件升级</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775.00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44</w:t>
            </w:r>
          </w:p>
        </w:tc>
        <w:tc>
          <w:tcPr>
            <w:tcW w:w="258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整机深度防潮除尘保养</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740.00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45</w:t>
            </w:r>
          </w:p>
        </w:tc>
        <w:tc>
          <w:tcPr>
            <w:tcW w:w="258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按键失灵故障检修</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625.00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46</w:t>
            </w:r>
          </w:p>
        </w:tc>
        <w:tc>
          <w:tcPr>
            <w:tcW w:w="258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曲线异常、波形紊乱维修</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580.00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081" w:type="dxa"/>
            <w:gridSpan w:val="5"/>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其他仪器仪表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47</w:t>
            </w:r>
          </w:p>
        </w:tc>
        <w:tc>
          <w:tcPr>
            <w:tcW w:w="258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充放电测试仪器采集线/模块更换</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441.00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Style w:val="9"/>
                <w:color w:val="auto"/>
                <w:lang w:val="en-US" w:eastAsia="zh-CN" w:bidi="ar"/>
              </w:rPr>
              <w:t>BCSE-2010、</w:t>
            </w:r>
            <w:r>
              <w:rPr>
                <w:rStyle w:val="10"/>
                <w:color w:val="auto"/>
                <w:lang w:val="en-US" w:eastAsia="zh-CN" w:bidi="ar"/>
              </w:rPr>
              <w:t>BCSE-4810T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48</w:t>
            </w:r>
          </w:p>
        </w:tc>
        <w:tc>
          <w:tcPr>
            <w:tcW w:w="258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充放电测试仪器主板更换</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4406.00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Style w:val="9"/>
                <w:color w:val="auto"/>
                <w:lang w:val="en-US" w:eastAsia="zh-CN" w:bidi="ar"/>
              </w:rPr>
              <w:t>BCSE-2010、</w:t>
            </w:r>
            <w:r>
              <w:rPr>
                <w:rStyle w:val="10"/>
                <w:color w:val="auto"/>
                <w:lang w:val="en-US" w:eastAsia="zh-CN" w:bidi="ar"/>
              </w:rPr>
              <w:t>BCSE-4810T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49</w:t>
            </w:r>
          </w:p>
        </w:tc>
        <w:tc>
          <w:tcPr>
            <w:tcW w:w="258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内阻测试仪测试线更换</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5100.00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福禄克BT508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w:t>
            </w:r>
          </w:p>
        </w:tc>
        <w:tc>
          <w:tcPr>
            <w:tcW w:w="258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内阻测试仪更换内置充电锂电池</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1440.00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福禄克BT508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51</w:t>
            </w:r>
          </w:p>
        </w:tc>
        <w:tc>
          <w:tcPr>
            <w:tcW w:w="258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内阻测试仪更换电源保险、电源插座</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1535.00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福禄克BT508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52</w:t>
            </w:r>
          </w:p>
        </w:tc>
        <w:tc>
          <w:tcPr>
            <w:tcW w:w="258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万用表测试线更换</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330.00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FLUKE原装配件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53</w:t>
            </w:r>
          </w:p>
        </w:tc>
        <w:tc>
          <w:tcPr>
            <w:tcW w:w="258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万用表主板更换</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455.00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FLUKE原装配件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54</w:t>
            </w:r>
          </w:p>
        </w:tc>
        <w:tc>
          <w:tcPr>
            <w:tcW w:w="258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钳形电流表测试线更换</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450.00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福禄克319、福禄克104+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55</w:t>
            </w:r>
          </w:p>
        </w:tc>
        <w:tc>
          <w:tcPr>
            <w:tcW w:w="258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钳形电流表更换钳头传感器</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505.00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福禄克319、福禄克104+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56</w:t>
            </w:r>
          </w:p>
        </w:tc>
        <w:tc>
          <w:tcPr>
            <w:tcW w:w="258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钳形电流表更换钳口线圈组件</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610.00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福禄克319、福禄克104+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57</w:t>
            </w:r>
          </w:p>
        </w:tc>
        <w:tc>
          <w:tcPr>
            <w:tcW w:w="258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钳形电流表更换主控测量主板</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1060.00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福禄克319、福禄克104+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58</w:t>
            </w:r>
          </w:p>
        </w:tc>
        <w:tc>
          <w:tcPr>
            <w:tcW w:w="258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测距仪电源开机故障维修</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610.00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59</w:t>
            </w:r>
          </w:p>
        </w:tc>
        <w:tc>
          <w:tcPr>
            <w:tcW w:w="258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测距仪屏幕显示故障维修</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585.00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60</w:t>
            </w:r>
          </w:p>
        </w:tc>
        <w:tc>
          <w:tcPr>
            <w:tcW w:w="258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测距仪精度校准维修</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430.00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61</w:t>
            </w:r>
          </w:p>
        </w:tc>
        <w:tc>
          <w:tcPr>
            <w:tcW w:w="258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按键操作维修</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500.00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62</w:t>
            </w:r>
          </w:p>
        </w:tc>
        <w:tc>
          <w:tcPr>
            <w:tcW w:w="258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2M误码仪常规维护保养</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475.00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RY1100、RY4055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63</w:t>
            </w:r>
          </w:p>
        </w:tc>
        <w:tc>
          <w:tcPr>
            <w:tcW w:w="258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2M误码测试故障维修</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785.00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RY1100、RY4055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64</w:t>
            </w:r>
          </w:p>
        </w:tc>
        <w:tc>
          <w:tcPr>
            <w:tcW w:w="258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光功率计、光源电池仓防锈处理、参数校准</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470.00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青岛诺克/NK303-B1、EPM-50、FPM-600、TAM8723-1MW等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65</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网线测试仪主板维修</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265.00 </w:t>
            </w:r>
          </w:p>
        </w:tc>
        <w:tc>
          <w:tcPr>
            <w:tcW w:w="3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精明鼠nf-868、CATEM</w:t>
            </w:r>
          </w:p>
        </w:tc>
      </w:tr>
    </w:tbl>
    <w:p>
      <w:pPr>
        <w:pStyle w:val="5"/>
        <w:keepNext w:val="0"/>
        <w:keepLines w:val="0"/>
        <w:pageBreakBefore w:val="0"/>
        <w:widowControl/>
        <w:kinsoku/>
        <w:wordWrap/>
        <w:overflowPunct/>
        <w:topLinePunct w:val="0"/>
        <w:autoSpaceDE/>
        <w:autoSpaceDN/>
        <w:bidi w:val="0"/>
        <w:adjustRightInd w:val="0"/>
        <w:snapToGrid w:val="0"/>
        <w:spacing w:line="600" w:lineRule="exact"/>
        <w:ind w:left="0" w:leftChars="0" w:firstLine="0" w:firstLineChars="0"/>
        <w:rPr>
          <w:rFonts w:hint="eastAsia" w:ascii="宋体" w:hAnsi="宋体" w:eastAsia="宋体" w:cs="宋体"/>
          <w:b/>
          <w:bCs w:val="0"/>
          <w:color w:val="auto"/>
          <w:sz w:val="24"/>
          <w:szCs w:val="24"/>
          <w:highlight w:val="none"/>
          <w:lang w:eastAsia="zh-CN"/>
        </w:rPr>
      </w:pPr>
    </w:p>
    <w:p>
      <w:pPr>
        <w:pStyle w:val="5"/>
        <w:keepNext w:val="0"/>
        <w:keepLines w:val="0"/>
        <w:pageBreakBefore w:val="0"/>
        <w:widowControl/>
        <w:kinsoku/>
        <w:wordWrap/>
        <w:overflowPunct/>
        <w:topLinePunct w:val="0"/>
        <w:autoSpaceDE/>
        <w:autoSpaceDN/>
        <w:bidi w:val="0"/>
        <w:adjustRightInd w:val="0"/>
        <w:snapToGrid w:val="0"/>
        <w:spacing w:line="600" w:lineRule="exact"/>
        <w:ind w:left="0" w:leftChars="0" w:firstLine="0" w:firstLineChars="0"/>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注：</w:t>
      </w:r>
      <w:r>
        <w:rPr>
          <w:rFonts w:hint="eastAsia" w:ascii="宋体" w:hAnsi="宋体" w:eastAsia="宋体" w:cs="宋体"/>
          <w:b/>
          <w:bCs w:val="0"/>
          <w:color w:val="auto"/>
          <w:sz w:val="24"/>
          <w:szCs w:val="24"/>
          <w:highlight w:val="none"/>
          <w:lang w:val="en-US" w:eastAsia="zh-CN"/>
        </w:rPr>
        <w:t>1、</w:t>
      </w:r>
      <w:r>
        <w:rPr>
          <w:rFonts w:hint="eastAsia" w:ascii="宋体" w:hAnsi="宋体" w:eastAsia="宋体" w:cs="宋体"/>
          <w:b/>
          <w:bCs w:val="0"/>
          <w:color w:val="auto"/>
          <w:sz w:val="24"/>
          <w:szCs w:val="24"/>
          <w:highlight w:val="none"/>
          <w:lang w:eastAsia="zh-CN"/>
        </w:rPr>
        <w:t>上表为采购方预估在</w:t>
      </w:r>
      <w:r>
        <w:rPr>
          <w:rFonts w:hint="eastAsia" w:ascii="宋体" w:hAnsi="宋体" w:eastAsia="宋体" w:cs="宋体"/>
          <w:b/>
          <w:bCs w:val="0"/>
          <w:color w:val="auto"/>
          <w:sz w:val="24"/>
          <w:szCs w:val="24"/>
          <w:highlight w:val="none"/>
          <w:lang w:val="en-US" w:eastAsia="zh-CN"/>
        </w:rPr>
        <w:t>生产工器具及仪器仪表保养维护维修</w:t>
      </w:r>
      <w:r>
        <w:rPr>
          <w:rFonts w:hint="eastAsia" w:ascii="宋体" w:hAnsi="宋体" w:eastAsia="宋体" w:cs="宋体"/>
          <w:b/>
          <w:bCs w:val="0"/>
          <w:color w:val="auto"/>
          <w:sz w:val="24"/>
          <w:szCs w:val="24"/>
          <w:highlight w:val="none"/>
          <w:lang w:eastAsia="zh-CN"/>
        </w:rPr>
        <w:t>过程中可能产生的项目，报价方根据上表中的</w:t>
      </w:r>
      <w:bookmarkStart w:id="6" w:name="_GoBack"/>
      <w:bookmarkEnd w:id="6"/>
      <w:r>
        <w:rPr>
          <w:rFonts w:hint="eastAsia" w:ascii="宋体" w:hAnsi="宋体" w:eastAsia="宋体" w:cs="宋体"/>
          <w:b/>
          <w:bCs w:val="0"/>
          <w:color w:val="auto"/>
          <w:sz w:val="24"/>
          <w:szCs w:val="24"/>
          <w:highlight w:val="none"/>
          <w:lang w:eastAsia="zh-CN"/>
        </w:rPr>
        <w:t>单价最高限价按</w:t>
      </w:r>
      <w:r>
        <w:rPr>
          <w:rFonts w:hint="eastAsia" w:ascii="宋体" w:hAnsi="宋体" w:eastAsia="宋体" w:cs="宋体"/>
          <w:b/>
          <w:bCs w:val="0"/>
          <w:color w:val="auto"/>
          <w:sz w:val="24"/>
          <w:szCs w:val="24"/>
          <w:highlight w:val="none"/>
          <w:lang w:val="en-US" w:eastAsia="zh-CN"/>
        </w:rPr>
        <w:t>下浮率</w:t>
      </w:r>
      <w:r>
        <w:rPr>
          <w:rFonts w:hint="eastAsia" w:ascii="宋体" w:hAnsi="宋体" w:eastAsia="宋体" w:cs="宋体"/>
          <w:b/>
          <w:bCs w:val="0"/>
          <w:color w:val="auto"/>
          <w:sz w:val="24"/>
          <w:szCs w:val="24"/>
          <w:highlight w:val="none"/>
          <w:lang w:eastAsia="zh-CN"/>
        </w:rPr>
        <w:t>进行报价，最终根据采购方实际委托产生据实结算。上述仪器仪表在合同期内发生维修、保养、更换，成交人应保证同类问题在合同期内不再重复发生，若出现同类质量问题，采购方将不予支付此部分费用，同时成交人需免费为采购方进行处理和更换直至验收通过。</w:t>
      </w:r>
    </w:p>
    <w:p>
      <w:pPr>
        <w:pStyle w:val="5"/>
        <w:keepNext w:val="0"/>
        <w:keepLines w:val="0"/>
        <w:pageBreakBefore w:val="0"/>
        <w:widowControl/>
        <w:kinsoku/>
        <w:wordWrap/>
        <w:overflowPunct/>
        <w:topLinePunct w:val="0"/>
        <w:autoSpaceDE/>
        <w:autoSpaceDN/>
        <w:bidi w:val="0"/>
        <w:adjustRightInd w:val="0"/>
        <w:snapToGrid w:val="0"/>
        <w:spacing w:line="600" w:lineRule="exact"/>
        <w:ind w:left="0" w:leftChars="0" w:firstLine="482" w:firstLineChars="200"/>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2、上述表中价格已包含完成维修设备所需的全部费用，包括但不限于：人工费、材料费（含主材、辅材、耗材）、机械使用费、管理费、利润、税金、检测试验费、运输装卸费、现场清理费以及为完成维修工作所必需的其他一切费用。除另有约定外，采购方不再单独支付任何其他费用。</w:t>
      </w:r>
    </w:p>
    <w:p>
      <w:pPr>
        <w:pStyle w:val="5"/>
        <w:ind w:left="0" w:leftChars="0" w:firstLine="0" w:firstLineChars="0"/>
        <w:jc w:val="center"/>
        <w:rPr>
          <w:rFonts w:hint="eastAsia" w:ascii="宋体" w:hAnsi="宋体" w:eastAsia="宋体" w:cs="宋体"/>
          <w:b/>
          <w:bCs/>
          <w:i w:val="0"/>
          <w:iCs w:val="0"/>
          <w:color w:val="auto"/>
          <w:kern w:val="0"/>
          <w:sz w:val="24"/>
          <w:szCs w:val="24"/>
          <w:u w:val="none"/>
          <w:lang w:val="en-US" w:eastAsia="zh-CN" w:bidi="ar"/>
        </w:rPr>
      </w:pPr>
    </w:p>
    <w:p>
      <w:pPr>
        <w:pStyle w:val="5"/>
        <w:keepNext w:val="0"/>
        <w:keepLines w:val="0"/>
        <w:pageBreakBefore w:val="0"/>
        <w:widowControl/>
        <w:kinsoku/>
        <w:wordWrap/>
        <w:overflowPunct/>
        <w:topLinePunct w:val="0"/>
        <w:autoSpaceDE/>
        <w:autoSpaceDN/>
        <w:bidi w:val="0"/>
        <w:adjustRightInd w:val="0"/>
        <w:snapToGrid w:val="0"/>
        <w:spacing w:line="480" w:lineRule="auto"/>
        <w:ind w:left="110" w:leftChars="50" w:right="110" w:rightChars="50" w:firstLine="480" w:firstLineChars="200"/>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其他：1、实际结算金额下限不低于预估金额的80%，结算金额上限不高于预估金额的100%。对成交供应商的实际结算金额未达到预估金额下限的，应延长该供应商的协议有效期限，延长期限原则上不超过一年。在延长期内，该框架协议的实际结算金额达到下限时立即终止框架协议。延长期满仍未达到</w:t>
      </w:r>
      <w:bookmarkStart w:id="5" w:name="OLE_LINK6"/>
      <w:r>
        <w:rPr>
          <w:rFonts w:hint="eastAsia" w:ascii="宋体" w:hAnsi="宋体" w:eastAsia="宋体" w:cs="宋体"/>
          <w:b w:val="0"/>
          <w:bCs/>
          <w:color w:val="auto"/>
          <w:sz w:val="24"/>
          <w:szCs w:val="24"/>
          <w:lang w:val="en-US" w:eastAsia="zh-CN"/>
        </w:rPr>
        <w:t>下限，自动终止框架协议。</w:t>
      </w:r>
    </w:p>
    <w:p>
      <w:pPr>
        <w:pStyle w:val="5"/>
        <w:keepNext w:val="0"/>
        <w:keepLines w:val="0"/>
        <w:pageBreakBefore w:val="0"/>
        <w:widowControl/>
        <w:kinsoku/>
        <w:wordWrap/>
        <w:overflowPunct/>
        <w:topLinePunct w:val="0"/>
        <w:autoSpaceDE/>
        <w:autoSpaceDN/>
        <w:bidi w:val="0"/>
        <w:adjustRightInd w:val="0"/>
        <w:snapToGrid w:val="0"/>
        <w:spacing w:line="480" w:lineRule="auto"/>
        <w:ind w:left="110" w:leftChars="50" w:right="110" w:rightChars="50" w:firstLine="480" w:firstLineChars="200"/>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2、采购方共计梳理65项维修、保养项目需求，但并不保证预估数量的准确性，具体维修、保养以采购方实际委托为准。</w:t>
      </w:r>
    </w:p>
    <w:p>
      <w:pPr>
        <w:pStyle w:val="5"/>
        <w:keepNext w:val="0"/>
        <w:keepLines w:val="0"/>
        <w:pageBreakBefore w:val="0"/>
        <w:widowControl/>
        <w:kinsoku/>
        <w:wordWrap/>
        <w:overflowPunct/>
        <w:topLinePunct w:val="0"/>
        <w:autoSpaceDE/>
        <w:autoSpaceDN/>
        <w:bidi w:val="0"/>
        <w:adjustRightInd w:val="0"/>
        <w:snapToGrid w:val="0"/>
        <w:spacing w:line="480" w:lineRule="auto"/>
        <w:ind w:left="110" w:leftChars="50" w:right="110" w:rightChars="50" w:firstLine="480" w:firstLineChars="200"/>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3、本次报价采用下浮率报价，各维修、保养项目成交价=各维修、保养项目最高限价*报价方</w:t>
      </w:r>
      <w:bookmarkEnd w:id="5"/>
      <w:r>
        <w:rPr>
          <w:rFonts w:hint="eastAsia" w:ascii="宋体" w:hAnsi="宋体" w:eastAsia="宋体" w:cs="宋体"/>
          <w:b w:val="0"/>
          <w:bCs/>
          <w:color w:val="auto"/>
          <w:sz w:val="24"/>
          <w:szCs w:val="24"/>
          <w:lang w:val="en-US" w:eastAsia="zh-CN"/>
        </w:rPr>
        <w:t>的下浮率，且计算结果向下取整（即舍去小数部分，仅保留整数部分）。</w:t>
      </w:r>
    </w:p>
    <w:p>
      <w:pPr>
        <w:rPr>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MingLiU">
    <w:altName w:val="PMingLiU-ExtB"/>
    <w:panose1 w:val="02020509000000000000"/>
    <w:charset w:val="88"/>
    <w:family w:val="modern"/>
    <w:pitch w:val="default"/>
    <w:sig w:usb0="00000000" w:usb1="00000000" w:usb2="00000016" w:usb3="00000000" w:csb0="00100001" w:csb1="00000000"/>
  </w:font>
  <w:font w:name="楷体_GB2312">
    <w:altName w:val="楷体"/>
    <w:panose1 w:val="02010609030101010101"/>
    <w:charset w:val="86"/>
    <w:family w:val="modern"/>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PMingLiU-ExtB">
    <w:panose1 w:val="02020500000000000000"/>
    <w:charset w:val="88"/>
    <w:family w:val="auto"/>
    <w:pitch w:val="default"/>
    <w:sig w:usb0="8000002F" w:usb1="02000008" w:usb2="00000000"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ACB0361"/>
    <w:rsid w:val="0ACB0361"/>
    <w:rsid w:val="1944195B"/>
    <w:rsid w:val="36576CB4"/>
    <w:rsid w:val="3BCD22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pPr>
    <w:rPr>
      <w:rFonts w:ascii="Tahoma" w:hAnsi="Tahoma" w:eastAsia="微软雅黑" w:cs="Times New Roman"/>
      <w:sz w:val="22"/>
      <w:szCs w:val="22"/>
      <w:lang w:val="en-US" w:eastAsia="zh-CN" w:bidi="ar-SA"/>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Body Text"/>
    <w:basedOn w:val="1"/>
    <w:next w:val="3"/>
    <w:qFormat/>
    <w:uiPriority w:val="99"/>
    <w:pPr>
      <w:shd w:val="clear" w:color="auto" w:fill="FFFFFF"/>
      <w:spacing w:line="403" w:lineRule="auto"/>
      <w:ind w:firstLine="400"/>
    </w:pPr>
    <w:rPr>
      <w:rFonts w:ascii="MingLiU" w:hAnsi="Calibri" w:eastAsia="MingLiU" w:cs="MingLiU"/>
      <w:kern w:val="2"/>
      <w:sz w:val="30"/>
      <w:szCs w:val="30"/>
    </w:rPr>
  </w:style>
  <w:style w:type="paragraph" w:styleId="3">
    <w:name w:val="Title"/>
    <w:basedOn w:val="1"/>
    <w:next w:val="1"/>
    <w:qFormat/>
    <w:uiPriority w:val="0"/>
    <w:pPr>
      <w:spacing w:after="300"/>
      <w:contextualSpacing/>
      <w:jc w:val="center"/>
    </w:pPr>
    <w:rPr>
      <w:rFonts w:ascii="黑体" w:hAnsi="黑体" w:eastAsia="黑体"/>
      <w:spacing w:val="5"/>
      <w:kern w:val="28"/>
      <w:sz w:val="56"/>
      <w:szCs w:val="52"/>
    </w:rPr>
  </w:style>
  <w:style w:type="paragraph" w:styleId="4">
    <w:name w:val="Body Text Indent"/>
    <w:basedOn w:val="1"/>
    <w:unhideWhenUsed/>
    <w:qFormat/>
    <w:uiPriority w:val="99"/>
    <w:pPr>
      <w:autoSpaceDE w:val="0"/>
      <w:autoSpaceDN w:val="0"/>
      <w:adjustRightInd w:val="0"/>
      <w:spacing w:after="120" w:line="360" w:lineRule="atLeast"/>
      <w:ind w:left="900"/>
    </w:pPr>
    <w:rPr>
      <w:rFonts w:ascii="楷体_GB2312" w:eastAsia="楷体_GB2312"/>
      <w:kern w:val="0"/>
      <w:sz w:val="28"/>
      <w:szCs w:val="20"/>
    </w:rPr>
  </w:style>
  <w:style w:type="paragraph" w:styleId="5">
    <w:name w:val="Body Text First Indent 2"/>
    <w:basedOn w:val="4"/>
    <w:next w:val="1"/>
    <w:unhideWhenUsed/>
    <w:qFormat/>
    <w:uiPriority w:val="99"/>
    <w:pPr>
      <w:autoSpaceDE/>
      <w:autoSpaceDN/>
      <w:spacing w:line="312" w:lineRule="atLeast"/>
      <w:ind w:left="0" w:firstLine="210"/>
      <w:textAlignment w:val="baseline"/>
    </w:pPr>
    <w:rPr>
      <w:sz w:val="21"/>
    </w:rPr>
  </w:style>
  <w:style w:type="table" w:customStyle="1" w:styleId="8">
    <w:name w:val="Table Normal"/>
    <w:unhideWhenUsed/>
    <w:qFormat/>
    <w:uiPriority w:val="0"/>
    <w:tblPr>
      <w:tblCellMar>
        <w:top w:w="0" w:type="dxa"/>
        <w:left w:w="0" w:type="dxa"/>
        <w:bottom w:w="0" w:type="dxa"/>
        <w:right w:w="0" w:type="dxa"/>
      </w:tblCellMar>
    </w:tblPr>
  </w:style>
  <w:style w:type="character" w:customStyle="1" w:styleId="9">
    <w:name w:val="font01"/>
    <w:basedOn w:val="7"/>
    <w:qFormat/>
    <w:uiPriority w:val="0"/>
    <w:rPr>
      <w:rFonts w:hint="eastAsia" w:ascii="宋体" w:hAnsi="宋体" w:eastAsia="宋体" w:cs="宋体"/>
      <w:color w:val="333333"/>
      <w:sz w:val="20"/>
      <w:szCs w:val="20"/>
      <w:u w:val="none"/>
    </w:rPr>
  </w:style>
  <w:style w:type="character" w:customStyle="1" w:styleId="10">
    <w:name w:val="font31"/>
    <w:basedOn w:val="7"/>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4</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2026-07-22T05:59:00Z</dcterms:created>
  <dc:creator>367576006ED74780974DD634ECF4705B</dc:creator>
  <cp:lastModifiedBy>367576006ED74780974DD634ECF4705B</cp:lastModifiedBy>
  <dcterms:modified xsi:type="dcterms:W3CDTF">2026-07-22T06:15:59Z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DB9E1D6BAB6D4C889FFDE43C2BA98813</vt:lpwstr>
  </property>
</Properties>
</file>