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B13FA1">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hint="eastAsia" w:ascii="黑体" w:hAnsi="黑体" w:eastAsia="黑体" w:cs="黑体"/>
          <w:b w:val="0"/>
          <w:bCs w:val="0"/>
          <w:color w:val="auto"/>
          <w:sz w:val="32"/>
          <w:szCs w:val="32"/>
          <w:highlight w:val="none"/>
          <w:lang w:val="en-US" w:eastAsia="zh-CN"/>
        </w:rPr>
      </w:pPr>
      <w:r>
        <w:rPr>
          <w:rFonts w:hint="eastAsia" w:ascii="黑体" w:hAnsi="黑体" w:eastAsia="黑体" w:cs="黑体"/>
          <w:b w:val="0"/>
          <w:bCs w:val="0"/>
          <w:color w:val="auto"/>
          <w:sz w:val="32"/>
          <w:szCs w:val="32"/>
          <w:highlight w:val="none"/>
          <w:lang w:val="en-US" w:eastAsia="zh-CN"/>
        </w:rPr>
        <w:t>办供应〔2026〕22号附件1</w:t>
      </w:r>
    </w:p>
    <w:p w14:paraId="2F2CA0B1">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hint="eastAsia" w:ascii="黑体" w:hAnsi="黑体" w:eastAsia="黑体" w:cs="黑体"/>
          <w:b w:val="0"/>
          <w:bCs w:val="0"/>
          <w:color w:val="auto"/>
          <w:sz w:val="32"/>
          <w:szCs w:val="32"/>
          <w:highlight w:val="none"/>
          <w:lang w:val="en-US" w:eastAsia="zh-CN"/>
        </w:rPr>
      </w:pPr>
    </w:p>
    <w:p w14:paraId="1BAD62A3">
      <w:pPr>
        <w:jc w:val="center"/>
        <w:rPr>
          <w:rFonts w:hint="default"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广东电网公司汕头供电局2026年度第一批采购计划安排</w:t>
      </w:r>
    </w:p>
    <w:tbl>
      <w:tblPr>
        <w:tblStyle w:val="6"/>
        <w:tblW w:w="91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36"/>
        <w:gridCol w:w="4867"/>
        <w:gridCol w:w="3028"/>
      </w:tblGrid>
      <w:tr w14:paraId="75E5B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36" w:type="dxa"/>
            <w:vAlign w:val="center"/>
          </w:tcPr>
          <w:p w14:paraId="53DAB69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b w:val="0"/>
                <w:bCs w:val="0"/>
                <w:color w:val="auto"/>
                <w:sz w:val="32"/>
                <w:szCs w:val="32"/>
                <w:vertAlign w:val="baseline"/>
              </w:rPr>
            </w:pPr>
            <w:r>
              <w:rPr>
                <w:rFonts w:hint="eastAsia" w:ascii="仿宋_GB2312" w:hAnsi="仿宋_GB2312" w:eastAsia="仿宋_GB2312" w:cs="仿宋_GB2312"/>
                <w:b w:val="0"/>
                <w:bCs w:val="0"/>
                <w:i w:val="0"/>
                <w:iCs w:val="0"/>
                <w:color w:val="auto"/>
                <w:kern w:val="0"/>
                <w:sz w:val="32"/>
                <w:szCs w:val="32"/>
                <w:u w:val="none"/>
                <w:lang w:val="en-US" w:eastAsia="zh-CN" w:bidi="ar"/>
              </w:rPr>
              <w:t>序号</w:t>
            </w:r>
          </w:p>
        </w:tc>
        <w:tc>
          <w:tcPr>
            <w:tcW w:w="4867" w:type="dxa"/>
            <w:vAlign w:val="center"/>
          </w:tcPr>
          <w:p w14:paraId="3DDD243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b w:val="0"/>
                <w:bCs w:val="0"/>
                <w:color w:val="auto"/>
                <w:sz w:val="32"/>
                <w:szCs w:val="32"/>
                <w:vertAlign w:val="baseline"/>
                <w:lang w:val="en-US"/>
              </w:rPr>
            </w:pPr>
            <w:r>
              <w:rPr>
                <w:rFonts w:hint="eastAsia" w:ascii="仿宋_GB2312" w:hAnsi="仿宋_GB2312" w:eastAsia="仿宋_GB2312" w:cs="仿宋_GB2312"/>
                <w:b w:val="0"/>
                <w:bCs w:val="0"/>
                <w:i w:val="0"/>
                <w:iCs w:val="0"/>
                <w:color w:val="auto"/>
                <w:kern w:val="0"/>
                <w:sz w:val="32"/>
                <w:szCs w:val="32"/>
                <w:u w:val="none"/>
                <w:lang w:val="en-US" w:eastAsia="zh-CN" w:bidi="ar"/>
              </w:rPr>
              <w:t>采购批次</w:t>
            </w:r>
          </w:p>
        </w:tc>
        <w:tc>
          <w:tcPr>
            <w:tcW w:w="3028" w:type="dxa"/>
            <w:vAlign w:val="center"/>
          </w:tcPr>
          <w:p w14:paraId="3FA1BF2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b w:val="0"/>
                <w:bCs w:val="0"/>
                <w:color w:val="auto"/>
                <w:sz w:val="32"/>
                <w:szCs w:val="32"/>
                <w:vertAlign w:val="baseline"/>
                <w:lang w:val="en-US"/>
              </w:rPr>
            </w:pPr>
            <w:r>
              <w:rPr>
                <w:rFonts w:hint="eastAsia" w:ascii="仿宋_GB2312" w:hAnsi="仿宋_GB2312" w:eastAsia="仿宋_GB2312" w:cs="仿宋_GB2312"/>
                <w:b w:val="0"/>
                <w:bCs w:val="0"/>
                <w:i w:val="0"/>
                <w:iCs w:val="0"/>
                <w:color w:val="auto"/>
                <w:kern w:val="0"/>
                <w:sz w:val="32"/>
                <w:szCs w:val="32"/>
                <w:u w:val="none"/>
                <w:lang w:val="en-US" w:eastAsia="zh-CN" w:bidi="ar"/>
              </w:rPr>
              <w:t>预计公告发布时间</w:t>
            </w:r>
          </w:p>
        </w:tc>
      </w:tr>
      <w:tr w14:paraId="65C62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36" w:type="dxa"/>
            <w:vAlign w:val="center"/>
          </w:tcPr>
          <w:p w14:paraId="1189C7D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color w:val="auto"/>
                <w:sz w:val="32"/>
                <w:szCs w:val="32"/>
                <w:vertAlign w:val="baseline"/>
              </w:rPr>
            </w:pPr>
            <w:r>
              <w:rPr>
                <w:rFonts w:hint="eastAsia" w:asciiTheme="minorEastAsia" w:hAnsiTheme="minorEastAsia" w:eastAsiaTheme="minorEastAsia" w:cstheme="minorEastAsia"/>
                <w:i w:val="0"/>
                <w:iCs w:val="0"/>
                <w:color w:val="auto"/>
                <w:kern w:val="2"/>
                <w:sz w:val="20"/>
                <w:szCs w:val="20"/>
                <w:highlight w:val="none"/>
                <w:u w:val="none"/>
                <w:lang w:val="en-US" w:eastAsia="zh-CN" w:bidi="ar"/>
              </w:rPr>
              <w:t>1</w:t>
            </w:r>
          </w:p>
        </w:tc>
        <w:tc>
          <w:tcPr>
            <w:tcW w:w="4867" w:type="dxa"/>
            <w:vAlign w:val="center"/>
          </w:tcPr>
          <w:p w14:paraId="3FC3AA26">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default" w:ascii="仿宋_GB2312" w:hAnsi="仿宋_GB2312" w:eastAsia="仿宋_GB2312" w:cs="仿宋_GB2312"/>
                <w:color w:val="auto"/>
                <w:sz w:val="32"/>
                <w:szCs w:val="32"/>
                <w:vertAlign w:val="baseline"/>
                <w:lang w:val="en-US"/>
              </w:rPr>
            </w:pPr>
            <w:r>
              <w:rPr>
                <w:rFonts w:hint="eastAsia" w:ascii="宋体" w:hAnsi="宋体" w:eastAsia="宋体" w:cs="宋体"/>
                <w:i w:val="0"/>
                <w:iCs w:val="0"/>
                <w:color w:val="000000"/>
                <w:kern w:val="0"/>
                <w:sz w:val="20"/>
                <w:szCs w:val="20"/>
                <w:u w:val="none"/>
                <w:lang w:val="en-US" w:eastAsia="zh-CN" w:bidi="ar"/>
              </w:rPr>
              <w:t>广东电网有限责任公司汕头供电局广东省风电临海试验基地微电网示范工程基建配套项目超级电容、隔离变压器、低压直流智能配电柜、低压交流智能配电柜、V2G充放电机、直流超级充电桩240kW等6项物资采购（货物类）-对应“科技项目、职创项目、科技专项经费、创新平台等项目所需物资（网、省公司集中采购目录以外）”目录</w:t>
            </w:r>
          </w:p>
        </w:tc>
        <w:tc>
          <w:tcPr>
            <w:tcW w:w="3028" w:type="dxa"/>
            <w:vAlign w:val="center"/>
          </w:tcPr>
          <w:p w14:paraId="2524936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color w:val="auto"/>
                <w:sz w:val="32"/>
                <w:szCs w:val="32"/>
                <w:vertAlign w:val="baseline"/>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33111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36" w:type="dxa"/>
            <w:vAlign w:val="center"/>
          </w:tcPr>
          <w:p w14:paraId="6009D45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color w:val="auto"/>
                <w:sz w:val="32"/>
                <w:szCs w:val="32"/>
                <w:vertAlign w:val="baseline"/>
              </w:rPr>
            </w:pPr>
            <w:r>
              <w:rPr>
                <w:rFonts w:hint="eastAsia" w:asciiTheme="minorEastAsia" w:hAnsiTheme="minorEastAsia" w:eastAsiaTheme="minorEastAsia" w:cstheme="minorEastAsia"/>
                <w:color w:val="auto"/>
                <w:sz w:val="20"/>
                <w:szCs w:val="20"/>
                <w:highlight w:val="none"/>
                <w:vertAlign w:val="baseline"/>
                <w:lang w:val="en-US" w:eastAsia="zh-CN"/>
              </w:rPr>
              <w:t>2</w:t>
            </w:r>
          </w:p>
        </w:tc>
        <w:tc>
          <w:tcPr>
            <w:tcW w:w="4867" w:type="dxa"/>
            <w:vAlign w:val="center"/>
          </w:tcPr>
          <w:p w14:paraId="51E981E0">
            <w:pPr>
              <w:keepNext w:val="0"/>
              <w:keepLines w:val="0"/>
              <w:widowControl/>
              <w:suppressLineNumbers w:val="0"/>
              <w:jc w:val="center"/>
              <w:textAlignment w:val="center"/>
              <w:rPr>
                <w:rFonts w:hint="default" w:ascii="仿宋_GB2312" w:hAnsi="仿宋_GB2312" w:eastAsia="仿宋_GB2312" w:cs="仿宋_GB2312"/>
                <w:color w:val="auto"/>
                <w:sz w:val="32"/>
                <w:szCs w:val="32"/>
                <w:vertAlign w:val="baseline"/>
                <w:lang w:val="en-US"/>
              </w:rPr>
            </w:pPr>
            <w:r>
              <w:rPr>
                <w:rFonts w:hint="eastAsia" w:ascii="宋体" w:hAnsi="宋体" w:eastAsia="宋体" w:cs="宋体"/>
                <w:i w:val="0"/>
                <w:iCs w:val="0"/>
                <w:color w:val="000000"/>
                <w:kern w:val="0"/>
                <w:sz w:val="20"/>
                <w:szCs w:val="20"/>
                <w:u w:val="none"/>
                <w:lang w:val="en-US" w:eastAsia="zh-CN" w:bidi="ar"/>
              </w:rPr>
              <w:t>广东电网有限责任公司汕头供电局2026-2027年房屋安全、设备基础沉降、幕墙检测服务采购（服务类）—对应“电梯维保；电力设施保护服务；自来水过滤系统安装及维护；机械式停车位维保；房屋安全、设备基础沉降、幕墙检测；窗帘定制安装服务”目录</w:t>
            </w:r>
          </w:p>
        </w:tc>
        <w:tc>
          <w:tcPr>
            <w:tcW w:w="3028" w:type="dxa"/>
            <w:vAlign w:val="center"/>
          </w:tcPr>
          <w:p w14:paraId="314D8A7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color w:val="auto"/>
                <w:sz w:val="32"/>
                <w:szCs w:val="32"/>
                <w:vertAlign w:val="baseline"/>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0CF14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36" w:type="dxa"/>
            <w:vAlign w:val="center"/>
          </w:tcPr>
          <w:p w14:paraId="22A2694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color w:val="auto"/>
                <w:sz w:val="32"/>
                <w:szCs w:val="32"/>
                <w:vertAlign w:val="baseline"/>
              </w:rPr>
            </w:pPr>
            <w:r>
              <w:rPr>
                <w:rFonts w:hint="eastAsia" w:asciiTheme="minorEastAsia" w:hAnsiTheme="minorEastAsia" w:eastAsiaTheme="minorEastAsia" w:cstheme="minorEastAsia"/>
                <w:color w:val="auto"/>
                <w:sz w:val="20"/>
                <w:szCs w:val="20"/>
                <w:highlight w:val="none"/>
                <w:vertAlign w:val="baseline"/>
                <w:lang w:val="en-US" w:eastAsia="zh-CN"/>
              </w:rPr>
              <w:t>3</w:t>
            </w:r>
          </w:p>
        </w:tc>
        <w:tc>
          <w:tcPr>
            <w:tcW w:w="4867" w:type="dxa"/>
            <w:vAlign w:val="center"/>
          </w:tcPr>
          <w:p w14:paraId="7A470FB3">
            <w:pPr>
              <w:keepNext w:val="0"/>
              <w:keepLines w:val="0"/>
              <w:widowControl/>
              <w:suppressLineNumbers w:val="0"/>
              <w:jc w:val="center"/>
              <w:textAlignment w:val="center"/>
              <w:rPr>
                <w:rFonts w:hint="eastAsia" w:ascii="仿宋_GB2312" w:hAnsi="仿宋_GB2312" w:eastAsia="仿宋_GB2312" w:cs="仿宋_GB2312"/>
                <w:color w:val="auto"/>
                <w:sz w:val="32"/>
                <w:szCs w:val="32"/>
                <w:vertAlign w:val="baseline"/>
              </w:rPr>
            </w:pPr>
            <w:r>
              <w:rPr>
                <w:rFonts w:hint="eastAsia" w:ascii="宋体" w:hAnsi="宋体" w:eastAsia="宋体" w:cs="宋体"/>
                <w:i w:val="0"/>
                <w:iCs w:val="0"/>
                <w:color w:val="000000"/>
                <w:kern w:val="0"/>
                <w:sz w:val="20"/>
                <w:szCs w:val="20"/>
                <w:u w:val="none"/>
                <w:lang w:val="en-US" w:eastAsia="zh-CN" w:bidi="ar"/>
              </w:rPr>
              <w:t>广东电网有限责任公司汕头供电局2026-2027年土地不动产更名及确权服务采购（服务类）—对应“基建工程用地报批咨询、不动产权调查测绘、检测及存量土地房产产权证明办理、不动产权调查测绘、检测、委托办理等合法合规手续办理服务”目录</w:t>
            </w:r>
          </w:p>
        </w:tc>
        <w:tc>
          <w:tcPr>
            <w:tcW w:w="3028" w:type="dxa"/>
            <w:vAlign w:val="center"/>
          </w:tcPr>
          <w:p w14:paraId="76212E9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color w:val="auto"/>
                <w:sz w:val="32"/>
                <w:szCs w:val="32"/>
                <w:vertAlign w:val="baseline"/>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10DE2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36" w:type="dxa"/>
            <w:vAlign w:val="center"/>
          </w:tcPr>
          <w:p w14:paraId="3F4FAA2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i w:val="0"/>
                <w:iCs w:val="0"/>
                <w:color w:val="auto"/>
                <w:kern w:val="0"/>
                <w:sz w:val="32"/>
                <w:szCs w:val="32"/>
                <w:u w:val="none"/>
                <w:lang w:val="en-US" w:eastAsia="zh-CN" w:bidi="ar"/>
              </w:rPr>
            </w:pPr>
            <w:r>
              <w:rPr>
                <w:rFonts w:hint="eastAsia" w:asciiTheme="minorEastAsia" w:hAnsiTheme="minorEastAsia" w:eastAsiaTheme="minorEastAsia" w:cstheme="minorEastAsia"/>
                <w:color w:val="auto"/>
                <w:sz w:val="20"/>
                <w:szCs w:val="20"/>
                <w:highlight w:val="none"/>
                <w:vertAlign w:val="baseline"/>
                <w:lang w:val="en-US" w:eastAsia="zh-CN"/>
              </w:rPr>
              <w:t>4</w:t>
            </w:r>
          </w:p>
        </w:tc>
        <w:tc>
          <w:tcPr>
            <w:tcW w:w="4867" w:type="dxa"/>
            <w:vAlign w:val="center"/>
          </w:tcPr>
          <w:p w14:paraId="318E15D7">
            <w:pPr>
              <w:keepNext w:val="0"/>
              <w:keepLines w:val="0"/>
              <w:widowControl/>
              <w:suppressLineNumbers w:val="0"/>
              <w:jc w:val="center"/>
              <w:textAlignment w:val="center"/>
              <w:rPr>
                <w:rFonts w:hint="eastAsia" w:ascii="仿宋_GB2312" w:hAnsi="仿宋_GB2312" w:eastAsia="仿宋_GB2312" w:cs="仿宋_GB2312"/>
                <w:color w:val="auto"/>
                <w:sz w:val="32"/>
                <w:szCs w:val="32"/>
                <w:vertAlign w:val="baseline"/>
              </w:rPr>
            </w:pPr>
            <w:r>
              <w:rPr>
                <w:rFonts w:hint="eastAsia" w:ascii="宋体" w:hAnsi="宋体" w:eastAsia="宋体" w:cs="宋体"/>
                <w:i w:val="0"/>
                <w:iCs w:val="0"/>
                <w:color w:val="000000"/>
                <w:kern w:val="0"/>
                <w:sz w:val="20"/>
                <w:szCs w:val="20"/>
                <w:u w:val="none"/>
                <w:lang w:val="en-US" w:eastAsia="zh-CN" w:bidi="ar"/>
              </w:rPr>
              <w:t>广东电网有限责任公司汕头供电局2027-2028年电梯维保服务采购（服务类）—对应“电梯维保；电力设施保护服务；自来水过滤系统安装及维护；机械式停车位维保；房屋安全、设备基础沉降、幕墙检测；窗帘定制安装服务”目录</w:t>
            </w:r>
          </w:p>
        </w:tc>
        <w:tc>
          <w:tcPr>
            <w:tcW w:w="3028" w:type="dxa"/>
            <w:vAlign w:val="center"/>
          </w:tcPr>
          <w:p w14:paraId="3AE0136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color w:val="auto"/>
                <w:sz w:val="32"/>
                <w:szCs w:val="32"/>
                <w:vertAlign w:val="baseline"/>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1B841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36" w:type="dxa"/>
            <w:vAlign w:val="center"/>
          </w:tcPr>
          <w:p w14:paraId="037D1ED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i w:val="0"/>
                <w:iCs w:val="0"/>
                <w:color w:val="auto"/>
                <w:kern w:val="0"/>
                <w:sz w:val="32"/>
                <w:szCs w:val="32"/>
                <w:u w:val="none"/>
                <w:lang w:val="en-US" w:eastAsia="zh-CN" w:bidi="ar"/>
              </w:rPr>
            </w:pPr>
            <w:r>
              <w:rPr>
                <w:rFonts w:hint="eastAsia" w:asciiTheme="minorEastAsia" w:hAnsiTheme="minorEastAsia" w:eastAsiaTheme="minorEastAsia" w:cstheme="minorEastAsia"/>
                <w:color w:val="auto"/>
                <w:sz w:val="20"/>
                <w:szCs w:val="20"/>
                <w:highlight w:val="none"/>
                <w:vertAlign w:val="baseline"/>
                <w:lang w:val="en-US" w:eastAsia="zh-CN"/>
              </w:rPr>
              <w:t>5</w:t>
            </w:r>
          </w:p>
        </w:tc>
        <w:tc>
          <w:tcPr>
            <w:tcW w:w="4867" w:type="dxa"/>
            <w:vAlign w:val="center"/>
          </w:tcPr>
          <w:p w14:paraId="4295C3F7">
            <w:pPr>
              <w:keepNext w:val="0"/>
              <w:keepLines w:val="0"/>
              <w:widowControl/>
              <w:suppressLineNumbers w:val="0"/>
              <w:jc w:val="center"/>
              <w:textAlignment w:val="center"/>
              <w:rPr>
                <w:rFonts w:hint="eastAsia" w:ascii="仿宋_GB2312" w:hAnsi="仿宋_GB2312" w:eastAsia="仿宋_GB2312" w:cs="仿宋_GB2312"/>
                <w:color w:val="auto"/>
                <w:sz w:val="32"/>
                <w:szCs w:val="32"/>
                <w:vertAlign w:val="baseline"/>
              </w:rPr>
            </w:pPr>
            <w:r>
              <w:rPr>
                <w:rFonts w:hint="eastAsia" w:ascii="宋体" w:hAnsi="宋体" w:eastAsia="宋体" w:cs="宋体"/>
                <w:i w:val="0"/>
                <w:iCs w:val="0"/>
                <w:color w:val="000000"/>
                <w:kern w:val="0"/>
                <w:sz w:val="20"/>
                <w:szCs w:val="20"/>
                <w:u w:val="none"/>
                <w:lang w:val="en-US" w:eastAsia="zh-CN" w:bidi="ar"/>
              </w:rPr>
              <w:t>广东电网有限责任公司汕头供电局2027年车辆驾驶服务采购（服务类）—对应“医疗、员工体检服务；工作服及窗帘等洗涤服务；车辆驾驶服务；理发服务”目录</w:t>
            </w:r>
          </w:p>
        </w:tc>
        <w:tc>
          <w:tcPr>
            <w:tcW w:w="3028" w:type="dxa"/>
            <w:vAlign w:val="center"/>
          </w:tcPr>
          <w:p w14:paraId="004852C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color w:val="auto"/>
                <w:sz w:val="32"/>
                <w:szCs w:val="32"/>
                <w:vertAlign w:val="baseline"/>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1409D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36" w:type="dxa"/>
            <w:vAlign w:val="center"/>
          </w:tcPr>
          <w:p w14:paraId="16D0B2A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i w:val="0"/>
                <w:iCs w:val="0"/>
                <w:color w:val="auto"/>
                <w:kern w:val="0"/>
                <w:sz w:val="32"/>
                <w:szCs w:val="32"/>
                <w:u w:val="none"/>
                <w:lang w:val="en-US" w:eastAsia="zh-CN" w:bidi="ar"/>
              </w:rPr>
            </w:pPr>
            <w:r>
              <w:rPr>
                <w:rFonts w:hint="eastAsia" w:asciiTheme="minorEastAsia" w:hAnsiTheme="minorEastAsia" w:eastAsiaTheme="minorEastAsia" w:cstheme="minorEastAsia"/>
                <w:color w:val="auto"/>
                <w:sz w:val="20"/>
                <w:szCs w:val="20"/>
                <w:highlight w:val="none"/>
                <w:vertAlign w:val="baseline"/>
                <w:lang w:val="en-US" w:eastAsia="zh-CN"/>
              </w:rPr>
              <w:t>6</w:t>
            </w:r>
          </w:p>
        </w:tc>
        <w:tc>
          <w:tcPr>
            <w:tcW w:w="4867" w:type="dxa"/>
            <w:vAlign w:val="center"/>
          </w:tcPr>
          <w:p w14:paraId="7DB46B78">
            <w:pPr>
              <w:keepNext w:val="0"/>
              <w:keepLines w:val="0"/>
              <w:widowControl/>
              <w:suppressLineNumbers w:val="0"/>
              <w:jc w:val="center"/>
              <w:textAlignment w:val="center"/>
              <w:rPr>
                <w:rFonts w:hint="eastAsia" w:ascii="仿宋_GB2312" w:hAnsi="仿宋_GB2312" w:eastAsia="仿宋_GB2312" w:cs="仿宋_GB2312"/>
                <w:color w:val="auto"/>
                <w:sz w:val="32"/>
                <w:szCs w:val="32"/>
                <w:vertAlign w:val="baseline"/>
              </w:rPr>
            </w:pPr>
            <w:r>
              <w:rPr>
                <w:rFonts w:hint="eastAsia" w:ascii="宋体" w:hAnsi="宋体" w:eastAsia="宋体" w:cs="宋体"/>
                <w:i w:val="0"/>
                <w:iCs w:val="0"/>
                <w:color w:val="000000"/>
                <w:kern w:val="0"/>
                <w:sz w:val="20"/>
                <w:szCs w:val="20"/>
                <w:u w:val="none"/>
                <w:lang w:val="en-US" w:eastAsia="zh-CN" w:bidi="ar"/>
              </w:rPr>
              <w:t>广东电网有限责任公司汕头供电局周转房（服务类）—对应“生产经营场所（含停车场、周转房）购置、租赁；电梯维保；电力设施保护服务；自来水过滤系统安装及维护；机械式停车位维保；房屋安全、设备基础沉降、幕墙检测；窗帘定制安装服务”目录</w:t>
            </w:r>
          </w:p>
        </w:tc>
        <w:tc>
          <w:tcPr>
            <w:tcW w:w="3028" w:type="dxa"/>
            <w:vAlign w:val="center"/>
          </w:tcPr>
          <w:p w14:paraId="4EAC94B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color w:val="auto"/>
                <w:sz w:val="32"/>
                <w:szCs w:val="32"/>
                <w:vertAlign w:val="baseline"/>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40D1A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36" w:type="dxa"/>
            <w:vAlign w:val="center"/>
          </w:tcPr>
          <w:p w14:paraId="01FCEE3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i w:val="0"/>
                <w:iCs w:val="0"/>
                <w:color w:val="auto"/>
                <w:kern w:val="0"/>
                <w:sz w:val="32"/>
                <w:szCs w:val="32"/>
                <w:u w:val="none"/>
                <w:lang w:val="en-US" w:eastAsia="zh-CN" w:bidi="ar"/>
              </w:rPr>
            </w:pPr>
            <w:r>
              <w:rPr>
                <w:rFonts w:hint="eastAsia" w:asciiTheme="minorEastAsia" w:hAnsiTheme="minorEastAsia" w:eastAsiaTheme="minorEastAsia" w:cstheme="minorEastAsia"/>
                <w:color w:val="auto"/>
                <w:sz w:val="20"/>
                <w:szCs w:val="20"/>
                <w:highlight w:val="none"/>
                <w:vertAlign w:val="baseline"/>
                <w:lang w:val="en-US" w:eastAsia="zh-CN"/>
              </w:rPr>
              <w:t>7</w:t>
            </w:r>
          </w:p>
        </w:tc>
        <w:tc>
          <w:tcPr>
            <w:tcW w:w="4867" w:type="dxa"/>
            <w:vAlign w:val="center"/>
          </w:tcPr>
          <w:p w14:paraId="449D5365">
            <w:pPr>
              <w:keepNext w:val="0"/>
              <w:keepLines w:val="0"/>
              <w:widowControl/>
              <w:suppressLineNumbers w:val="0"/>
              <w:jc w:val="center"/>
              <w:textAlignment w:val="center"/>
              <w:rPr>
                <w:rFonts w:hint="eastAsia" w:ascii="仿宋_GB2312" w:hAnsi="仿宋_GB2312" w:eastAsia="仿宋_GB2312" w:cs="仿宋_GB2312"/>
                <w:color w:val="auto"/>
                <w:sz w:val="32"/>
                <w:szCs w:val="32"/>
                <w:vertAlign w:val="baseline"/>
              </w:rPr>
            </w:pPr>
            <w:r>
              <w:rPr>
                <w:rFonts w:hint="eastAsia" w:ascii="宋体" w:hAnsi="宋体" w:eastAsia="宋体" w:cs="宋体"/>
                <w:i w:val="0"/>
                <w:iCs w:val="0"/>
                <w:color w:val="000000"/>
                <w:kern w:val="0"/>
                <w:sz w:val="20"/>
                <w:szCs w:val="20"/>
                <w:u w:val="none"/>
                <w:lang w:val="en-US" w:eastAsia="zh-CN" w:bidi="ar"/>
              </w:rPr>
              <w:t>广东电网有限责任公司汕头供电局停车场租赁（服务类）—对应“电梯维保；电力设施保护服务；自来水过滤系统安装及维护；机械式停车位维保；房屋安全、设备基础沉降、幕墙检测；窗帘定制安装服务”目录</w:t>
            </w:r>
          </w:p>
        </w:tc>
        <w:tc>
          <w:tcPr>
            <w:tcW w:w="3028" w:type="dxa"/>
            <w:vAlign w:val="center"/>
          </w:tcPr>
          <w:p w14:paraId="50E70DB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color w:val="auto"/>
                <w:sz w:val="32"/>
                <w:szCs w:val="32"/>
                <w:vertAlign w:val="baseline"/>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53E5D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36" w:type="dxa"/>
            <w:vAlign w:val="center"/>
          </w:tcPr>
          <w:p w14:paraId="23D9EB3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i w:val="0"/>
                <w:iCs w:val="0"/>
                <w:color w:val="auto"/>
                <w:kern w:val="0"/>
                <w:sz w:val="32"/>
                <w:szCs w:val="32"/>
                <w:u w:val="none"/>
                <w:lang w:val="en-US" w:eastAsia="zh-CN" w:bidi="ar"/>
              </w:rPr>
            </w:pPr>
            <w:r>
              <w:rPr>
                <w:rFonts w:hint="eastAsia" w:asciiTheme="minorEastAsia" w:hAnsiTheme="minorEastAsia" w:eastAsiaTheme="minorEastAsia" w:cstheme="minorEastAsia"/>
                <w:color w:val="auto"/>
                <w:sz w:val="20"/>
                <w:szCs w:val="20"/>
                <w:highlight w:val="none"/>
                <w:vertAlign w:val="baseline"/>
                <w:lang w:val="en-US" w:eastAsia="zh-CN"/>
              </w:rPr>
              <w:t>8</w:t>
            </w:r>
          </w:p>
        </w:tc>
        <w:tc>
          <w:tcPr>
            <w:tcW w:w="4867" w:type="dxa"/>
            <w:vAlign w:val="center"/>
          </w:tcPr>
          <w:p w14:paraId="4FCE1B32">
            <w:pPr>
              <w:keepNext w:val="0"/>
              <w:keepLines w:val="0"/>
              <w:widowControl/>
              <w:suppressLineNumbers w:val="0"/>
              <w:jc w:val="center"/>
              <w:textAlignment w:val="center"/>
              <w:rPr>
                <w:rFonts w:hint="eastAsia" w:ascii="仿宋_GB2312" w:hAnsi="仿宋_GB2312" w:eastAsia="仿宋_GB2312" w:cs="仿宋_GB2312"/>
                <w:color w:val="auto"/>
                <w:sz w:val="32"/>
                <w:szCs w:val="32"/>
                <w:vertAlign w:val="baseline"/>
              </w:rPr>
            </w:pPr>
            <w:r>
              <w:rPr>
                <w:rFonts w:hint="eastAsia" w:ascii="宋体" w:hAnsi="宋体" w:eastAsia="宋体" w:cs="宋体"/>
                <w:i w:val="0"/>
                <w:iCs w:val="0"/>
                <w:color w:val="000000"/>
                <w:kern w:val="0"/>
                <w:sz w:val="20"/>
                <w:szCs w:val="20"/>
                <w:u w:val="none"/>
                <w:lang w:val="en-US" w:eastAsia="zh-CN" w:bidi="ar"/>
              </w:rPr>
              <w:t>广东电网有限责任公司汕头供电局2027-2028年医务室服务采购（服务类）—对应“医疗、员工体检服务；工作服及窗帘等洗涤服务；车辆驾驶服务；理发服务”目录</w:t>
            </w:r>
          </w:p>
        </w:tc>
        <w:tc>
          <w:tcPr>
            <w:tcW w:w="3028" w:type="dxa"/>
            <w:vAlign w:val="center"/>
          </w:tcPr>
          <w:p w14:paraId="347555B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color w:val="auto"/>
                <w:sz w:val="32"/>
                <w:szCs w:val="32"/>
                <w:vertAlign w:val="baseline"/>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22608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36" w:type="dxa"/>
            <w:vAlign w:val="center"/>
          </w:tcPr>
          <w:p w14:paraId="4B1E6D1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i w:val="0"/>
                <w:iCs w:val="0"/>
                <w:color w:val="auto"/>
                <w:kern w:val="0"/>
                <w:sz w:val="32"/>
                <w:szCs w:val="32"/>
                <w:u w:val="none"/>
                <w:lang w:val="en-US" w:eastAsia="zh-CN" w:bidi="ar"/>
              </w:rPr>
            </w:pPr>
            <w:r>
              <w:rPr>
                <w:rFonts w:hint="eastAsia" w:asciiTheme="minorEastAsia" w:hAnsiTheme="minorEastAsia" w:eastAsiaTheme="minorEastAsia" w:cstheme="minorEastAsia"/>
                <w:color w:val="auto"/>
                <w:sz w:val="20"/>
                <w:szCs w:val="20"/>
                <w:highlight w:val="none"/>
                <w:vertAlign w:val="baseline"/>
                <w:lang w:val="en-US" w:eastAsia="zh-CN"/>
              </w:rPr>
              <w:t>9</w:t>
            </w:r>
          </w:p>
        </w:tc>
        <w:tc>
          <w:tcPr>
            <w:tcW w:w="4867" w:type="dxa"/>
            <w:vAlign w:val="center"/>
          </w:tcPr>
          <w:p w14:paraId="48B888B7">
            <w:pPr>
              <w:keepNext w:val="0"/>
              <w:keepLines w:val="0"/>
              <w:widowControl/>
              <w:suppressLineNumbers w:val="0"/>
              <w:jc w:val="center"/>
              <w:textAlignment w:val="center"/>
              <w:rPr>
                <w:rFonts w:hint="eastAsia" w:ascii="仿宋_GB2312" w:hAnsi="仿宋_GB2312" w:eastAsia="仿宋_GB2312" w:cs="仿宋_GB2312"/>
                <w:color w:val="auto"/>
                <w:sz w:val="32"/>
                <w:szCs w:val="32"/>
                <w:vertAlign w:val="baseline"/>
              </w:rPr>
            </w:pPr>
            <w:r>
              <w:rPr>
                <w:rFonts w:hint="eastAsia" w:ascii="宋体" w:hAnsi="宋体" w:eastAsia="宋体" w:cs="宋体"/>
                <w:i w:val="0"/>
                <w:iCs w:val="0"/>
                <w:color w:val="000000"/>
                <w:kern w:val="0"/>
                <w:sz w:val="20"/>
                <w:szCs w:val="20"/>
                <w:u w:val="none"/>
                <w:lang w:val="en-US" w:eastAsia="zh-CN" w:bidi="ar"/>
              </w:rPr>
              <w:t>广东电网有限责任公司汕头供电局2027-2028年警务室服务采购（服务类）—对应“电梯维保；电力设施保护服务；自来水过滤系统安装及维护；机械式停车位维保；房屋安全、设备基础沉降、幕墙检测；窗帘定制安装服务”目录</w:t>
            </w:r>
          </w:p>
        </w:tc>
        <w:tc>
          <w:tcPr>
            <w:tcW w:w="3028" w:type="dxa"/>
            <w:vAlign w:val="center"/>
          </w:tcPr>
          <w:p w14:paraId="7B4DFAC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color w:val="auto"/>
                <w:sz w:val="32"/>
                <w:szCs w:val="32"/>
                <w:vertAlign w:val="baseline"/>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7308F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36" w:type="dxa"/>
            <w:vAlign w:val="center"/>
          </w:tcPr>
          <w:p w14:paraId="7FD0EB4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i w:val="0"/>
                <w:iCs w:val="0"/>
                <w:color w:val="auto"/>
                <w:kern w:val="0"/>
                <w:sz w:val="32"/>
                <w:szCs w:val="32"/>
                <w:u w:val="none"/>
                <w:lang w:val="en-US" w:eastAsia="zh-CN" w:bidi="ar"/>
              </w:rPr>
            </w:pPr>
            <w:r>
              <w:rPr>
                <w:rFonts w:hint="eastAsia" w:asciiTheme="minorEastAsia" w:hAnsiTheme="minorEastAsia" w:eastAsiaTheme="minorEastAsia" w:cstheme="minorEastAsia"/>
                <w:color w:val="auto"/>
                <w:sz w:val="20"/>
                <w:szCs w:val="20"/>
                <w:highlight w:val="none"/>
                <w:vertAlign w:val="baseline"/>
                <w:lang w:val="en-US" w:eastAsia="zh-CN"/>
              </w:rPr>
              <w:t>10</w:t>
            </w:r>
          </w:p>
        </w:tc>
        <w:tc>
          <w:tcPr>
            <w:tcW w:w="4867" w:type="dxa"/>
            <w:vAlign w:val="center"/>
          </w:tcPr>
          <w:p w14:paraId="5F064D64">
            <w:pPr>
              <w:keepNext w:val="0"/>
              <w:keepLines w:val="0"/>
              <w:widowControl/>
              <w:suppressLineNumbers w:val="0"/>
              <w:jc w:val="center"/>
              <w:textAlignment w:val="center"/>
              <w:rPr>
                <w:rFonts w:hint="eastAsia" w:ascii="仿宋_GB2312" w:hAnsi="仿宋_GB2312" w:eastAsia="仿宋_GB2312" w:cs="仿宋_GB2312"/>
                <w:color w:val="auto"/>
                <w:sz w:val="32"/>
                <w:szCs w:val="32"/>
                <w:vertAlign w:val="baseline"/>
              </w:rPr>
            </w:pPr>
            <w:r>
              <w:rPr>
                <w:rFonts w:hint="eastAsia" w:ascii="宋体" w:hAnsi="宋体" w:eastAsia="宋体" w:cs="宋体"/>
                <w:i w:val="0"/>
                <w:iCs w:val="0"/>
                <w:color w:val="000000"/>
                <w:kern w:val="0"/>
                <w:sz w:val="20"/>
                <w:szCs w:val="20"/>
                <w:u w:val="none"/>
                <w:lang w:val="en-US" w:eastAsia="zh-CN" w:bidi="ar"/>
              </w:rPr>
              <w:t>广东电网有限责任公司汕头供电局2026年-2027年与属地媒体宣传服务采购（服务类）—对应“属地媒体宣传服务”目录</w:t>
            </w:r>
          </w:p>
        </w:tc>
        <w:tc>
          <w:tcPr>
            <w:tcW w:w="3028" w:type="dxa"/>
            <w:vAlign w:val="center"/>
          </w:tcPr>
          <w:p w14:paraId="169B3CA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color w:val="auto"/>
                <w:sz w:val="32"/>
                <w:szCs w:val="32"/>
                <w:vertAlign w:val="baseline"/>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025BE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36" w:type="dxa"/>
            <w:vAlign w:val="center"/>
          </w:tcPr>
          <w:p w14:paraId="4D7B81B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i w:val="0"/>
                <w:iCs w:val="0"/>
                <w:color w:val="auto"/>
                <w:kern w:val="0"/>
                <w:sz w:val="32"/>
                <w:szCs w:val="32"/>
                <w:u w:val="none"/>
                <w:lang w:val="en-US" w:eastAsia="zh-CN" w:bidi="ar"/>
              </w:rPr>
            </w:pPr>
            <w:r>
              <w:rPr>
                <w:rFonts w:hint="eastAsia" w:asciiTheme="minorEastAsia" w:hAnsiTheme="minorEastAsia" w:eastAsiaTheme="minorEastAsia" w:cstheme="minorEastAsia"/>
                <w:color w:val="auto"/>
                <w:sz w:val="20"/>
                <w:szCs w:val="20"/>
                <w:highlight w:val="none"/>
                <w:vertAlign w:val="baseline"/>
                <w:lang w:val="en-US" w:eastAsia="zh-CN"/>
              </w:rPr>
              <w:t>11</w:t>
            </w:r>
          </w:p>
        </w:tc>
        <w:tc>
          <w:tcPr>
            <w:tcW w:w="4867" w:type="dxa"/>
            <w:vAlign w:val="center"/>
          </w:tcPr>
          <w:p w14:paraId="7EA0CAD5">
            <w:pPr>
              <w:keepNext w:val="0"/>
              <w:keepLines w:val="0"/>
              <w:widowControl/>
              <w:suppressLineNumbers w:val="0"/>
              <w:jc w:val="center"/>
              <w:textAlignment w:val="center"/>
              <w:rPr>
                <w:rFonts w:hint="eastAsia" w:ascii="仿宋_GB2312" w:hAnsi="仿宋_GB2312" w:eastAsia="仿宋_GB2312" w:cs="仿宋_GB2312"/>
                <w:color w:val="auto"/>
                <w:sz w:val="32"/>
                <w:szCs w:val="32"/>
                <w:vertAlign w:val="baseline"/>
              </w:rPr>
            </w:pPr>
            <w:r>
              <w:rPr>
                <w:rFonts w:hint="eastAsia" w:ascii="宋体" w:hAnsi="宋体" w:eastAsia="宋体" w:cs="宋体"/>
                <w:i w:val="0"/>
                <w:iCs w:val="0"/>
                <w:color w:val="000000"/>
                <w:kern w:val="0"/>
                <w:sz w:val="20"/>
                <w:szCs w:val="20"/>
                <w:u w:val="none"/>
                <w:lang w:val="en-US" w:eastAsia="zh-CN" w:bidi="ar"/>
              </w:rPr>
              <w:t>广东电网有限责任公司汕头供电局2026年第一批管理创新外委服务（服务类）—对应“管理创新项目服务”目录</w:t>
            </w:r>
          </w:p>
        </w:tc>
        <w:tc>
          <w:tcPr>
            <w:tcW w:w="3028" w:type="dxa"/>
            <w:vAlign w:val="center"/>
          </w:tcPr>
          <w:p w14:paraId="51ECFBD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color w:val="auto"/>
                <w:sz w:val="32"/>
                <w:szCs w:val="32"/>
                <w:vertAlign w:val="baseline"/>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1B4BE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36" w:type="dxa"/>
            <w:vAlign w:val="center"/>
          </w:tcPr>
          <w:p w14:paraId="21F25A5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i w:val="0"/>
                <w:iCs w:val="0"/>
                <w:color w:val="auto"/>
                <w:kern w:val="0"/>
                <w:sz w:val="32"/>
                <w:szCs w:val="32"/>
                <w:u w:val="none"/>
                <w:lang w:val="en-US" w:eastAsia="zh-CN" w:bidi="ar"/>
              </w:rPr>
            </w:pPr>
            <w:r>
              <w:rPr>
                <w:rFonts w:hint="eastAsia" w:asciiTheme="minorEastAsia" w:hAnsiTheme="minorEastAsia" w:eastAsiaTheme="minorEastAsia" w:cstheme="minorEastAsia"/>
                <w:color w:val="auto"/>
                <w:sz w:val="20"/>
                <w:szCs w:val="20"/>
                <w:highlight w:val="none"/>
                <w:vertAlign w:val="baseline"/>
                <w:lang w:val="en-US" w:eastAsia="zh-CN"/>
              </w:rPr>
              <w:t>12</w:t>
            </w:r>
          </w:p>
        </w:tc>
        <w:tc>
          <w:tcPr>
            <w:tcW w:w="4867" w:type="dxa"/>
            <w:vAlign w:val="center"/>
          </w:tcPr>
          <w:p w14:paraId="1C22B148">
            <w:pPr>
              <w:keepNext w:val="0"/>
              <w:keepLines w:val="0"/>
              <w:widowControl/>
              <w:suppressLineNumbers w:val="0"/>
              <w:jc w:val="center"/>
              <w:textAlignment w:val="center"/>
              <w:rPr>
                <w:rFonts w:hint="eastAsia" w:ascii="仿宋_GB2312" w:hAnsi="仿宋_GB2312" w:eastAsia="仿宋_GB2312" w:cs="仿宋_GB2312"/>
                <w:color w:val="auto"/>
                <w:sz w:val="32"/>
                <w:szCs w:val="32"/>
                <w:vertAlign w:val="baseline"/>
              </w:rPr>
            </w:pPr>
            <w:r>
              <w:rPr>
                <w:rFonts w:hint="eastAsia" w:ascii="宋体" w:hAnsi="宋体" w:eastAsia="宋体" w:cs="宋体"/>
                <w:i w:val="0"/>
                <w:iCs w:val="0"/>
                <w:color w:val="000000"/>
                <w:kern w:val="0"/>
                <w:sz w:val="20"/>
                <w:szCs w:val="20"/>
                <w:u w:val="none"/>
                <w:lang w:val="en-US" w:eastAsia="zh-CN" w:bidi="ar"/>
              </w:rPr>
              <w:t>广东电网有限责任公司汕头供电局2026-2027年系统内作业人员委托培训（取证）服务采购（服务类）—对应“委托培训（取证）服务”目录</w:t>
            </w:r>
          </w:p>
        </w:tc>
        <w:tc>
          <w:tcPr>
            <w:tcW w:w="3028" w:type="dxa"/>
            <w:vAlign w:val="center"/>
          </w:tcPr>
          <w:p w14:paraId="16FE072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color w:val="auto"/>
                <w:sz w:val="32"/>
                <w:szCs w:val="32"/>
                <w:vertAlign w:val="baseline"/>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2CA7E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36" w:type="dxa"/>
            <w:vAlign w:val="center"/>
          </w:tcPr>
          <w:p w14:paraId="0775A2D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i w:val="0"/>
                <w:iCs w:val="0"/>
                <w:color w:val="auto"/>
                <w:kern w:val="0"/>
                <w:sz w:val="32"/>
                <w:szCs w:val="32"/>
                <w:u w:val="none"/>
                <w:lang w:val="en-US" w:eastAsia="zh-CN" w:bidi="ar"/>
              </w:rPr>
            </w:pPr>
            <w:r>
              <w:rPr>
                <w:rFonts w:hint="eastAsia" w:asciiTheme="minorEastAsia" w:hAnsiTheme="minorEastAsia" w:eastAsiaTheme="minorEastAsia" w:cstheme="minorEastAsia"/>
                <w:color w:val="auto"/>
                <w:sz w:val="20"/>
                <w:szCs w:val="20"/>
                <w:highlight w:val="none"/>
                <w:vertAlign w:val="baseline"/>
                <w:lang w:val="en-US" w:eastAsia="zh-CN"/>
              </w:rPr>
              <w:t>13</w:t>
            </w:r>
          </w:p>
        </w:tc>
        <w:tc>
          <w:tcPr>
            <w:tcW w:w="4867" w:type="dxa"/>
            <w:vAlign w:val="center"/>
          </w:tcPr>
          <w:p w14:paraId="055B8984">
            <w:pPr>
              <w:keepNext w:val="0"/>
              <w:keepLines w:val="0"/>
              <w:widowControl/>
              <w:suppressLineNumbers w:val="0"/>
              <w:jc w:val="center"/>
              <w:textAlignment w:val="center"/>
              <w:rPr>
                <w:rFonts w:hint="eastAsia" w:ascii="仿宋_GB2312" w:hAnsi="仿宋_GB2312" w:eastAsia="仿宋_GB2312" w:cs="仿宋_GB2312"/>
                <w:color w:val="auto"/>
                <w:sz w:val="32"/>
                <w:szCs w:val="32"/>
                <w:vertAlign w:val="baseline"/>
              </w:rPr>
            </w:pPr>
            <w:r>
              <w:rPr>
                <w:rFonts w:hint="eastAsia" w:ascii="宋体" w:hAnsi="宋体" w:eastAsia="宋体" w:cs="宋体"/>
                <w:i w:val="0"/>
                <w:iCs w:val="0"/>
                <w:color w:val="000000"/>
                <w:kern w:val="0"/>
                <w:sz w:val="20"/>
                <w:szCs w:val="20"/>
                <w:u w:val="none"/>
                <w:lang w:val="en-US" w:eastAsia="zh-CN" w:bidi="ar"/>
              </w:rPr>
              <w:t>汕头供电局2027-2029年度企业补充医疗保险基金委托管理采购（服务类）—对应“医疗、员工体检服务；工作服及窗帘等洗涤服务；车辆驾驶服务；理发服务”目录</w:t>
            </w:r>
          </w:p>
        </w:tc>
        <w:tc>
          <w:tcPr>
            <w:tcW w:w="3028" w:type="dxa"/>
            <w:vAlign w:val="center"/>
          </w:tcPr>
          <w:p w14:paraId="414B5D2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color w:val="auto"/>
                <w:sz w:val="32"/>
                <w:szCs w:val="32"/>
                <w:vertAlign w:val="baseline"/>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59824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36" w:type="dxa"/>
            <w:vAlign w:val="center"/>
          </w:tcPr>
          <w:p w14:paraId="6881A1C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i w:val="0"/>
                <w:iCs w:val="0"/>
                <w:color w:val="auto"/>
                <w:kern w:val="0"/>
                <w:sz w:val="32"/>
                <w:szCs w:val="32"/>
                <w:u w:val="none"/>
                <w:lang w:val="en-US" w:eastAsia="zh-CN" w:bidi="ar"/>
              </w:rPr>
            </w:pPr>
            <w:r>
              <w:rPr>
                <w:rFonts w:hint="eastAsia" w:asciiTheme="minorEastAsia" w:hAnsiTheme="minorEastAsia" w:eastAsiaTheme="minorEastAsia" w:cstheme="minorEastAsia"/>
                <w:color w:val="auto"/>
                <w:sz w:val="20"/>
                <w:szCs w:val="20"/>
                <w:highlight w:val="none"/>
                <w:vertAlign w:val="baseline"/>
                <w:lang w:val="en-US" w:eastAsia="zh-CN"/>
              </w:rPr>
              <w:t>14</w:t>
            </w:r>
          </w:p>
        </w:tc>
        <w:tc>
          <w:tcPr>
            <w:tcW w:w="4867" w:type="dxa"/>
            <w:vAlign w:val="center"/>
          </w:tcPr>
          <w:p w14:paraId="59B7BA7F">
            <w:pPr>
              <w:keepNext w:val="0"/>
              <w:keepLines w:val="0"/>
              <w:widowControl/>
              <w:suppressLineNumbers w:val="0"/>
              <w:jc w:val="center"/>
              <w:textAlignment w:val="center"/>
              <w:rPr>
                <w:rFonts w:hint="eastAsia" w:ascii="仿宋_GB2312" w:hAnsi="仿宋_GB2312" w:eastAsia="仿宋_GB2312" w:cs="仿宋_GB2312"/>
                <w:color w:val="auto"/>
                <w:sz w:val="32"/>
                <w:szCs w:val="32"/>
                <w:vertAlign w:val="baseline"/>
              </w:rPr>
            </w:pPr>
            <w:r>
              <w:rPr>
                <w:rFonts w:hint="eastAsia" w:ascii="宋体" w:hAnsi="宋体" w:eastAsia="宋体" w:cs="宋体"/>
                <w:i w:val="0"/>
                <w:iCs w:val="0"/>
                <w:color w:val="000000"/>
                <w:kern w:val="0"/>
                <w:sz w:val="20"/>
                <w:szCs w:val="20"/>
                <w:u w:val="none"/>
                <w:lang w:val="en-US" w:eastAsia="zh-CN" w:bidi="ar"/>
              </w:rPr>
              <w:t>500千伏经济型高压直流断路器关键技术及装备-课题5：经济型高压直流断路器工程化技术与示范科技项目研发外委服务（服务类）—对应“省级决策科技项目研发外委服务（不含科技项目委托管理细则中限定的可开展委托的范围）、科技项目涉及的加工、文献出版、传媒、检索、查新、特殊设备的测试化验服务以及非集中采购的专项经费相关服务”目录</w:t>
            </w:r>
          </w:p>
        </w:tc>
        <w:tc>
          <w:tcPr>
            <w:tcW w:w="3028" w:type="dxa"/>
            <w:vAlign w:val="center"/>
          </w:tcPr>
          <w:p w14:paraId="64215B7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color w:val="auto"/>
                <w:sz w:val="32"/>
                <w:szCs w:val="32"/>
                <w:vertAlign w:val="baseline"/>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771D1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36" w:type="dxa"/>
            <w:vAlign w:val="center"/>
          </w:tcPr>
          <w:p w14:paraId="1AE3F69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i w:val="0"/>
                <w:iCs w:val="0"/>
                <w:color w:val="auto"/>
                <w:kern w:val="0"/>
                <w:sz w:val="32"/>
                <w:szCs w:val="32"/>
                <w:u w:val="none"/>
                <w:lang w:val="en-US" w:eastAsia="zh-CN" w:bidi="ar"/>
              </w:rPr>
            </w:pPr>
            <w:r>
              <w:rPr>
                <w:rFonts w:hint="eastAsia" w:asciiTheme="minorEastAsia" w:hAnsiTheme="minorEastAsia" w:eastAsiaTheme="minorEastAsia" w:cstheme="minorEastAsia"/>
                <w:color w:val="auto"/>
                <w:sz w:val="20"/>
                <w:szCs w:val="20"/>
                <w:highlight w:val="none"/>
                <w:vertAlign w:val="baseline"/>
                <w:lang w:val="en-US" w:eastAsia="zh-CN"/>
              </w:rPr>
              <w:t>15</w:t>
            </w:r>
          </w:p>
        </w:tc>
        <w:tc>
          <w:tcPr>
            <w:tcW w:w="4867" w:type="dxa"/>
            <w:vAlign w:val="center"/>
          </w:tcPr>
          <w:p w14:paraId="184A282F">
            <w:pPr>
              <w:keepNext w:val="0"/>
              <w:keepLines w:val="0"/>
              <w:widowControl/>
              <w:suppressLineNumbers w:val="0"/>
              <w:jc w:val="center"/>
              <w:textAlignment w:val="center"/>
              <w:rPr>
                <w:rFonts w:hint="eastAsia" w:ascii="仿宋_GB2312" w:hAnsi="仿宋_GB2312" w:eastAsia="仿宋_GB2312" w:cs="仿宋_GB2312"/>
                <w:color w:val="auto"/>
                <w:sz w:val="32"/>
                <w:szCs w:val="32"/>
                <w:vertAlign w:val="baseline"/>
              </w:rPr>
            </w:pPr>
            <w:r>
              <w:rPr>
                <w:rFonts w:hint="eastAsia" w:ascii="宋体" w:hAnsi="宋体" w:eastAsia="宋体" w:cs="宋体"/>
                <w:i w:val="0"/>
                <w:iCs w:val="0"/>
                <w:color w:val="000000"/>
                <w:kern w:val="0"/>
                <w:sz w:val="20"/>
                <w:szCs w:val="20"/>
                <w:u w:val="none"/>
                <w:lang w:val="en-US" w:eastAsia="zh-CN" w:bidi="ar"/>
              </w:rPr>
              <w:t>500千伏经济型高压直流断路器关键技术及装备-课题5：经济型高压直流断路器工程化技术与示范科技项目测试化验及相关服务（服务类）—对应“省级决策科技项目研发外委服务（不含科技项目委托管理细则中限定的可开展委托的范围）、科技项目涉及的加工、文献出版、传媒、检索、查新、特殊设备的测试化验服务以及非集中采购的专项经费相关服务”目录</w:t>
            </w:r>
          </w:p>
        </w:tc>
        <w:tc>
          <w:tcPr>
            <w:tcW w:w="3028" w:type="dxa"/>
            <w:vAlign w:val="center"/>
          </w:tcPr>
          <w:p w14:paraId="73CBB19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color w:val="auto"/>
                <w:sz w:val="32"/>
                <w:szCs w:val="32"/>
                <w:vertAlign w:val="baseline"/>
              </w:rPr>
            </w:pPr>
            <w:r>
              <w:rPr>
                <w:rFonts w:hint="eastAsia" w:asciiTheme="minorEastAsia" w:hAnsiTheme="minorEastAsia" w:cstheme="minorEastAsia"/>
                <w:i w:val="0"/>
                <w:iCs w:val="0"/>
                <w:color w:val="auto"/>
                <w:kern w:val="0"/>
                <w:sz w:val="20"/>
                <w:szCs w:val="20"/>
                <w:highlight w:val="none"/>
                <w:u w:val="none"/>
                <w:lang w:val="en-US" w:eastAsia="zh-CN" w:bidi="ar"/>
              </w:rPr>
              <w:t>2026年第三季度</w:t>
            </w:r>
          </w:p>
        </w:tc>
      </w:tr>
      <w:tr w14:paraId="6AAB8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36" w:type="dxa"/>
            <w:vAlign w:val="center"/>
          </w:tcPr>
          <w:p w14:paraId="5D7D2E4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仿宋_GB2312" w:hAnsi="仿宋_GB2312" w:eastAsia="仿宋_GB2312" w:cs="仿宋_GB2312"/>
                <w:i w:val="0"/>
                <w:iCs w:val="0"/>
                <w:color w:val="auto"/>
                <w:kern w:val="0"/>
                <w:sz w:val="32"/>
                <w:szCs w:val="32"/>
                <w:u w:val="none"/>
                <w:lang w:val="en-US" w:eastAsia="zh-CN" w:bidi="ar"/>
              </w:rPr>
            </w:pPr>
            <w:r>
              <w:rPr>
                <w:rFonts w:hint="eastAsia" w:asciiTheme="minorEastAsia" w:hAnsiTheme="minorEastAsia" w:eastAsiaTheme="minorEastAsia" w:cstheme="minorEastAsia"/>
                <w:i w:val="0"/>
                <w:iCs w:val="0"/>
                <w:color w:val="auto"/>
                <w:kern w:val="2"/>
                <w:sz w:val="20"/>
                <w:szCs w:val="20"/>
                <w:highlight w:val="none"/>
                <w:u w:val="none"/>
                <w:lang w:val="en-US" w:eastAsia="zh-CN" w:bidi="ar"/>
              </w:rPr>
              <w:t>16</w:t>
            </w:r>
          </w:p>
        </w:tc>
        <w:tc>
          <w:tcPr>
            <w:tcW w:w="4867" w:type="dxa"/>
            <w:vAlign w:val="center"/>
          </w:tcPr>
          <w:p w14:paraId="6B50DFBC">
            <w:pPr>
              <w:keepNext w:val="0"/>
              <w:keepLines w:val="0"/>
              <w:widowControl/>
              <w:suppressLineNumbers w:val="0"/>
              <w:jc w:val="center"/>
              <w:textAlignment w:val="center"/>
              <w:rPr>
                <w:rFonts w:hint="eastAsia" w:ascii="仿宋_GB2312" w:hAnsi="仿宋_GB2312" w:eastAsia="仿宋_GB2312" w:cs="仿宋_GB2312"/>
                <w:color w:val="auto"/>
                <w:sz w:val="32"/>
                <w:szCs w:val="32"/>
                <w:vertAlign w:val="baseline"/>
              </w:rPr>
            </w:pPr>
            <w:r>
              <w:rPr>
                <w:rFonts w:hint="eastAsia" w:ascii="宋体" w:hAnsi="宋体" w:eastAsia="宋体" w:cs="宋体"/>
                <w:i w:val="0"/>
                <w:iCs w:val="0"/>
                <w:color w:val="000000"/>
                <w:kern w:val="0"/>
                <w:sz w:val="20"/>
                <w:szCs w:val="20"/>
                <w:u w:val="none"/>
                <w:lang w:val="en-US" w:eastAsia="zh-CN" w:bidi="ar"/>
              </w:rPr>
              <w:t>广东电网有限责任公司汕头供电局2026年第一批省级决策科技项目研发外委服务（服务类）—对应“省级决策科技项目研发外委服务（不含科技项目委托管理细则中限定的可开展委托的范围）、科技项目涉及的加工、文献出版、传媒、检索、查新、特殊设备的测试化验服务以及非集中采购的专项经费相关服务”目录</w:t>
            </w:r>
          </w:p>
        </w:tc>
        <w:tc>
          <w:tcPr>
            <w:tcW w:w="3028" w:type="dxa"/>
            <w:vAlign w:val="center"/>
          </w:tcPr>
          <w:p w14:paraId="5366B1D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color w:val="auto"/>
                <w:sz w:val="32"/>
                <w:szCs w:val="32"/>
                <w:vertAlign w:val="baseline"/>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47110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31" w:type="dxa"/>
            <w:gridSpan w:val="3"/>
            <w:vAlign w:val="center"/>
          </w:tcPr>
          <w:p w14:paraId="0E01CFCE">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default" w:ascii="仿宋_GB2312" w:hAnsi="仿宋_GB2312" w:eastAsia="仿宋_GB2312" w:cs="仿宋_GB2312"/>
                <w:color w:val="auto"/>
                <w:sz w:val="32"/>
                <w:szCs w:val="32"/>
                <w:vertAlign w:val="baseline"/>
                <w:lang w:val="en-US" w:eastAsia="zh-CN"/>
              </w:rPr>
            </w:pPr>
            <w:r>
              <w:rPr>
                <w:rFonts w:hint="eastAsia" w:ascii="仿宋_GB2312" w:hAnsi="仿宋_GB2312" w:eastAsia="仿宋_GB2312" w:cs="仿宋_GB2312"/>
                <w:color w:val="auto"/>
                <w:sz w:val="32"/>
                <w:szCs w:val="32"/>
                <w:vertAlign w:val="baseline"/>
                <w:lang w:val="en-US" w:eastAsia="zh-CN"/>
              </w:rPr>
              <w:t>备注：各采购计划批次将根据实施进度进行整合，具体以发布公告为准</w:t>
            </w:r>
          </w:p>
        </w:tc>
      </w:tr>
    </w:tbl>
    <w:p w14:paraId="24EEE430">
      <w:bookmarkStart w:id="0" w:name="_GoBack"/>
      <w:bookmarkEnd w:id="0"/>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altName w:val="微软雅黑"/>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F229D5">
    <w:pPr>
      <w:pStyle w:val="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7"/>
  <w:doNotDisplayPageBoundaries w:val="1"/>
  <w:embedSystemFonts/>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104303CE"/>
    <w:rsid w:val="16E22387"/>
    <w:rsid w:val="37B86725"/>
    <w:rsid w:val="39AB5515"/>
    <w:rsid w:val="41CC66EE"/>
    <w:rsid w:val="5B2770F4"/>
    <w:rsid w:val="6A446CFB"/>
    <w:rsid w:val="6E647D14"/>
    <w:rsid w:val="769361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9"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5"/>
    <w:basedOn w:val="1"/>
    <w:next w:val="1"/>
    <w:unhideWhenUsed/>
    <w:qFormat/>
    <w:uiPriority w:val="9"/>
    <w:pPr>
      <w:keepNext/>
      <w:keepLines/>
      <w:spacing w:before="280" w:after="290" w:line="376" w:lineRule="auto"/>
      <w:outlineLvl w:val="4"/>
    </w:pPr>
    <w:rPr>
      <w:rFonts w:ascii="Times New Roman" w:hAnsi="Times New Roman"/>
      <w:b/>
      <w:bCs/>
      <w:sz w:val="28"/>
      <w:szCs w:val="28"/>
    </w:rPr>
  </w:style>
  <w:style w:type="character" w:default="1" w:styleId="7">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2</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2026-06-18T03:30:00Z</dcterms:created>
  <dc:creator>zhangqi7</dc:creator>
  <cp:lastModifiedBy>郑和波</cp:lastModifiedBy>
  <dcterms:modified xsi:type="dcterms:W3CDTF">2026-07-27T07:58:59Z</dcterms:modified>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E4CE2565641442B1AAF32592009CE492_13</vt:lpwstr>
  </property>
  <property fmtid="{D5CDD505-2E9C-101B-9397-08002B2CF9AE}" pid="3" name="KSOProductBuildVer">
    <vt:lpwstr>2052-12.1.0.22529</vt:lpwstr>
  </property>
</Properties>
</file>