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40" w:lineRule="exact"/>
        <w:jc w:val="center"/>
        <w:rPr>
          <w:rFonts w:hint="eastAsia"/>
        </w:rPr>
      </w:pPr>
      <w:r>
        <w:rPr>
          <w:rFonts w:hint="eastAsia" w:ascii="方正小标宋简体" w:hAnsi="方正小标宋简体" w:eastAsia="方正小标宋简体"/>
          <w:sz w:val="32"/>
          <w:szCs w:val="32"/>
        </w:rPr>
        <w:t>建管公司2026年智能开关关键技术科技成果鉴定项目</w:t>
      </w:r>
    </w:p>
    <w:p>
      <w:pPr>
        <w:ind w:firstLine="561" w:firstLineChars="200"/>
        <w:jc w:val="both"/>
        <w:rPr>
          <w:rFonts w:hint="eastAsia" w:ascii="宋体" w:hAnsi="宋体" w:eastAsia="宋体"/>
          <w:b/>
          <w:bCs/>
          <w:sz w:val="28"/>
          <w:szCs w:val="28"/>
        </w:rPr>
      </w:pPr>
      <w:r>
        <w:rPr>
          <w:rFonts w:hint="eastAsia" w:ascii="宋体" w:hAnsi="宋体" w:eastAsia="宋体"/>
          <w:b/>
          <w:bCs/>
          <w:sz w:val="28"/>
          <w:szCs w:val="28"/>
        </w:rPr>
        <w:t>一、项目概述</w:t>
      </w:r>
    </w:p>
    <w:p>
      <w:pPr>
        <w:pStyle w:val="14"/>
        <w:shd w:val="clear" w:color="auto" w:fill="FFFFFF"/>
        <w:spacing w:before="240" w:beforeAutospacing="0" w:after="240" w:afterAutospacing="0" w:line="360" w:lineRule="auto"/>
        <w:rPr>
          <w:rFonts w:hint="eastAsia"/>
          <w:sz w:val="28"/>
          <w:szCs w:val="28"/>
        </w:rPr>
      </w:pPr>
      <w:r>
        <w:rPr>
          <w:rFonts w:cstheme="minorBidi"/>
          <w:kern w:val="2"/>
          <w:sz w:val="28"/>
          <w:szCs w:val="28"/>
          <w14:ligatures w14:val="standardContextual"/>
        </w:rPr>
        <w:t xml:space="preserve">    为满足南方电网电子商城科创专区产品上架要求，根据南网电子商城科创专区运营业务指导书中关于“产品鉴定证书须由省级及以上权威机构颁发”的上架规定，南方电网调峰调频发电有限公司工程建设管理分公司现开展本质安全型智能开关关键技术科技成果鉴定服务采购工作。同时，为提升科技成果行业影响力，确保鉴定结论具备申报省级及以上科学技术奖的采信条件，要求鉴定服务方具备省级及以上科学技术奖提名资格</w:t>
      </w:r>
      <w:r>
        <w:rPr>
          <w:rFonts w:hint="eastAsia" w:cstheme="minorBidi"/>
          <w:kern w:val="2"/>
          <w:sz w:val="28"/>
          <w:szCs w:val="28"/>
          <w14:ligatures w14:val="standardContextual"/>
        </w:rPr>
        <w:t>或</w:t>
      </w:r>
      <w:r>
        <w:rPr>
          <w:rFonts w:cstheme="minorBidi"/>
          <w:kern w:val="2"/>
          <w:sz w:val="28"/>
          <w:szCs w:val="28"/>
          <w14:ligatures w14:val="standardContextual"/>
        </w:rPr>
        <w:t>行业权威地位。</w:t>
      </w:r>
    </w:p>
    <w:p>
      <w:pPr>
        <w:spacing w:after="0"/>
        <w:ind w:firstLine="561" w:firstLineChars="200"/>
        <w:jc w:val="both"/>
        <w:rPr>
          <w:rFonts w:hint="eastAsia" w:ascii="宋体" w:hAnsi="宋体" w:eastAsia="宋体"/>
          <w:b/>
          <w:bCs/>
          <w:sz w:val="28"/>
          <w:szCs w:val="28"/>
        </w:rPr>
      </w:pPr>
      <w:r>
        <w:rPr>
          <w:rFonts w:hint="eastAsia" w:ascii="宋体" w:hAnsi="宋体" w:eastAsia="宋体"/>
          <w:b/>
          <w:bCs/>
          <w:sz w:val="28"/>
          <w:szCs w:val="28"/>
        </w:rPr>
        <w:t>二、采购范围</w:t>
      </w:r>
    </w:p>
    <w:p>
      <w:pPr>
        <w:pStyle w:val="14"/>
        <w:shd w:val="clear" w:color="auto" w:fill="FFFFFF"/>
        <w:spacing w:before="240" w:beforeAutospacing="0" w:after="0" w:afterAutospacing="0" w:line="360" w:lineRule="auto"/>
        <w:rPr>
          <w:rFonts w:hint="eastAsia"/>
          <w:sz w:val="28"/>
          <w:szCs w:val="28"/>
        </w:rPr>
      </w:pPr>
      <w:r>
        <w:rPr>
          <w:rFonts w:cstheme="minorBidi"/>
          <w:kern w:val="2"/>
          <w:sz w:val="28"/>
          <w:szCs w:val="28"/>
          <w14:ligatures w14:val="standardContextual"/>
        </w:rPr>
        <w:t xml:space="preserve">    本项目拟采购科技成果鉴定服务，对本质安全型智能开关关键技术组织专家开展科技成果鉴定，出具鉴定证书，为后续产品上架南方电网电子商城科创专区提供合规的鉴定依据</w:t>
      </w:r>
      <w:r>
        <w:rPr>
          <w:sz w:val="28"/>
          <w:szCs w:val="28"/>
        </w:rPr>
        <w:t>。</w:t>
      </w:r>
    </w:p>
    <w:p>
      <w:pPr>
        <w:spacing w:after="0"/>
        <w:ind w:firstLine="560" w:firstLineChars="200"/>
        <w:jc w:val="both"/>
        <w:rPr>
          <w:rFonts w:hint="eastAsia" w:ascii="宋体" w:hAnsi="宋体" w:eastAsia="宋体"/>
          <w:sz w:val="28"/>
          <w:szCs w:val="28"/>
        </w:rPr>
      </w:pPr>
      <w:r>
        <w:rPr>
          <w:rFonts w:ascii="宋体" w:hAnsi="宋体" w:eastAsia="宋体"/>
          <w:sz w:val="28"/>
          <w:szCs w:val="28"/>
        </w:rPr>
        <w:t>（一）服务内容包括但不限于：</w:t>
      </w:r>
    </w:p>
    <w:p>
      <w:pPr>
        <w:spacing w:after="0"/>
        <w:ind w:left="440" w:leftChars="200"/>
        <w:jc w:val="both"/>
        <w:rPr>
          <w:rFonts w:hint="eastAsia" w:ascii="宋体" w:hAnsi="宋体" w:eastAsia="宋体"/>
          <w:sz w:val="28"/>
          <w:szCs w:val="28"/>
        </w:rPr>
      </w:pPr>
      <w:r>
        <w:rPr>
          <w:rFonts w:hint="eastAsia" w:ascii="宋体" w:hAnsi="宋体" w:eastAsia="宋体"/>
          <w:sz w:val="28"/>
          <w:szCs w:val="28"/>
        </w:rPr>
        <w:t>1.</w:t>
      </w:r>
      <w:r>
        <w:rPr>
          <w:rFonts w:ascii="宋体" w:hAnsi="宋体" w:eastAsia="宋体"/>
          <w:sz w:val="28"/>
          <w:szCs w:val="28"/>
        </w:rPr>
        <w:t>组织并完成本质安全型智能开关关键技术的科技成果鉴定工作，出具相应的科技成果鉴定证书；</w:t>
      </w:r>
    </w:p>
    <w:p>
      <w:pPr>
        <w:spacing w:after="0"/>
        <w:ind w:left="440" w:leftChars="200"/>
        <w:jc w:val="both"/>
        <w:rPr>
          <w:rFonts w:hint="eastAsia" w:ascii="宋体" w:hAnsi="宋体" w:eastAsia="宋体"/>
          <w:sz w:val="28"/>
          <w:szCs w:val="28"/>
        </w:rPr>
      </w:pPr>
      <w:r>
        <w:rPr>
          <w:rFonts w:hint="eastAsia" w:ascii="宋体" w:hAnsi="宋体" w:eastAsia="宋体"/>
          <w:sz w:val="28"/>
          <w:szCs w:val="28"/>
        </w:rPr>
        <w:t>2.</w:t>
      </w:r>
      <w:r>
        <w:rPr>
          <w:rFonts w:ascii="宋体" w:hAnsi="宋体" w:eastAsia="宋体"/>
          <w:sz w:val="28"/>
          <w:szCs w:val="28"/>
        </w:rPr>
        <w:t>负责鉴定会议的全流程会务承办，包括但不限于会议场所预订、会议材料准备与整理、会议组织协调等会务工作；</w:t>
      </w:r>
    </w:p>
    <w:p>
      <w:pPr>
        <w:spacing w:after="0"/>
        <w:ind w:left="440" w:leftChars="200"/>
        <w:jc w:val="both"/>
        <w:rPr>
          <w:rFonts w:hint="eastAsia" w:ascii="宋体" w:hAnsi="宋体" w:eastAsia="宋体"/>
          <w:sz w:val="28"/>
          <w:szCs w:val="28"/>
        </w:rPr>
      </w:pPr>
      <w:r>
        <w:rPr>
          <w:rFonts w:hint="eastAsia" w:ascii="宋体" w:hAnsi="宋体" w:eastAsia="宋体"/>
          <w:sz w:val="28"/>
          <w:szCs w:val="28"/>
        </w:rPr>
        <w:t>3.</w:t>
      </w:r>
      <w:r>
        <w:rPr>
          <w:rFonts w:ascii="宋体" w:hAnsi="宋体" w:eastAsia="宋体"/>
          <w:sz w:val="28"/>
          <w:szCs w:val="28"/>
        </w:rPr>
        <w:t>负责鉴定专家的聘请与联络工作；</w:t>
      </w:r>
    </w:p>
    <w:p>
      <w:pPr>
        <w:spacing w:after="0"/>
        <w:ind w:left="440" w:leftChars="200"/>
        <w:jc w:val="both"/>
        <w:rPr>
          <w:rFonts w:hint="eastAsia" w:ascii="宋体" w:hAnsi="宋体" w:eastAsia="宋体"/>
          <w:sz w:val="28"/>
          <w:szCs w:val="28"/>
        </w:rPr>
      </w:pPr>
      <w:r>
        <w:rPr>
          <w:rFonts w:hint="eastAsia" w:ascii="宋体" w:hAnsi="宋体" w:eastAsia="宋体"/>
          <w:sz w:val="28"/>
          <w:szCs w:val="28"/>
        </w:rPr>
        <w:t>4.</w:t>
      </w:r>
      <w:r>
        <w:rPr>
          <w:rFonts w:ascii="宋体" w:hAnsi="宋体" w:eastAsia="宋体"/>
          <w:sz w:val="28"/>
          <w:szCs w:val="28"/>
        </w:rPr>
        <w:t>负责鉴定（评审）报告的编制与交付；</w:t>
      </w:r>
    </w:p>
    <w:p>
      <w:pPr>
        <w:spacing w:after="0"/>
        <w:ind w:left="440" w:leftChars="200"/>
        <w:jc w:val="both"/>
        <w:rPr>
          <w:rFonts w:hint="eastAsia" w:ascii="宋体" w:hAnsi="宋体" w:eastAsia="宋体"/>
          <w:sz w:val="28"/>
          <w:szCs w:val="28"/>
        </w:rPr>
      </w:pPr>
      <w:r>
        <w:rPr>
          <w:rFonts w:hint="eastAsia" w:ascii="宋体" w:hAnsi="宋体" w:eastAsia="宋体"/>
          <w:sz w:val="28"/>
          <w:szCs w:val="28"/>
        </w:rPr>
        <w:t>5.</w:t>
      </w:r>
      <w:r>
        <w:rPr>
          <w:rFonts w:ascii="宋体" w:hAnsi="宋体" w:eastAsia="宋体"/>
          <w:sz w:val="28"/>
          <w:szCs w:val="28"/>
        </w:rPr>
        <w:t>负责提供电力科技产品</w:t>
      </w:r>
      <w:r>
        <w:rPr>
          <w:rFonts w:hint="eastAsia" w:ascii="宋体" w:hAnsi="宋体" w:eastAsia="宋体"/>
          <w:sz w:val="28"/>
          <w:szCs w:val="28"/>
        </w:rPr>
        <w:t>成果</w:t>
      </w:r>
      <w:r>
        <w:rPr>
          <w:rFonts w:ascii="宋体" w:hAnsi="宋体" w:eastAsia="宋体"/>
          <w:sz w:val="28"/>
          <w:szCs w:val="28"/>
        </w:rPr>
        <w:t>鉴定（评审）相关政策规定咨询服务。</w:t>
      </w:r>
    </w:p>
    <w:p>
      <w:pPr>
        <w:spacing w:after="0"/>
        <w:ind w:firstLine="560" w:firstLineChars="200"/>
        <w:jc w:val="both"/>
        <w:rPr>
          <w:rFonts w:hint="eastAsia" w:ascii="宋体" w:hAnsi="宋体" w:eastAsia="宋体"/>
          <w:sz w:val="28"/>
          <w:szCs w:val="28"/>
        </w:rPr>
      </w:pPr>
      <w:r>
        <w:rPr>
          <w:rFonts w:ascii="宋体" w:hAnsi="宋体" w:eastAsia="宋体"/>
          <w:sz w:val="28"/>
          <w:szCs w:val="28"/>
        </w:rPr>
        <w:t>（二）本项目费用包含范围：</w:t>
      </w:r>
    </w:p>
    <w:p>
      <w:pPr>
        <w:spacing w:after="0"/>
        <w:ind w:firstLine="560" w:firstLineChars="200"/>
        <w:jc w:val="both"/>
        <w:rPr>
          <w:rFonts w:hint="eastAsia" w:ascii="宋体" w:hAnsi="宋体" w:eastAsia="宋体"/>
          <w:sz w:val="28"/>
          <w:szCs w:val="28"/>
        </w:rPr>
      </w:pPr>
      <w:r>
        <w:rPr>
          <w:rFonts w:ascii="宋体" w:hAnsi="宋体" w:eastAsia="宋体"/>
          <w:sz w:val="28"/>
          <w:szCs w:val="28"/>
        </w:rPr>
        <w:t>上述第（一）款第1至</w:t>
      </w:r>
      <w:r>
        <w:rPr>
          <w:rFonts w:hint="eastAsia" w:ascii="宋体" w:hAnsi="宋体" w:eastAsia="宋体"/>
          <w:sz w:val="28"/>
          <w:szCs w:val="28"/>
        </w:rPr>
        <w:t>5</w:t>
      </w:r>
      <w:r>
        <w:rPr>
          <w:rFonts w:ascii="宋体" w:hAnsi="宋体" w:eastAsia="宋体"/>
          <w:sz w:val="28"/>
          <w:szCs w:val="28"/>
        </w:rPr>
        <w:t>项服务内容所涉及的全部会务费用、组织协调费用及服务费用。</w:t>
      </w:r>
    </w:p>
    <w:p>
      <w:pPr>
        <w:spacing w:after="0"/>
        <w:ind w:firstLine="560" w:firstLineChars="200"/>
        <w:jc w:val="both"/>
        <w:rPr>
          <w:rFonts w:hint="eastAsia" w:ascii="宋体" w:hAnsi="宋体" w:eastAsia="宋体"/>
          <w:sz w:val="28"/>
          <w:szCs w:val="28"/>
        </w:rPr>
      </w:pPr>
      <w:r>
        <w:rPr>
          <w:rFonts w:ascii="宋体" w:hAnsi="宋体" w:eastAsia="宋体"/>
          <w:sz w:val="28"/>
          <w:szCs w:val="28"/>
        </w:rPr>
        <w:t>（三）本项目费用不包含范围：</w:t>
      </w:r>
    </w:p>
    <w:p>
      <w:pPr>
        <w:pStyle w:val="33"/>
        <w:spacing w:after="0"/>
        <w:ind w:left="440" w:leftChars="200"/>
        <w:jc w:val="both"/>
        <w:rPr>
          <w:rFonts w:hint="eastAsia" w:ascii="宋体" w:hAnsi="宋体" w:eastAsia="宋体"/>
          <w:sz w:val="28"/>
          <w:szCs w:val="28"/>
        </w:rPr>
      </w:pPr>
      <w:r>
        <w:rPr>
          <w:rFonts w:hint="eastAsia" w:ascii="宋体" w:hAnsi="宋体" w:eastAsia="宋体"/>
          <w:sz w:val="28"/>
          <w:szCs w:val="28"/>
        </w:rPr>
        <w:t>1.</w:t>
      </w:r>
      <w:r>
        <w:rPr>
          <w:rFonts w:ascii="宋体" w:hAnsi="宋体" w:eastAsia="宋体"/>
          <w:sz w:val="28"/>
          <w:szCs w:val="28"/>
        </w:rPr>
        <w:t>参与鉴定的专家劳务费；</w:t>
      </w:r>
    </w:p>
    <w:p>
      <w:pPr>
        <w:pStyle w:val="33"/>
        <w:spacing w:after="0"/>
        <w:ind w:left="440" w:leftChars="200"/>
        <w:jc w:val="both"/>
        <w:rPr>
          <w:rFonts w:hint="eastAsia" w:ascii="宋体" w:hAnsi="宋体" w:eastAsia="宋体"/>
          <w:sz w:val="28"/>
          <w:szCs w:val="28"/>
        </w:rPr>
      </w:pPr>
      <w:r>
        <w:rPr>
          <w:rFonts w:hint="eastAsia" w:ascii="宋体" w:hAnsi="宋体" w:eastAsia="宋体"/>
          <w:sz w:val="28"/>
          <w:szCs w:val="28"/>
        </w:rPr>
        <w:t>2.</w:t>
      </w:r>
      <w:r>
        <w:rPr>
          <w:rFonts w:ascii="宋体" w:hAnsi="宋体" w:eastAsia="宋体"/>
          <w:sz w:val="28"/>
          <w:szCs w:val="28"/>
        </w:rPr>
        <w:t>如举行现场评审，</w:t>
      </w:r>
      <w:r>
        <w:rPr>
          <w:rFonts w:hint="eastAsia" w:ascii="宋体" w:hAnsi="宋体" w:eastAsia="宋体"/>
          <w:sz w:val="28"/>
          <w:szCs w:val="28"/>
        </w:rPr>
        <w:t>评审</w:t>
      </w:r>
      <w:r>
        <w:rPr>
          <w:rFonts w:ascii="宋体" w:hAnsi="宋体" w:eastAsia="宋体"/>
          <w:sz w:val="28"/>
          <w:szCs w:val="28"/>
        </w:rPr>
        <w:t>专家</w:t>
      </w:r>
      <w:r>
        <w:rPr>
          <w:rFonts w:hint="eastAsia" w:ascii="宋体" w:hAnsi="宋体" w:eastAsia="宋体"/>
          <w:sz w:val="28"/>
          <w:szCs w:val="28"/>
        </w:rPr>
        <w:t>的交通、住宿、餐饮等</w:t>
      </w:r>
      <w:r>
        <w:rPr>
          <w:rFonts w:ascii="宋体" w:hAnsi="宋体" w:eastAsia="宋体"/>
          <w:sz w:val="28"/>
          <w:szCs w:val="28"/>
        </w:rPr>
        <w:t>差旅</w:t>
      </w:r>
      <w:r>
        <w:rPr>
          <w:rFonts w:hint="eastAsia" w:ascii="宋体" w:hAnsi="宋体" w:eastAsia="宋体"/>
          <w:sz w:val="28"/>
          <w:szCs w:val="28"/>
        </w:rPr>
        <w:t>支出</w:t>
      </w:r>
      <w:r>
        <w:rPr>
          <w:rFonts w:ascii="宋体" w:hAnsi="宋体" w:eastAsia="宋体"/>
          <w:sz w:val="28"/>
          <w:szCs w:val="28"/>
        </w:rPr>
        <w:t>。</w:t>
      </w:r>
    </w:p>
    <w:p>
      <w:pPr>
        <w:ind w:firstLine="561" w:firstLineChars="200"/>
        <w:jc w:val="both"/>
        <w:rPr>
          <w:rFonts w:hint="eastAsia" w:ascii="宋体" w:hAnsi="宋体" w:eastAsia="宋体"/>
          <w:b/>
          <w:bCs/>
          <w:sz w:val="28"/>
          <w:szCs w:val="28"/>
        </w:rPr>
      </w:pPr>
      <w:r>
        <w:rPr>
          <w:rFonts w:hint="eastAsia" w:ascii="宋体" w:hAnsi="宋体" w:eastAsia="宋体"/>
          <w:b/>
          <w:bCs/>
          <w:sz w:val="28"/>
          <w:szCs w:val="28"/>
        </w:rPr>
        <w:t>三、交付内容及验收标准</w:t>
      </w:r>
    </w:p>
    <w:p>
      <w:pPr>
        <w:ind w:firstLine="560" w:firstLineChars="200"/>
        <w:jc w:val="both"/>
        <w:rPr>
          <w:rFonts w:hint="eastAsia" w:ascii="宋体" w:hAnsi="宋体" w:eastAsia="宋体"/>
          <w:sz w:val="28"/>
          <w:szCs w:val="28"/>
        </w:rPr>
      </w:pPr>
      <w:r>
        <w:rPr>
          <w:rFonts w:hint="eastAsia" w:ascii="宋体" w:hAnsi="宋体" w:eastAsia="宋体"/>
          <w:sz w:val="28"/>
          <w:szCs w:val="28"/>
        </w:rPr>
        <w:t>（一）交付内容，见下表：</w:t>
      </w:r>
    </w:p>
    <w:tbl>
      <w:tblPr>
        <w:tblStyle w:val="16"/>
        <w:tblW w:w="8511" w:type="dxa"/>
        <w:tblInd w:w="-5" w:type="dxa"/>
        <w:tblLayout w:type="autofit"/>
        <w:tblCellMar>
          <w:top w:w="0" w:type="dxa"/>
          <w:left w:w="108" w:type="dxa"/>
          <w:bottom w:w="0" w:type="dxa"/>
          <w:right w:w="108" w:type="dxa"/>
        </w:tblCellMar>
      </w:tblPr>
      <w:tblGrid>
        <w:gridCol w:w="503"/>
        <w:gridCol w:w="4280"/>
        <w:gridCol w:w="1204"/>
        <w:gridCol w:w="2524"/>
      </w:tblGrid>
      <w:tr>
        <w:tblPrEx>
          <w:tblCellMar>
            <w:top w:w="0" w:type="dxa"/>
            <w:left w:w="108" w:type="dxa"/>
            <w:bottom w:w="0" w:type="dxa"/>
            <w:right w:w="108" w:type="dxa"/>
          </w:tblCellMar>
        </w:tblPrEx>
        <w:trPr>
          <w:trHeight w:val="444" w:hRule="atLeast"/>
        </w:trPr>
        <w:tc>
          <w:tcPr>
            <w:tcW w:w="503" w:type="dxa"/>
            <w:tcBorders>
              <w:top w:val="single" w:color="auto" w:sz="4" w:space="0"/>
              <w:left w:val="single" w:color="auto" w:sz="4" w:space="0"/>
              <w:bottom w:val="single" w:color="auto" w:sz="4" w:space="0"/>
              <w:right w:val="single" w:color="auto" w:sz="4" w:space="0"/>
            </w:tcBorders>
            <w:noWrap/>
            <w:vAlign w:val="center"/>
          </w:tcPr>
          <w:p>
            <w:pPr>
              <w:widowControl/>
              <w:spacing w:after="0" w:line="240" w:lineRule="auto"/>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序列</w:t>
            </w:r>
          </w:p>
        </w:tc>
        <w:tc>
          <w:tcPr>
            <w:tcW w:w="4280" w:type="dxa"/>
            <w:tcBorders>
              <w:top w:val="single" w:color="auto" w:sz="4" w:space="0"/>
              <w:left w:val="nil"/>
              <w:bottom w:val="single" w:color="auto" w:sz="4" w:space="0"/>
              <w:right w:val="single" w:color="auto" w:sz="4" w:space="0"/>
            </w:tcBorders>
            <w:vAlign w:val="center"/>
          </w:tcPr>
          <w:p>
            <w:pPr>
              <w:widowControl/>
              <w:spacing w:after="0" w:line="240" w:lineRule="auto"/>
              <w:jc w:val="center"/>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服务内容</w:t>
            </w:r>
          </w:p>
        </w:tc>
        <w:tc>
          <w:tcPr>
            <w:tcW w:w="1204" w:type="dxa"/>
            <w:tcBorders>
              <w:top w:val="single" w:color="auto" w:sz="4" w:space="0"/>
              <w:left w:val="nil"/>
              <w:bottom w:val="single" w:color="auto" w:sz="4" w:space="0"/>
              <w:right w:val="single" w:color="auto" w:sz="4" w:space="0"/>
            </w:tcBorders>
            <w:noWrap/>
            <w:vAlign w:val="center"/>
          </w:tcPr>
          <w:p>
            <w:pPr>
              <w:widowControl/>
              <w:spacing w:after="0" w:line="240" w:lineRule="auto"/>
              <w:jc w:val="center"/>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数量</w:t>
            </w:r>
          </w:p>
        </w:tc>
        <w:tc>
          <w:tcPr>
            <w:tcW w:w="2524" w:type="dxa"/>
            <w:tcBorders>
              <w:top w:val="single" w:color="auto" w:sz="4" w:space="0"/>
              <w:left w:val="nil"/>
              <w:bottom w:val="single" w:color="auto" w:sz="4" w:space="0"/>
              <w:right w:val="single" w:color="auto" w:sz="4" w:space="0"/>
            </w:tcBorders>
            <w:noWrap/>
            <w:vAlign w:val="center"/>
          </w:tcPr>
          <w:p>
            <w:pPr>
              <w:widowControl/>
              <w:spacing w:after="0" w:line="240" w:lineRule="auto"/>
              <w:jc w:val="center"/>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备注</w:t>
            </w:r>
          </w:p>
        </w:tc>
      </w:tr>
      <w:tr>
        <w:tblPrEx>
          <w:tblCellMar>
            <w:top w:w="0" w:type="dxa"/>
            <w:left w:w="108" w:type="dxa"/>
            <w:bottom w:w="0" w:type="dxa"/>
            <w:right w:w="108" w:type="dxa"/>
          </w:tblCellMar>
        </w:tblPrEx>
        <w:trPr>
          <w:trHeight w:val="968" w:hRule="atLeast"/>
        </w:trPr>
        <w:tc>
          <w:tcPr>
            <w:tcW w:w="503" w:type="dxa"/>
            <w:tcBorders>
              <w:top w:val="nil"/>
              <w:left w:val="single" w:color="auto" w:sz="4" w:space="0"/>
              <w:bottom w:val="single" w:color="auto" w:sz="4" w:space="0"/>
              <w:right w:val="single" w:color="auto" w:sz="4" w:space="0"/>
            </w:tcBorders>
            <w:noWrap/>
            <w:vAlign w:val="center"/>
          </w:tcPr>
          <w:p>
            <w:pPr>
              <w:widowControl/>
              <w:spacing w:after="0" w:line="240" w:lineRule="auto"/>
              <w:jc w:val="center"/>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1</w:t>
            </w:r>
          </w:p>
        </w:tc>
        <w:tc>
          <w:tcPr>
            <w:tcW w:w="4280" w:type="dxa"/>
            <w:tcBorders>
              <w:top w:val="nil"/>
              <w:left w:val="nil"/>
              <w:bottom w:val="single" w:color="auto" w:sz="4" w:space="0"/>
              <w:right w:val="single" w:color="auto" w:sz="4" w:space="0"/>
            </w:tcBorders>
            <w:vAlign w:val="center"/>
          </w:tcPr>
          <w:p>
            <w:pPr>
              <w:widowControl/>
              <w:spacing w:after="0" w:line="240" w:lineRule="auto"/>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组织并完成本质安全型智能开关关键技术的科技成果鉴定工作，出具相应的科技成果鉴定证书；</w:t>
            </w:r>
          </w:p>
        </w:tc>
        <w:tc>
          <w:tcPr>
            <w:tcW w:w="1204" w:type="dxa"/>
            <w:tcBorders>
              <w:top w:val="nil"/>
              <w:left w:val="nil"/>
              <w:bottom w:val="single" w:color="auto" w:sz="4" w:space="0"/>
              <w:right w:val="single" w:color="auto" w:sz="4" w:space="0"/>
            </w:tcBorders>
            <w:vAlign w:val="center"/>
          </w:tcPr>
          <w:p>
            <w:pPr>
              <w:widowControl/>
              <w:spacing w:after="0" w:line="240" w:lineRule="auto"/>
              <w:jc w:val="center"/>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1项</w:t>
            </w:r>
          </w:p>
        </w:tc>
        <w:tc>
          <w:tcPr>
            <w:tcW w:w="2524" w:type="dxa"/>
            <w:tcBorders>
              <w:top w:val="nil"/>
              <w:left w:val="nil"/>
              <w:bottom w:val="single" w:color="auto" w:sz="4" w:space="0"/>
              <w:right w:val="single" w:color="auto" w:sz="4" w:space="0"/>
            </w:tcBorders>
            <w:vAlign w:val="center"/>
          </w:tcPr>
          <w:p>
            <w:pPr>
              <w:widowControl/>
              <w:spacing w:after="0" w:line="240" w:lineRule="auto"/>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鉴定证书应加盖鉴定机构专用章，包含鉴定意见、鉴定结论及相关鉴定依据。</w:t>
            </w:r>
          </w:p>
        </w:tc>
      </w:tr>
      <w:tr>
        <w:tblPrEx>
          <w:tblCellMar>
            <w:top w:w="0" w:type="dxa"/>
            <w:left w:w="108" w:type="dxa"/>
            <w:bottom w:w="0" w:type="dxa"/>
            <w:right w:w="108" w:type="dxa"/>
          </w:tblCellMar>
        </w:tblPrEx>
        <w:trPr>
          <w:trHeight w:val="1002" w:hRule="atLeast"/>
        </w:trPr>
        <w:tc>
          <w:tcPr>
            <w:tcW w:w="503" w:type="dxa"/>
            <w:tcBorders>
              <w:top w:val="nil"/>
              <w:left w:val="single" w:color="auto" w:sz="4" w:space="0"/>
              <w:bottom w:val="single" w:color="auto" w:sz="4" w:space="0"/>
              <w:right w:val="single" w:color="auto" w:sz="4" w:space="0"/>
            </w:tcBorders>
            <w:noWrap/>
            <w:vAlign w:val="center"/>
          </w:tcPr>
          <w:p>
            <w:pPr>
              <w:widowControl/>
              <w:spacing w:after="0" w:line="240" w:lineRule="auto"/>
              <w:jc w:val="center"/>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2</w:t>
            </w:r>
          </w:p>
        </w:tc>
        <w:tc>
          <w:tcPr>
            <w:tcW w:w="4280" w:type="dxa"/>
            <w:tcBorders>
              <w:top w:val="nil"/>
              <w:left w:val="nil"/>
              <w:bottom w:val="single" w:color="auto" w:sz="4" w:space="0"/>
              <w:right w:val="single" w:color="auto" w:sz="4" w:space="0"/>
            </w:tcBorders>
            <w:vAlign w:val="center"/>
          </w:tcPr>
          <w:p>
            <w:pPr>
              <w:widowControl/>
              <w:spacing w:after="0" w:line="240" w:lineRule="auto"/>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负责鉴定会议的全流程会务承办，包括但不限于会议场所预订、会议材料准备与整理、会议组织协调等会务工作</w:t>
            </w:r>
          </w:p>
        </w:tc>
        <w:tc>
          <w:tcPr>
            <w:tcW w:w="1204" w:type="dxa"/>
            <w:tcBorders>
              <w:top w:val="nil"/>
              <w:left w:val="nil"/>
              <w:bottom w:val="single" w:color="auto" w:sz="4" w:space="0"/>
              <w:right w:val="single" w:color="auto" w:sz="4" w:space="0"/>
            </w:tcBorders>
            <w:vAlign w:val="center"/>
          </w:tcPr>
          <w:p>
            <w:pPr>
              <w:widowControl/>
              <w:spacing w:after="0" w:line="240" w:lineRule="auto"/>
              <w:jc w:val="center"/>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1项</w:t>
            </w:r>
          </w:p>
        </w:tc>
        <w:tc>
          <w:tcPr>
            <w:tcW w:w="2524" w:type="dxa"/>
            <w:tcBorders>
              <w:top w:val="nil"/>
              <w:left w:val="nil"/>
              <w:bottom w:val="single" w:color="auto" w:sz="4" w:space="0"/>
              <w:right w:val="single" w:color="auto" w:sz="4" w:space="0"/>
            </w:tcBorders>
            <w:vAlign w:val="center"/>
          </w:tcPr>
          <w:p>
            <w:pPr>
              <w:widowControl/>
              <w:spacing w:after="0" w:line="240" w:lineRule="auto"/>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鉴定工作应按照国家和行业有关科技成果鉴定的规范标准和程序进行</w:t>
            </w:r>
          </w:p>
        </w:tc>
      </w:tr>
      <w:tr>
        <w:tblPrEx>
          <w:tblCellMar>
            <w:top w:w="0" w:type="dxa"/>
            <w:left w:w="108" w:type="dxa"/>
            <w:bottom w:w="0" w:type="dxa"/>
            <w:right w:w="108" w:type="dxa"/>
          </w:tblCellMar>
        </w:tblPrEx>
        <w:trPr>
          <w:trHeight w:val="871" w:hRule="atLeast"/>
        </w:trPr>
        <w:tc>
          <w:tcPr>
            <w:tcW w:w="503" w:type="dxa"/>
            <w:tcBorders>
              <w:top w:val="nil"/>
              <w:left w:val="single" w:color="auto" w:sz="4" w:space="0"/>
              <w:bottom w:val="single" w:color="auto" w:sz="4" w:space="0"/>
              <w:right w:val="single" w:color="auto" w:sz="4" w:space="0"/>
            </w:tcBorders>
            <w:noWrap/>
            <w:vAlign w:val="center"/>
          </w:tcPr>
          <w:p>
            <w:pPr>
              <w:widowControl/>
              <w:spacing w:after="0" w:line="240" w:lineRule="auto"/>
              <w:jc w:val="center"/>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3</w:t>
            </w:r>
          </w:p>
        </w:tc>
        <w:tc>
          <w:tcPr>
            <w:tcW w:w="4280" w:type="dxa"/>
            <w:tcBorders>
              <w:top w:val="nil"/>
              <w:left w:val="nil"/>
              <w:bottom w:val="single" w:color="auto" w:sz="4" w:space="0"/>
              <w:right w:val="single" w:color="auto" w:sz="4" w:space="0"/>
            </w:tcBorders>
            <w:vAlign w:val="center"/>
          </w:tcPr>
          <w:p>
            <w:pPr>
              <w:widowControl/>
              <w:spacing w:after="0" w:line="240" w:lineRule="auto"/>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负责鉴定专家的聘请与联络工作</w:t>
            </w:r>
          </w:p>
        </w:tc>
        <w:tc>
          <w:tcPr>
            <w:tcW w:w="1204" w:type="dxa"/>
            <w:tcBorders>
              <w:top w:val="nil"/>
              <w:left w:val="nil"/>
              <w:bottom w:val="single" w:color="auto" w:sz="4" w:space="0"/>
              <w:right w:val="single" w:color="auto" w:sz="4" w:space="0"/>
            </w:tcBorders>
            <w:vAlign w:val="center"/>
          </w:tcPr>
          <w:p>
            <w:pPr>
              <w:widowControl/>
              <w:spacing w:after="0" w:line="240" w:lineRule="auto"/>
              <w:jc w:val="center"/>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1项</w:t>
            </w:r>
          </w:p>
        </w:tc>
        <w:tc>
          <w:tcPr>
            <w:tcW w:w="2524" w:type="dxa"/>
            <w:tcBorders>
              <w:top w:val="nil"/>
              <w:left w:val="nil"/>
              <w:bottom w:val="single" w:color="auto" w:sz="4" w:space="0"/>
              <w:right w:val="single" w:color="auto" w:sz="4" w:space="0"/>
            </w:tcBorders>
            <w:vAlign w:val="center"/>
          </w:tcPr>
          <w:p>
            <w:pPr>
              <w:widowControl/>
              <w:spacing w:after="0" w:line="240" w:lineRule="auto"/>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　</w:t>
            </w:r>
          </w:p>
        </w:tc>
      </w:tr>
      <w:tr>
        <w:tblPrEx>
          <w:tblCellMar>
            <w:top w:w="0" w:type="dxa"/>
            <w:left w:w="108" w:type="dxa"/>
            <w:bottom w:w="0" w:type="dxa"/>
            <w:right w:w="108" w:type="dxa"/>
          </w:tblCellMar>
        </w:tblPrEx>
        <w:trPr>
          <w:trHeight w:val="871" w:hRule="atLeast"/>
        </w:trPr>
        <w:tc>
          <w:tcPr>
            <w:tcW w:w="503" w:type="dxa"/>
            <w:tcBorders>
              <w:top w:val="nil"/>
              <w:left w:val="single" w:color="auto" w:sz="4" w:space="0"/>
              <w:bottom w:val="single" w:color="auto" w:sz="4" w:space="0"/>
              <w:right w:val="single" w:color="auto" w:sz="4" w:space="0"/>
            </w:tcBorders>
            <w:noWrap/>
            <w:vAlign w:val="center"/>
          </w:tcPr>
          <w:p>
            <w:pPr>
              <w:widowControl/>
              <w:spacing w:after="0" w:line="240" w:lineRule="auto"/>
              <w:jc w:val="center"/>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4</w:t>
            </w:r>
          </w:p>
        </w:tc>
        <w:tc>
          <w:tcPr>
            <w:tcW w:w="4280" w:type="dxa"/>
            <w:tcBorders>
              <w:top w:val="nil"/>
              <w:left w:val="nil"/>
              <w:bottom w:val="single" w:color="auto" w:sz="4" w:space="0"/>
              <w:right w:val="single" w:color="auto" w:sz="4" w:space="0"/>
            </w:tcBorders>
            <w:vAlign w:val="center"/>
          </w:tcPr>
          <w:p>
            <w:pPr>
              <w:widowControl/>
              <w:spacing w:after="0" w:line="240" w:lineRule="auto"/>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负责鉴定（评审）报告的编制与交付</w:t>
            </w:r>
          </w:p>
        </w:tc>
        <w:tc>
          <w:tcPr>
            <w:tcW w:w="1204" w:type="dxa"/>
            <w:tcBorders>
              <w:top w:val="nil"/>
              <w:left w:val="nil"/>
              <w:bottom w:val="single" w:color="auto" w:sz="4" w:space="0"/>
              <w:right w:val="single" w:color="auto" w:sz="4" w:space="0"/>
            </w:tcBorders>
            <w:vAlign w:val="center"/>
          </w:tcPr>
          <w:p>
            <w:pPr>
              <w:widowControl/>
              <w:spacing w:after="0" w:line="240" w:lineRule="auto"/>
              <w:jc w:val="center"/>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1项</w:t>
            </w:r>
          </w:p>
        </w:tc>
        <w:tc>
          <w:tcPr>
            <w:tcW w:w="2524" w:type="dxa"/>
            <w:tcBorders>
              <w:top w:val="nil"/>
              <w:left w:val="nil"/>
              <w:bottom w:val="single" w:color="auto" w:sz="4" w:space="0"/>
              <w:right w:val="single" w:color="auto" w:sz="4" w:space="0"/>
            </w:tcBorders>
            <w:vAlign w:val="center"/>
          </w:tcPr>
          <w:p>
            <w:pPr>
              <w:widowControl/>
              <w:spacing w:after="0" w:line="240" w:lineRule="auto"/>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　</w:t>
            </w:r>
          </w:p>
        </w:tc>
      </w:tr>
      <w:tr>
        <w:tblPrEx>
          <w:tblCellMar>
            <w:top w:w="0" w:type="dxa"/>
            <w:left w:w="108" w:type="dxa"/>
            <w:bottom w:w="0" w:type="dxa"/>
            <w:right w:w="108" w:type="dxa"/>
          </w:tblCellMar>
        </w:tblPrEx>
        <w:trPr>
          <w:trHeight w:val="871" w:hRule="atLeast"/>
        </w:trPr>
        <w:tc>
          <w:tcPr>
            <w:tcW w:w="503" w:type="dxa"/>
            <w:tcBorders>
              <w:top w:val="nil"/>
              <w:left w:val="single" w:color="auto" w:sz="4" w:space="0"/>
              <w:bottom w:val="single" w:color="auto" w:sz="4" w:space="0"/>
              <w:right w:val="single" w:color="auto" w:sz="4" w:space="0"/>
            </w:tcBorders>
            <w:noWrap/>
            <w:vAlign w:val="center"/>
          </w:tcPr>
          <w:p>
            <w:pPr>
              <w:widowControl/>
              <w:spacing w:after="0" w:line="240" w:lineRule="auto"/>
              <w:jc w:val="center"/>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5</w:t>
            </w:r>
          </w:p>
        </w:tc>
        <w:tc>
          <w:tcPr>
            <w:tcW w:w="4280" w:type="dxa"/>
            <w:tcBorders>
              <w:top w:val="nil"/>
              <w:left w:val="nil"/>
              <w:bottom w:val="single" w:color="auto" w:sz="4" w:space="0"/>
              <w:right w:val="single" w:color="auto" w:sz="4" w:space="0"/>
            </w:tcBorders>
            <w:vAlign w:val="center"/>
          </w:tcPr>
          <w:p>
            <w:pPr>
              <w:widowControl/>
              <w:spacing w:after="0" w:line="240" w:lineRule="auto"/>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负责提供电力科技产品成果鉴定（评审）相关政策规定咨询服务。</w:t>
            </w:r>
          </w:p>
        </w:tc>
        <w:tc>
          <w:tcPr>
            <w:tcW w:w="1204" w:type="dxa"/>
            <w:tcBorders>
              <w:top w:val="nil"/>
              <w:left w:val="nil"/>
              <w:bottom w:val="single" w:color="auto" w:sz="4" w:space="0"/>
              <w:right w:val="single" w:color="auto" w:sz="4" w:space="0"/>
            </w:tcBorders>
            <w:vAlign w:val="center"/>
          </w:tcPr>
          <w:p>
            <w:pPr>
              <w:widowControl/>
              <w:spacing w:after="0" w:line="240" w:lineRule="auto"/>
              <w:jc w:val="center"/>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1项</w:t>
            </w:r>
          </w:p>
        </w:tc>
        <w:tc>
          <w:tcPr>
            <w:tcW w:w="2524" w:type="dxa"/>
            <w:tcBorders>
              <w:top w:val="nil"/>
              <w:left w:val="nil"/>
              <w:bottom w:val="single" w:color="auto" w:sz="4" w:space="0"/>
              <w:right w:val="single" w:color="auto" w:sz="4" w:space="0"/>
            </w:tcBorders>
            <w:vAlign w:val="center"/>
          </w:tcPr>
          <w:p>
            <w:pPr>
              <w:widowControl/>
              <w:spacing w:after="0" w:line="240" w:lineRule="auto"/>
              <w:rPr>
                <w:rFonts w:hint="eastAsia" w:ascii="宋体" w:hAnsi="宋体" w:eastAsia="宋体" w:cs="宋体"/>
                <w:kern w:val="0"/>
                <w:sz w:val="20"/>
                <w:szCs w:val="20"/>
                <w14:ligatures w14:val="none"/>
              </w:rPr>
            </w:pPr>
            <w:r>
              <w:rPr>
                <w:rFonts w:ascii="宋体" w:hAnsi="宋体" w:eastAsia="宋体" w:cs="宋体"/>
                <w:kern w:val="0"/>
                <w:sz w:val="20"/>
                <w:szCs w:val="20"/>
                <w14:ligatures w14:val="none"/>
              </w:rPr>
              <w:t>　</w:t>
            </w:r>
          </w:p>
        </w:tc>
      </w:tr>
    </w:tbl>
    <w:p>
      <w:pPr>
        <w:ind w:firstLine="560" w:firstLineChars="200"/>
        <w:jc w:val="both"/>
        <w:rPr>
          <w:rFonts w:hint="eastAsia" w:ascii="宋体" w:hAnsi="宋体" w:eastAsia="宋体"/>
          <w:sz w:val="28"/>
          <w:szCs w:val="28"/>
        </w:rPr>
      </w:pPr>
      <w:r>
        <w:rPr>
          <w:rFonts w:hint="eastAsia" w:ascii="宋体" w:hAnsi="宋体" w:eastAsia="宋体"/>
          <w:sz w:val="28"/>
          <w:szCs w:val="28"/>
        </w:rPr>
        <w:t>（二）验收的标准和要求</w:t>
      </w:r>
    </w:p>
    <w:p>
      <w:pPr>
        <w:spacing w:after="0"/>
        <w:ind w:left="440" w:leftChars="200"/>
        <w:jc w:val="both"/>
        <w:rPr>
          <w:rFonts w:hint="eastAsia" w:ascii="宋体" w:hAnsi="宋体" w:eastAsia="宋体"/>
          <w:sz w:val="28"/>
          <w:szCs w:val="28"/>
        </w:rPr>
      </w:pPr>
      <w:r>
        <w:rPr>
          <w:rFonts w:hint="eastAsia" w:ascii="宋体" w:hAnsi="宋体" w:eastAsia="宋体"/>
          <w:sz w:val="28"/>
          <w:szCs w:val="28"/>
        </w:rPr>
        <w:t>1.</w:t>
      </w:r>
      <w:r>
        <w:rPr>
          <w:rFonts w:ascii="宋体" w:hAnsi="宋体" w:eastAsia="宋体"/>
          <w:sz w:val="28"/>
          <w:szCs w:val="28"/>
        </w:rPr>
        <w:t>鉴定工作应按照国家和行业有关科技成果鉴定的规范标准和程序进行；</w:t>
      </w:r>
    </w:p>
    <w:p>
      <w:pPr>
        <w:spacing w:after="0"/>
        <w:ind w:left="440" w:leftChars="200"/>
        <w:jc w:val="both"/>
        <w:rPr>
          <w:rFonts w:hint="eastAsia" w:ascii="宋体" w:hAnsi="宋体" w:eastAsia="宋体"/>
          <w:sz w:val="28"/>
          <w:szCs w:val="28"/>
        </w:rPr>
      </w:pPr>
      <w:r>
        <w:rPr>
          <w:rFonts w:hint="eastAsia" w:ascii="宋体" w:hAnsi="宋体" w:eastAsia="宋体"/>
          <w:sz w:val="28"/>
          <w:szCs w:val="28"/>
        </w:rPr>
        <w:t>2.</w:t>
      </w:r>
      <w:r>
        <w:rPr>
          <w:rFonts w:ascii="宋体" w:hAnsi="宋体" w:eastAsia="宋体"/>
          <w:sz w:val="28"/>
          <w:szCs w:val="28"/>
        </w:rPr>
        <w:t>鉴定证书内容应完整、准确，鉴定结论明确；</w:t>
      </w:r>
    </w:p>
    <w:p>
      <w:pPr>
        <w:spacing w:after="0"/>
        <w:ind w:left="440" w:leftChars="200"/>
        <w:jc w:val="both"/>
        <w:rPr>
          <w:rFonts w:hint="eastAsia" w:ascii="宋体" w:hAnsi="宋体" w:eastAsia="宋体"/>
          <w:sz w:val="28"/>
          <w:szCs w:val="28"/>
        </w:rPr>
      </w:pPr>
      <w:r>
        <w:rPr>
          <w:rFonts w:hint="eastAsia" w:ascii="宋体" w:hAnsi="宋体" w:eastAsia="宋体"/>
          <w:sz w:val="28"/>
          <w:szCs w:val="28"/>
        </w:rPr>
        <w:t>3.</w:t>
      </w:r>
      <w:r>
        <w:rPr>
          <w:rFonts w:ascii="宋体" w:hAnsi="宋体" w:eastAsia="宋体"/>
          <w:sz w:val="28"/>
          <w:szCs w:val="28"/>
        </w:rPr>
        <w:t>投标方应保证在收到全部所需鉴定材料后30个工作日内完成鉴定工作并交付鉴定证书；</w:t>
      </w:r>
    </w:p>
    <w:p>
      <w:pPr>
        <w:ind w:firstLine="561" w:firstLineChars="200"/>
        <w:jc w:val="both"/>
        <w:rPr>
          <w:rFonts w:hint="eastAsia" w:ascii="宋体" w:hAnsi="宋体" w:eastAsia="宋体"/>
          <w:b/>
          <w:bCs/>
          <w:sz w:val="28"/>
          <w:szCs w:val="28"/>
        </w:rPr>
      </w:pPr>
      <w:r>
        <w:rPr>
          <w:rFonts w:hint="eastAsia" w:ascii="宋体" w:hAnsi="宋体" w:eastAsia="宋体"/>
          <w:b/>
          <w:bCs/>
          <w:sz w:val="28"/>
          <w:szCs w:val="28"/>
        </w:rPr>
        <w:t>四、款项支付</w:t>
      </w:r>
    </w:p>
    <w:p>
      <w:pPr>
        <w:ind w:firstLine="560" w:firstLineChars="200"/>
        <w:jc w:val="both"/>
        <w:rPr>
          <w:rFonts w:hint="eastAsia" w:ascii="宋体" w:hAnsi="宋体" w:eastAsia="宋体"/>
          <w:sz w:val="28"/>
          <w:szCs w:val="28"/>
        </w:rPr>
      </w:pPr>
      <w:r>
        <w:rPr>
          <w:rFonts w:ascii="宋体" w:hAnsi="宋体" w:eastAsia="宋体"/>
          <w:sz w:val="28"/>
          <w:szCs w:val="28"/>
        </w:rPr>
        <w:t>本项目采用完工一次性付款模式：全部鉴定服务完成、</w:t>
      </w:r>
      <w:r>
        <w:rPr>
          <w:rFonts w:hint="eastAsia" w:ascii="宋体" w:hAnsi="宋体" w:eastAsia="宋体"/>
          <w:sz w:val="28"/>
          <w:szCs w:val="28"/>
        </w:rPr>
        <w:t>按照要求交付鉴定证书</w:t>
      </w:r>
      <w:r>
        <w:rPr>
          <w:rFonts w:ascii="宋体" w:hAnsi="宋体" w:eastAsia="宋体"/>
          <w:sz w:val="28"/>
          <w:szCs w:val="28"/>
        </w:rPr>
        <w:t>后采购人一次性支付全款</w:t>
      </w:r>
      <w:r>
        <w:rPr>
          <w:rFonts w:hint="eastAsia" w:ascii="宋体" w:hAnsi="宋体" w:eastAsia="宋体"/>
          <w:sz w:val="28"/>
          <w:szCs w:val="28"/>
        </w:rPr>
        <w:t>。</w:t>
      </w:r>
    </w:p>
    <w:p>
      <w:pPr>
        <w:ind w:firstLine="561" w:firstLineChars="200"/>
        <w:jc w:val="both"/>
        <w:rPr>
          <w:rFonts w:hint="eastAsia" w:ascii="宋体" w:hAnsi="宋体" w:eastAsia="宋体"/>
          <w:b/>
          <w:bCs/>
          <w:sz w:val="28"/>
          <w:szCs w:val="28"/>
        </w:rPr>
      </w:pPr>
      <w:r>
        <w:rPr>
          <w:rFonts w:hint="eastAsia" w:ascii="宋体" w:hAnsi="宋体" w:eastAsia="宋体"/>
          <w:b/>
          <w:bCs/>
          <w:sz w:val="28"/>
          <w:szCs w:val="28"/>
        </w:rPr>
        <w:t>五、供应商资格要求</w:t>
      </w:r>
    </w:p>
    <w:p>
      <w:pPr>
        <w:ind w:firstLine="560" w:firstLineChars="200"/>
        <w:jc w:val="both"/>
        <w:rPr>
          <w:rFonts w:ascii="宋体" w:hAnsi="宋体" w:eastAsia="宋体"/>
          <w:sz w:val="28"/>
          <w:szCs w:val="28"/>
        </w:rPr>
      </w:pPr>
      <w:r>
        <w:rPr>
          <w:rFonts w:ascii="宋体" w:hAnsi="宋体" w:eastAsia="宋体"/>
          <w:sz w:val="28"/>
          <w:szCs w:val="28"/>
        </w:rPr>
        <w:t>（一）投标方须为依法在省级及以上民政部门登记的社会组织，持有现行有效的《社会团体法人登记证书》（或《民办非企业单位法人登记证书》），且登记证书载明的业务范围须包含“科技成果评价”“技术鉴定”“技术服务”或类似表述。</w:t>
      </w:r>
      <w:r>
        <w:rPr>
          <w:rFonts w:hint="eastAsia" w:ascii="宋体" w:hAnsi="宋体" w:eastAsia="宋体"/>
          <w:sz w:val="28"/>
          <w:szCs w:val="28"/>
        </w:rPr>
        <w:t>投标方应满足以下条件之一：1)</w:t>
      </w:r>
      <w:r>
        <w:rPr>
          <w:rFonts w:ascii="宋体" w:hAnsi="宋体" w:eastAsia="宋体"/>
          <w:sz w:val="28"/>
          <w:szCs w:val="28"/>
        </w:rPr>
        <w:t>投标方为经国务院批准成立的全国性行业组织，</w:t>
      </w:r>
      <w:bookmarkStart w:id="0" w:name="_GoBack"/>
      <w:bookmarkEnd w:id="0"/>
      <w:r>
        <w:rPr>
          <w:rFonts w:ascii="宋体" w:hAnsi="宋体" w:eastAsia="宋体"/>
          <w:sz w:val="28"/>
          <w:szCs w:val="28"/>
        </w:rPr>
        <w:t>具有公认的权威地位和鉴定组织能力；</w:t>
      </w:r>
      <w:r>
        <w:rPr>
          <w:rFonts w:hint="eastAsia" w:ascii="宋体" w:hAnsi="宋体" w:eastAsia="宋体"/>
          <w:sz w:val="28"/>
          <w:szCs w:val="28"/>
        </w:rPr>
        <w:t>2)</w:t>
      </w:r>
      <w:r>
        <w:rPr>
          <w:rFonts w:ascii="宋体" w:hAnsi="宋体" w:eastAsia="宋体"/>
          <w:sz w:val="28"/>
          <w:szCs w:val="28"/>
        </w:rPr>
        <w:t>投标方具备省级及以上科学技术奖提名资格。须提供以下证明材料：</w:t>
      </w:r>
    </w:p>
    <w:p>
      <w:pPr>
        <w:ind w:firstLine="700" w:firstLineChars="250"/>
        <w:jc w:val="both"/>
        <w:rPr>
          <w:rFonts w:hint="eastAsia" w:ascii="宋体" w:hAnsi="宋体" w:eastAsia="宋体"/>
          <w:sz w:val="28"/>
          <w:szCs w:val="28"/>
        </w:rPr>
      </w:pPr>
      <w:r>
        <w:rPr>
          <w:rFonts w:ascii="宋体" w:hAnsi="宋体" w:eastAsia="宋体"/>
          <w:sz w:val="28"/>
          <w:szCs w:val="28"/>
        </w:rPr>
        <w:t>1）《社会团体法人登记证书》（或《民办非企业单位法人登记证书》）复印件，登记管理机关应为省级及以上民政部门（如“中华人民共和国民政部”或“XX省民政厅”）</w:t>
      </w:r>
      <w:r>
        <w:rPr>
          <w:rFonts w:hint="eastAsia" w:ascii="宋体" w:hAnsi="宋体" w:eastAsia="宋体"/>
          <w:sz w:val="28"/>
          <w:szCs w:val="28"/>
        </w:rPr>
        <w:t>；2）</w:t>
      </w:r>
      <w:r>
        <w:rPr>
          <w:rFonts w:ascii="宋体" w:hAnsi="宋体" w:eastAsia="宋体"/>
          <w:sz w:val="28"/>
          <w:szCs w:val="28"/>
        </w:rPr>
        <w:t>省级及以上科技主管部门公布的具备科学技术奖提名资格的社会组织名单截图（如广东省科技厅年度提名工作通知附件名单）</w:t>
      </w:r>
      <w:r>
        <w:rPr>
          <w:rFonts w:hint="eastAsia" w:ascii="宋体" w:hAnsi="宋体" w:eastAsia="宋体"/>
          <w:sz w:val="28"/>
          <w:szCs w:val="28"/>
        </w:rPr>
        <w:t>或</w:t>
      </w:r>
      <w:r>
        <w:rPr>
          <w:rFonts w:ascii="宋体" w:hAnsi="宋体" w:eastAsia="宋体"/>
          <w:sz w:val="28"/>
          <w:szCs w:val="28"/>
        </w:rPr>
        <w:t>经国家科学技术奖励工作办公室备案的全国性社会力量科学技术奖设奖证明文件。</w:t>
      </w:r>
    </w:p>
    <w:p>
      <w:pPr>
        <w:jc w:val="both"/>
        <w:rPr>
          <w:rFonts w:hint="eastAsia" w:ascii="宋体" w:hAnsi="宋体" w:eastAsia="宋体"/>
          <w:sz w:val="28"/>
          <w:szCs w:val="28"/>
        </w:rPr>
      </w:pPr>
      <w:r>
        <w:rPr>
          <w:rFonts w:ascii="宋体" w:hAnsi="宋体" w:eastAsia="宋体"/>
          <w:sz w:val="28"/>
          <w:szCs w:val="28"/>
        </w:rPr>
        <w:t>（</w:t>
      </w:r>
      <w:r>
        <w:rPr>
          <w:rFonts w:hint="eastAsia" w:ascii="宋体" w:hAnsi="宋体" w:eastAsia="宋体"/>
          <w:sz w:val="28"/>
          <w:szCs w:val="28"/>
        </w:rPr>
        <w:t>二</w:t>
      </w:r>
      <w:r>
        <w:rPr>
          <w:rFonts w:ascii="宋体" w:hAnsi="宋体" w:eastAsia="宋体"/>
          <w:sz w:val="28"/>
          <w:szCs w:val="28"/>
        </w:rPr>
        <w:t>）近3年内（自投标截止时间前36个月）具备</w:t>
      </w:r>
      <w:r>
        <w:rPr>
          <w:rFonts w:hint="eastAsia" w:ascii="宋体" w:hAnsi="宋体" w:eastAsia="宋体"/>
          <w:sz w:val="28"/>
          <w:szCs w:val="28"/>
        </w:rPr>
        <w:t>完成不少于5</w:t>
      </w:r>
      <w:r>
        <w:rPr>
          <w:rFonts w:ascii="宋体" w:hAnsi="宋体" w:eastAsia="宋体"/>
          <w:sz w:val="28"/>
          <w:szCs w:val="28"/>
        </w:rPr>
        <w:t>项</w:t>
      </w:r>
      <w:r>
        <w:rPr>
          <w:rFonts w:hint="eastAsia" w:ascii="宋体" w:hAnsi="宋体" w:eastAsia="宋体"/>
          <w:sz w:val="28"/>
          <w:szCs w:val="28"/>
        </w:rPr>
        <w:t>科技成果评价或技术鉴定服务业绩</w:t>
      </w:r>
      <w:r>
        <w:rPr>
          <w:rFonts w:ascii="宋体" w:hAnsi="宋体" w:eastAsia="宋体"/>
          <w:sz w:val="28"/>
          <w:szCs w:val="28"/>
        </w:rPr>
        <w:t>（须提供合同</w:t>
      </w:r>
      <w:r>
        <w:rPr>
          <w:rFonts w:hint="eastAsia" w:ascii="宋体" w:hAnsi="宋体" w:eastAsia="宋体"/>
          <w:sz w:val="28"/>
          <w:szCs w:val="28"/>
        </w:rPr>
        <w:t>关键页或验收证明</w:t>
      </w:r>
      <w:r>
        <w:rPr>
          <w:rFonts w:ascii="宋体" w:hAnsi="宋体" w:eastAsia="宋体"/>
          <w:sz w:val="28"/>
          <w:szCs w:val="28"/>
        </w:rPr>
        <w:t>等材料）；</w:t>
      </w:r>
    </w:p>
    <w:p>
      <w:pPr>
        <w:jc w:val="both"/>
        <w:rPr>
          <w:rFonts w:hint="eastAsia" w:ascii="宋体" w:hAnsi="宋体" w:eastAsia="宋体"/>
          <w:sz w:val="28"/>
          <w:szCs w:val="28"/>
        </w:rPr>
      </w:pPr>
      <w:r>
        <w:rPr>
          <w:rFonts w:ascii="宋体" w:hAnsi="宋体" w:eastAsia="宋体"/>
          <w:sz w:val="28"/>
          <w:szCs w:val="28"/>
        </w:rPr>
        <w:t>（</w:t>
      </w:r>
      <w:r>
        <w:rPr>
          <w:rFonts w:hint="eastAsia" w:ascii="宋体" w:hAnsi="宋体" w:eastAsia="宋体"/>
          <w:sz w:val="28"/>
          <w:szCs w:val="28"/>
        </w:rPr>
        <w:t>三</w:t>
      </w:r>
      <w:r>
        <w:rPr>
          <w:rFonts w:ascii="宋体" w:hAnsi="宋体" w:eastAsia="宋体"/>
          <w:sz w:val="28"/>
          <w:szCs w:val="28"/>
        </w:rPr>
        <w:t>）投标人须具备组建电力行业鉴定委员会的专家库，专家成员应具备高级工程师及以上职称，专业须覆盖电力系统、电器装备等鉴定所需领域。（提供</w:t>
      </w:r>
      <w:r>
        <w:rPr>
          <w:rFonts w:hint="eastAsia" w:ascii="宋体" w:hAnsi="宋体" w:eastAsia="宋体"/>
          <w:sz w:val="28"/>
          <w:szCs w:val="28"/>
        </w:rPr>
        <w:t>不少于5名</w:t>
      </w:r>
      <w:r>
        <w:rPr>
          <w:rFonts w:ascii="宋体" w:hAnsi="宋体" w:eastAsia="宋体"/>
          <w:sz w:val="28"/>
          <w:szCs w:val="28"/>
        </w:rPr>
        <w:t>专家名单及职称证明）</w:t>
      </w:r>
    </w:p>
    <w:p>
      <w:pPr>
        <w:jc w:val="both"/>
        <w:rPr>
          <w:rFonts w:hint="eastAsia" w:ascii="宋体" w:hAnsi="宋体" w:eastAsia="宋体"/>
          <w:sz w:val="28"/>
          <w:szCs w:val="28"/>
        </w:rPr>
      </w:pPr>
      <w:r>
        <w:rPr>
          <w:rFonts w:ascii="宋体" w:hAnsi="宋体" w:eastAsia="宋体"/>
          <w:sz w:val="28"/>
          <w:szCs w:val="28"/>
        </w:rPr>
        <w:t>（</w:t>
      </w:r>
      <w:r>
        <w:rPr>
          <w:rFonts w:hint="eastAsia" w:ascii="宋体" w:hAnsi="宋体" w:eastAsia="宋体"/>
          <w:sz w:val="28"/>
          <w:szCs w:val="28"/>
        </w:rPr>
        <w:t>四</w:t>
      </w:r>
      <w:r>
        <w:rPr>
          <w:rFonts w:ascii="宋体" w:hAnsi="宋体" w:eastAsia="宋体"/>
          <w:sz w:val="28"/>
          <w:szCs w:val="28"/>
        </w:rPr>
        <w:t>）</w:t>
      </w:r>
      <w:r>
        <w:rPr>
          <w:rFonts w:hint="eastAsia" w:ascii="宋体" w:hAnsi="宋体" w:eastAsia="宋体"/>
          <w:sz w:val="28"/>
          <w:szCs w:val="28"/>
        </w:rPr>
        <w:t>投标人</w:t>
      </w:r>
      <w:r>
        <w:rPr>
          <w:rFonts w:ascii="宋体" w:hAnsi="宋体" w:eastAsia="宋体"/>
          <w:sz w:val="28"/>
          <w:szCs w:val="28"/>
        </w:rPr>
        <w:t>在“信用中国”网站（www.creditchina.gov.cn）中未被列入失信被执行人名单（提供“信用中国”网站或信用信息共享平台【查询结果截图】）</w:t>
      </w:r>
    </w:p>
    <w:p>
      <w:pPr>
        <w:jc w:val="both"/>
        <w:rPr>
          <w:rFonts w:hint="eastAsia" w:ascii="宋体" w:hAnsi="宋体" w:eastAsia="宋体"/>
          <w:sz w:val="28"/>
          <w:szCs w:val="28"/>
        </w:rPr>
      </w:pPr>
      <w:r>
        <w:rPr>
          <w:rFonts w:ascii="宋体" w:hAnsi="宋体" w:eastAsia="宋体"/>
          <w:sz w:val="28"/>
          <w:szCs w:val="28"/>
        </w:rPr>
        <w:t>（</w:t>
      </w:r>
      <w:r>
        <w:rPr>
          <w:rFonts w:hint="eastAsia" w:ascii="宋体" w:hAnsi="宋体" w:eastAsia="宋体"/>
          <w:sz w:val="28"/>
          <w:szCs w:val="28"/>
        </w:rPr>
        <w:t>五</w:t>
      </w:r>
      <w:r>
        <w:rPr>
          <w:rFonts w:ascii="宋体" w:hAnsi="宋体" w:eastAsia="宋体"/>
          <w:sz w:val="28"/>
          <w:szCs w:val="28"/>
        </w:rPr>
        <w:t>）</w:t>
      </w:r>
      <w:r>
        <w:rPr>
          <w:rFonts w:hint="eastAsia" w:ascii="宋体" w:hAnsi="宋体" w:eastAsia="宋体"/>
          <w:sz w:val="28"/>
          <w:szCs w:val="28"/>
        </w:rPr>
        <w:t>投标人</w:t>
      </w:r>
      <w:r>
        <w:rPr>
          <w:rFonts w:ascii="宋体" w:hAnsi="宋体" w:eastAsia="宋体"/>
          <w:sz w:val="28"/>
          <w:szCs w:val="28"/>
        </w:rPr>
        <w:t>在国家企业信用信息公示系统（www.gsxt.gov.cn）中未被列入严重违法失信企业名单（提供国家企业信用信息公示系统【查询结果截图】）</w:t>
      </w:r>
    </w:p>
    <w:p>
      <w:pPr>
        <w:jc w:val="both"/>
        <w:rPr>
          <w:rFonts w:hint="eastAsia" w:ascii="宋体" w:hAnsi="宋体" w:eastAsia="宋体"/>
          <w:sz w:val="28"/>
          <w:szCs w:val="28"/>
        </w:rPr>
      </w:pPr>
      <w:r>
        <w:rPr>
          <w:rFonts w:ascii="宋体" w:hAnsi="宋体" w:eastAsia="宋体"/>
          <w:sz w:val="28"/>
          <w:szCs w:val="28"/>
        </w:rPr>
        <w:t>（</w:t>
      </w:r>
      <w:r>
        <w:rPr>
          <w:rFonts w:hint="eastAsia" w:ascii="宋体" w:hAnsi="宋体" w:eastAsia="宋体"/>
          <w:sz w:val="28"/>
          <w:szCs w:val="28"/>
        </w:rPr>
        <w:t>六</w:t>
      </w:r>
      <w:r>
        <w:rPr>
          <w:rFonts w:ascii="宋体" w:hAnsi="宋体" w:eastAsia="宋体"/>
          <w:sz w:val="28"/>
          <w:szCs w:val="28"/>
        </w:rPr>
        <w:t>）投标人不在中国南方电网有限责任公司黑名单或预警名单内（处理措施为不接受投标或市场禁入，且未解除的）。</w:t>
      </w:r>
    </w:p>
    <w:p>
      <w:pPr>
        <w:jc w:val="both"/>
        <w:rPr>
          <w:rFonts w:hint="eastAsia" w:ascii="宋体" w:hAnsi="宋体" w:eastAsia="宋体"/>
          <w:sz w:val="28"/>
          <w:szCs w:val="28"/>
        </w:rPr>
      </w:pPr>
      <w:r>
        <w:rPr>
          <w:rFonts w:ascii="宋体" w:hAnsi="宋体" w:eastAsia="宋体"/>
          <w:sz w:val="28"/>
          <w:szCs w:val="28"/>
        </w:rPr>
        <w:t>（</w:t>
      </w:r>
      <w:r>
        <w:rPr>
          <w:rFonts w:hint="eastAsia" w:ascii="宋体" w:hAnsi="宋体" w:eastAsia="宋体"/>
          <w:sz w:val="28"/>
          <w:szCs w:val="28"/>
        </w:rPr>
        <w:t>七</w:t>
      </w:r>
      <w:r>
        <w:rPr>
          <w:rFonts w:ascii="宋体" w:hAnsi="宋体" w:eastAsia="宋体"/>
          <w:sz w:val="28"/>
          <w:szCs w:val="28"/>
        </w:rPr>
        <w:t>）本项目不接受联合体申请。</w:t>
      </w:r>
    </w:p>
    <w:p>
      <w:pPr>
        <w:jc w:val="both"/>
        <w:rPr>
          <w:rFonts w:hint="eastAsia" w:ascii="宋体" w:hAnsi="宋体" w:eastAsia="宋体"/>
          <w:sz w:val="28"/>
          <w:szCs w:val="28"/>
        </w:rPr>
      </w:pPr>
      <w:r>
        <w:rPr>
          <w:rFonts w:hint="eastAsia" w:ascii="宋体" w:hAnsi="宋体" w:eastAsia="宋体"/>
          <w:b/>
          <w:bCs/>
          <w:sz w:val="28"/>
          <w:szCs w:val="28"/>
        </w:rPr>
        <w:t>六、补充说明</w:t>
      </w:r>
    </w:p>
    <w:p>
      <w:pPr>
        <w:ind w:firstLine="560" w:firstLineChars="200"/>
        <w:jc w:val="both"/>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t>省级及以上科学技术奖</w:t>
      </w:r>
      <w:r>
        <w:rPr>
          <w:rFonts w:hint="eastAsia" w:ascii="宋体" w:hAnsi="宋体" w:eastAsia="宋体"/>
          <w:sz w:val="28"/>
          <w:szCs w:val="28"/>
        </w:rPr>
        <w:t>”</w:t>
      </w:r>
      <w:r>
        <w:rPr>
          <w:rFonts w:ascii="宋体" w:hAnsi="宋体" w:eastAsia="宋体"/>
          <w:sz w:val="28"/>
          <w:szCs w:val="28"/>
        </w:rPr>
        <w:t>包括各省、自治区、直辖市人民政府设立的科学技术奖（如广东省科学技术奖），以及经国家科学技术奖励工作办公室批准设立的全国性社会力量科学技术奖（如中国电力科学技术奖、机械工业科学技术奖等）。具备上述任一类奖项提名资格均可。</w:t>
      </w:r>
    </w:p>
    <w:p>
      <w:pPr>
        <w:jc w:val="both"/>
        <w:rPr>
          <w:rFonts w:hint="eastAsia" w:ascii="仿宋_GB2312" w:eastAsia="仿宋_GB2312"/>
          <w:sz w:val="28"/>
          <w:szCs w:val="28"/>
        </w:rPr>
      </w:pP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等线">
    <w:altName w:val="汉仪中等线KW"/>
    <w:panose1 w:val="02010600030101010101"/>
    <w:charset w:val="86"/>
    <w:family w:val="auto"/>
    <w:pitch w:val="default"/>
    <w:sig w:usb0="00000000" w:usb1="00000000" w:usb2="00000016" w:usb3="00000000" w:csb0="0004000F" w:csb1="00000000"/>
  </w:font>
  <w:font w:name="等线 Light">
    <w:altName w:val="Noto Serif CJK SC"/>
    <w:panose1 w:val="02010600030101010101"/>
    <w:charset w:val="86"/>
    <w:family w:val="auto"/>
    <w:pitch w:val="default"/>
    <w:sig w:usb0="00000000" w:usb1="00000000" w:usb2="00000016" w:usb3="00000000" w:csb0="0004000F" w:csb1="00000000"/>
  </w:font>
  <w:font w:name="方正小标宋简体">
    <w:altName w:val="汉仪书宋二KW"/>
    <w:panose1 w:val="00000000000000000000"/>
    <w:charset w:val="86"/>
    <w:family w:val="auto"/>
    <w:pitch w:val="default"/>
    <w:sig w:usb0="00000000" w:usb1="00000000" w:usb2="00000000" w:usb3="00000000" w:csb0="00040000" w:csb1="00000000"/>
  </w:font>
  <w:font w:name="仿宋_GB2312">
    <w:altName w:val="汉仪仿宋KW"/>
    <w:panose1 w:val="00000000000000000000"/>
    <w:charset w:val="86"/>
    <w:family w:val="modern"/>
    <w:pitch w:val="default"/>
    <w:sig w:usb0="00000000" w:usb1="00000000" w:usb2="00000000" w:usb3="00000000" w:csb0="00040000" w:csb1="00000000"/>
  </w:font>
  <w:font w:name="汉仪中等线KW">
    <w:panose1 w:val="01010104010101010101"/>
    <w:charset w:val="86"/>
    <w:family w:val="auto"/>
    <w:pitch w:val="default"/>
    <w:sig w:usb0="800002BF" w:usb1="004F7CFA" w:usb2="00000000" w:usb3="00000000" w:csb0="00040001" w:csb1="00000000"/>
  </w:font>
  <w:font w:name="Noto Serif CJK SC">
    <w:panose1 w:val="02020400000000000000"/>
    <w:charset w:val="86"/>
    <w:family w:val="auto"/>
    <w:pitch w:val="default"/>
    <w:sig w:usb0="30000083" w:usb1="2BDF3C10" w:usb2="00000016" w:usb3="00000000" w:csb0="602E0107" w:csb1="00000000"/>
  </w:font>
  <w:font w:name="汉仪仿宋KW">
    <w:panose1 w:val="00020600040101010101"/>
    <w:charset w:val="86"/>
    <w:family w:val="auto"/>
    <w:pitch w:val="default"/>
    <w:sig w:usb0="A00002BF" w:usb1="18EF7CFA" w:usb2="00000016" w:usb3="00000000" w:csb0="00040000" w:csb1="00000000"/>
  </w:font>
  <w:font w:name="等线">
    <w:altName w:val="汉仪中等线KW"/>
    <w:panose1 w:val="00000000000000000000"/>
    <w:charset w:val="00"/>
    <w:family w:val="auto"/>
    <w:pitch w:val="default"/>
    <w:sig w:usb0="00000000" w:usb1="00000000" w:usb2="00000000" w:usb3="00000000" w:csb0="00000000" w:csb1="00000000"/>
  </w:font>
  <w:font w:name="DejaVu Sans">
    <w:panose1 w:val="020B0606030804020204"/>
    <w:charset w:val="00"/>
    <w:family w:val="auto"/>
    <w:pitch w:val="default"/>
    <w:sig w:usb0="E7006EFF" w:usb1="D200FDFF" w:usb2="0A246029" w:usb3="0400200C" w:csb0="600001FF" w:csb1="DFFF0000"/>
  </w:font>
  <w:font w:name="GWZT-EN">
    <w:panose1 w:val="02020400000000000000"/>
    <w:charset w:val="00"/>
    <w:family w:val="auto"/>
    <w:pitch w:val="default"/>
    <w:sig w:usb0="A00002BF" w:usb1="38CF7CFA" w:usb2="00082016"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pPr>
          <w:pStyle w:val="11"/>
          <w:jc w:val="center"/>
          <w:rPr>
            <w:rFonts w:hint="eastAsia"/>
          </w:rPr>
        </w:pPr>
        <w:r>
          <w:fldChar w:fldCharType="begin"/>
        </w:r>
        <w:r>
          <w:instrText xml:space="preserve">PAGE   \* MERGEFORMAT</w:instrText>
        </w:r>
        <w:r>
          <w:fldChar w:fldCharType="separate"/>
        </w:r>
        <w:r>
          <w:rPr>
            <w:lang w:val="zh-CN"/>
          </w:rPr>
          <w:t>2</w:t>
        </w:r>
        <w:r>
          <w:fldChar w:fldCharType="end"/>
        </w:r>
      </w:p>
    </w:sdtContent>
  </w:sdt>
  <w:p>
    <w:pPr>
      <w:pStyle w:val="11"/>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E2YmFlOTgwMDNlMzU5NTk2NWJiZWFmOTBlMzkyYmUifQ=="/>
  </w:docVars>
  <w:rsids>
    <w:rsidRoot w:val="00AC2F54"/>
    <w:rsid w:val="000205C8"/>
    <w:rsid w:val="00021065"/>
    <w:rsid w:val="000519D7"/>
    <w:rsid w:val="000B4F64"/>
    <w:rsid w:val="000C10A0"/>
    <w:rsid w:val="000C4D13"/>
    <w:rsid w:val="000E2633"/>
    <w:rsid w:val="00115465"/>
    <w:rsid w:val="00144936"/>
    <w:rsid w:val="0019304B"/>
    <w:rsid w:val="00195643"/>
    <w:rsid w:val="001E27DE"/>
    <w:rsid w:val="002050D8"/>
    <w:rsid w:val="00211BC2"/>
    <w:rsid w:val="002468C7"/>
    <w:rsid w:val="00276701"/>
    <w:rsid w:val="00292345"/>
    <w:rsid w:val="002A49C3"/>
    <w:rsid w:val="002B0864"/>
    <w:rsid w:val="002C7372"/>
    <w:rsid w:val="003074E2"/>
    <w:rsid w:val="00333699"/>
    <w:rsid w:val="00346590"/>
    <w:rsid w:val="003713F2"/>
    <w:rsid w:val="003A5B22"/>
    <w:rsid w:val="003A673E"/>
    <w:rsid w:val="00400149"/>
    <w:rsid w:val="0040252C"/>
    <w:rsid w:val="00416EAF"/>
    <w:rsid w:val="00433E4C"/>
    <w:rsid w:val="00461F06"/>
    <w:rsid w:val="00484F18"/>
    <w:rsid w:val="004A19EA"/>
    <w:rsid w:val="004A580E"/>
    <w:rsid w:val="004A7397"/>
    <w:rsid w:val="004C4F38"/>
    <w:rsid w:val="004E1B3B"/>
    <w:rsid w:val="0050271E"/>
    <w:rsid w:val="00557AF8"/>
    <w:rsid w:val="00574B7D"/>
    <w:rsid w:val="0058610C"/>
    <w:rsid w:val="005E4F05"/>
    <w:rsid w:val="005F06DF"/>
    <w:rsid w:val="005F3884"/>
    <w:rsid w:val="006277B4"/>
    <w:rsid w:val="006D0E1D"/>
    <w:rsid w:val="006D704C"/>
    <w:rsid w:val="006D7BAE"/>
    <w:rsid w:val="007425A7"/>
    <w:rsid w:val="007610E1"/>
    <w:rsid w:val="007711D4"/>
    <w:rsid w:val="00790522"/>
    <w:rsid w:val="007A0F4F"/>
    <w:rsid w:val="007F0506"/>
    <w:rsid w:val="007F3D13"/>
    <w:rsid w:val="007F4DC4"/>
    <w:rsid w:val="00852F33"/>
    <w:rsid w:val="00864B69"/>
    <w:rsid w:val="008726C8"/>
    <w:rsid w:val="00883B24"/>
    <w:rsid w:val="00896AA3"/>
    <w:rsid w:val="008A4E08"/>
    <w:rsid w:val="008C601F"/>
    <w:rsid w:val="008D644E"/>
    <w:rsid w:val="008E38D3"/>
    <w:rsid w:val="0090691A"/>
    <w:rsid w:val="0091618A"/>
    <w:rsid w:val="009315E1"/>
    <w:rsid w:val="009442A5"/>
    <w:rsid w:val="00980CB2"/>
    <w:rsid w:val="009C00D5"/>
    <w:rsid w:val="009C12B5"/>
    <w:rsid w:val="009D36A1"/>
    <w:rsid w:val="009D3FE4"/>
    <w:rsid w:val="00A1443B"/>
    <w:rsid w:val="00A3198A"/>
    <w:rsid w:val="00A51191"/>
    <w:rsid w:val="00A9227A"/>
    <w:rsid w:val="00AB13DA"/>
    <w:rsid w:val="00AC1E10"/>
    <w:rsid w:val="00AC2F54"/>
    <w:rsid w:val="00AC3E53"/>
    <w:rsid w:val="00AD0918"/>
    <w:rsid w:val="00AE1E48"/>
    <w:rsid w:val="00B2552A"/>
    <w:rsid w:val="00B647FC"/>
    <w:rsid w:val="00B97790"/>
    <w:rsid w:val="00BB0B2C"/>
    <w:rsid w:val="00C15000"/>
    <w:rsid w:val="00C43484"/>
    <w:rsid w:val="00C50DD1"/>
    <w:rsid w:val="00C60345"/>
    <w:rsid w:val="00C96DAA"/>
    <w:rsid w:val="00CA10AA"/>
    <w:rsid w:val="00CB0131"/>
    <w:rsid w:val="00CE3DEA"/>
    <w:rsid w:val="00D543E4"/>
    <w:rsid w:val="00D6302B"/>
    <w:rsid w:val="00DB76C1"/>
    <w:rsid w:val="00DF2FE0"/>
    <w:rsid w:val="00E20C65"/>
    <w:rsid w:val="00E273E4"/>
    <w:rsid w:val="00E45EEE"/>
    <w:rsid w:val="00E52A18"/>
    <w:rsid w:val="00E55F39"/>
    <w:rsid w:val="00E609DD"/>
    <w:rsid w:val="00E730E3"/>
    <w:rsid w:val="00EA42E8"/>
    <w:rsid w:val="00ED5F35"/>
    <w:rsid w:val="00F25587"/>
    <w:rsid w:val="00F47919"/>
    <w:rsid w:val="00F61FA7"/>
    <w:rsid w:val="00F67A99"/>
    <w:rsid w:val="00F91DDB"/>
    <w:rsid w:val="00FB3FEE"/>
    <w:rsid w:val="00FB6D72"/>
    <w:rsid w:val="081812DA"/>
    <w:rsid w:val="1380268A"/>
    <w:rsid w:val="15B900D5"/>
    <w:rsid w:val="1D7B2AF4"/>
    <w:rsid w:val="282437F8"/>
    <w:rsid w:val="29D5075A"/>
    <w:rsid w:val="49BC3715"/>
    <w:rsid w:val="4A6A6B40"/>
    <w:rsid w:val="4E0A0568"/>
    <w:rsid w:val="5E826883"/>
    <w:rsid w:val="68C04067"/>
    <w:rsid w:val="6F0B2A10"/>
    <w:rsid w:val="732F1389"/>
    <w:rsid w:val="75A7212D"/>
    <w:rsid w:val="7BE70BFC"/>
    <w:rsid w:val="EF7F0D8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20"/>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1"/>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2"/>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3"/>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4"/>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5"/>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26"/>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8"/>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11">
    <w:name w:val="footer"/>
    <w:basedOn w:val="1"/>
    <w:link w:val="39"/>
    <w:unhideWhenUsed/>
    <w:qFormat/>
    <w:uiPriority w:val="99"/>
    <w:pPr>
      <w:tabs>
        <w:tab w:val="center" w:pos="4153"/>
        <w:tab w:val="right" w:pos="8306"/>
      </w:tabs>
      <w:snapToGrid w:val="0"/>
      <w:spacing w:line="240" w:lineRule="auto"/>
    </w:pPr>
    <w:rPr>
      <w:sz w:val="18"/>
      <w:szCs w:val="18"/>
    </w:rPr>
  </w:style>
  <w:style w:type="paragraph" w:styleId="12">
    <w:name w:val="header"/>
    <w:basedOn w:val="1"/>
    <w:link w:val="38"/>
    <w:unhideWhenUsed/>
    <w:qFormat/>
    <w:uiPriority w:val="99"/>
    <w:pPr>
      <w:tabs>
        <w:tab w:val="center" w:pos="4153"/>
        <w:tab w:val="right" w:pos="8306"/>
      </w:tabs>
      <w:snapToGrid w:val="0"/>
      <w:spacing w:line="240" w:lineRule="auto"/>
      <w:jc w:val="center"/>
    </w:pPr>
    <w:rPr>
      <w:sz w:val="18"/>
      <w:szCs w:val="18"/>
    </w:rPr>
  </w:style>
  <w:style w:type="paragraph" w:styleId="13">
    <w:name w:val="Subtitle"/>
    <w:basedOn w:val="1"/>
    <w:next w:val="1"/>
    <w:link w:val="30"/>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Normal (Web)"/>
    <w:basedOn w:val="1"/>
    <w:semiHidden/>
    <w:unhideWhenUsed/>
    <w:uiPriority w:val="99"/>
    <w:pPr>
      <w:widowControl/>
      <w:spacing w:before="100" w:beforeAutospacing="1" w:after="100" w:afterAutospacing="1" w:line="240" w:lineRule="auto"/>
    </w:pPr>
    <w:rPr>
      <w:rFonts w:ascii="宋体" w:hAnsi="宋体" w:eastAsia="宋体" w:cs="宋体"/>
      <w:kern w:val="0"/>
      <w:sz w:val="24"/>
      <w14:ligatures w14:val="none"/>
    </w:rPr>
  </w:style>
  <w:style w:type="paragraph" w:styleId="15">
    <w:name w:val="Title"/>
    <w:basedOn w:val="1"/>
    <w:next w:val="1"/>
    <w:link w:val="29"/>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table" w:styleId="17">
    <w:name w:val="Table Grid"/>
    <w:basedOn w:val="16"/>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unhideWhenUsed/>
    <w:qFormat/>
    <w:uiPriority w:val="99"/>
    <w:rPr>
      <w:color w:val="467886" w:themeColor="hyperlink"/>
      <w:u w:val="single"/>
      <w14:textFill>
        <w14:solidFill>
          <w14:schemeClr w14:val="hlink"/>
        </w14:solidFill>
      </w14:textFill>
    </w:rPr>
  </w:style>
  <w:style w:type="character" w:customStyle="1" w:styleId="20">
    <w:name w:val="标题 1 字符"/>
    <w:basedOn w:val="18"/>
    <w:link w:val="2"/>
    <w:qFormat/>
    <w:uiPriority w:val="9"/>
    <w:rPr>
      <w:rFonts w:asciiTheme="majorHAnsi" w:hAnsiTheme="majorHAnsi" w:eastAsiaTheme="majorEastAsia" w:cstheme="majorBidi"/>
      <w:color w:val="104862" w:themeColor="accent1" w:themeShade="BF"/>
      <w:sz w:val="48"/>
      <w:szCs w:val="48"/>
    </w:rPr>
  </w:style>
  <w:style w:type="character" w:customStyle="1" w:styleId="21">
    <w:name w:val="标题 2 字符"/>
    <w:basedOn w:val="18"/>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2">
    <w:name w:val="标题 3 字符"/>
    <w:basedOn w:val="18"/>
    <w:link w:val="4"/>
    <w:qFormat/>
    <w:uiPriority w:val="9"/>
    <w:rPr>
      <w:rFonts w:asciiTheme="majorHAnsi" w:hAnsiTheme="majorHAnsi" w:eastAsiaTheme="majorEastAsia" w:cstheme="majorBidi"/>
      <w:color w:val="104862" w:themeColor="accent1" w:themeShade="BF"/>
      <w:sz w:val="32"/>
      <w:szCs w:val="32"/>
    </w:rPr>
  </w:style>
  <w:style w:type="character" w:customStyle="1" w:styleId="23">
    <w:name w:val="标题 4 字符"/>
    <w:basedOn w:val="18"/>
    <w:link w:val="5"/>
    <w:semiHidden/>
    <w:qFormat/>
    <w:uiPriority w:val="9"/>
    <w:rPr>
      <w:rFonts w:cstheme="majorBidi"/>
      <w:color w:val="104862" w:themeColor="accent1" w:themeShade="BF"/>
      <w:sz w:val="28"/>
      <w:szCs w:val="28"/>
    </w:rPr>
  </w:style>
  <w:style w:type="character" w:customStyle="1" w:styleId="24">
    <w:name w:val="标题 5 字符"/>
    <w:basedOn w:val="18"/>
    <w:link w:val="6"/>
    <w:semiHidden/>
    <w:qFormat/>
    <w:uiPriority w:val="9"/>
    <w:rPr>
      <w:rFonts w:cstheme="majorBidi"/>
      <w:color w:val="104862" w:themeColor="accent1" w:themeShade="BF"/>
      <w:sz w:val="24"/>
    </w:rPr>
  </w:style>
  <w:style w:type="character" w:customStyle="1" w:styleId="25">
    <w:name w:val="标题 6 字符"/>
    <w:basedOn w:val="18"/>
    <w:link w:val="7"/>
    <w:semiHidden/>
    <w:qFormat/>
    <w:uiPriority w:val="9"/>
    <w:rPr>
      <w:rFonts w:cstheme="majorBidi"/>
      <w:b/>
      <w:bCs/>
      <w:color w:val="104862" w:themeColor="accent1" w:themeShade="BF"/>
    </w:rPr>
  </w:style>
  <w:style w:type="character" w:customStyle="1" w:styleId="26">
    <w:name w:val="标题 7 字符"/>
    <w:basedOn w:val="18"/>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7">
    <w:name w:val="标题 8 字符"/>
    <w:basedOn w:val="18"/>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8">
    <w:name w:val="标题 9 字符"/>
    <w:basedOn w:val="18"/>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标题 字符"/>
    <w:basedOn w:val="18"/>
    <w:link w:val="15"/>
    <w:qFormat/>
    <w:uiPriority w:val="10"/>
    <w:rPr>
      <w:rFonts w:asciiTheme="majorHAnsi" w:hAnsiTheme="majorHAnsi" w:eastAsiaTheme="majorEastAsia" w:cstheme="majorBidi"/>
      <w:spacing w:val="-10"/>
      <w:kern w:val="28"/>
      <w:sz w:val="56"/>
      <w:szCs w:val="56"/>
    </w:rPr>
  </w:style>
  <w:style w:type="character" w:customStyle="1" w:styleId="30">
    <w:name w:val="副标题 字符"/>
    <w:basedOn w:val="18"/>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引用 字符"/>
    <w:basedOn w:val="18"/>
    <w:link w:val="31"/>
    <w:qFormat/>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明显强调1"/>
    <w:basedOn w:val="18"/>
    <w:qFormat/>
    <w:uiPriority w:val="21"/>
    <w:rPr>
      <w:i/>
      <w:iCs/>
      <w:color w:val="104862" w:themeColor="accent1" w:themeShade="BF"/>
    </w:rPr>
  </w:style>
  <w:style w:type="paragraph" w:styleId="35">
    <w:name w:val="Intense Quote"/>
    <w:basedOn w:val="1"/>
    <w:next w:val="1"/>
    <w:link w:val="36"/>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6">
    <w:name w:val="明显引用 字符"/>
    <w:basedOn w:val="18"/>
    <w:link w:val="35"/>
    <w:qFormat/>
    <w:uiPriority w:val="30"/>
    <w:rPr>
      <w:i/>
      <w:iCs/>
      <w:color w:val="104862" w:themeColor="accent1" w:themeShade="BF"/>
    </w:rPr>
  </w:style>
  <w:style w:type="character" w:customStyle="1" w:styleId="37">
    <w:name w:val="明显参考1"/>
    <w:basedOn w:val="18"/>
    <w:qFormat/>
    <w:uiPriority w:val="32"/>
    <w:rPr>
      <w:b/>
      <w:bCs/>
      <w:smallCaps/>
      <w:color w:val="104862" w:themeColor="accent1" w:themeShade="BF"/>
      <w:spacing w:val="5"/>
    </w:rPr>
  </w:style>
  <w:style w:type="character" w:customStyle="1" w:styleId="38">
    <w:name w:val="页眉 字符"/>
    <w:basedOn w:val="18"/>
    <w:link w:val="12"/>
    <w:qFormat/>
    <w:uiPriority w:val="99"/>
    <w:rPr>
      <w:sz w:val="18"/>
      <w:szCs w:val="18"/>
    </w:rPr>
  </w:style>
  <w:style w:type="character" w:customStyle="1" w:styleId="39">
    <w:name w:val="页脚 字符"/>
    <w:basedOn w:val="18"/>
    <w:link w:val="11"/>
    <w:qFormat/>
    <w:uiPriority w:val="99"/>
    <w:rPr>
      <w:sz w:val="18"/>
      <w:szCs w:val="18"/>
    </w:rPr>
  </w:style>
  <w:style w:type="character" w:customStyle="1" w:styleId="40">
    <w:name w:val="未处理的提及1"/>
    <w:basedOn w:val="18"/>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294</Words>
  <Characters>1678</Characters>
  <Lines>13</Lines>
  <Paragraphs>3</Paragraphs>
  <TotalTime>32</TotalTime>
  <ScaleCrop>false</ScaleCrop>
  <LinksUpToDate>false</LinksUpToDate>
  <CharactersWithSpaces>1969</CharactersWithSpaces>
  <Application>WPS Office WWO_dingtalk_20251229114113-512ad6072f</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2026-07-22T15:48:00Z</dcterms:created>
  <dc:creator>e27008</dc:creator>
  <cp:lastModifiedBy>L L</cp:lastModifiedBy>
  <dcterms:modified xsi:type="dcterms:W3CDTF">2026-07-22T21:35:48Z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2052-11.8.2.10440</vt:lpwstr>
  </property>
  <property fmtid="{D5CDD505-2E9C-101B-9397-08002B2CF9AE}" pid="3" name="ICV">
    <vt:lpwstr>8CAB29345F4C4B018F9CAF9761E4071D</vt:lpwstr>
  </property>
</Properties>
</file>