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24EB9">
      <w:r>
        <w:rPr>
          <w:rFonts w:hint="eastAsia"/>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-906780</wp:posOffset>
            </wp:positionV>
            <wp:extent cx="7576820" cy="2408555"/>
            <wp:effectExtent l="0" t="0" r="0" b="0"/>
            <wp:wrapTight wrapText="bothSides">
              <wp:wrapPolygon>
                <wp:start x="0" y="0"/>
                <wp:lineTo x="0" y="21355"/>
                <wp:lineTo x="21560" y="21355"/>
                <wp:lineTo x="21560" y="0"/>
                <wp:lineTo x="0" y="0"/>
              </wp:wrapPolygon>
            </wp:wrapTight>
            <wp:docPr id="2"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模板-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7576820" cy="2408555"/>
                    </a:xfrm>
                    <a:prstGeom prst="rect">
                      <a:avLst/>
                    </a:prstGeom>
                    <a:noFill/>
                    <a:ln>
                      <a:noFill/>
                    </a:ln>
                    <a:effectLst/>
                  </pic:spPr>
                </pic:pic>
              </a:graphicData>
            </a:graphic>
          </wp:anchor>
        </w:drawing>
      </w:r>
    </w:p>
    <w:p w14:paraId="0C32E72D"/>
    <w:p w14:paraId="17DB6644"/>
    <w:p w14:paraId="56EF0C07">
      <w:pPr>
        <w:jc w:val="center"/>
        <w:rPr>
          <w:rFonts w:ascii="黑体" w:hAnsi="黑体" w:eastAsia="黑体"/>
          <w:sz w:val="40"/>
          <w:szCs w:val="40"/>
        </w:rPr>
      </w:pPr>
      <w:bookmarkStart w:id="0" w:name="OLE_LINK1"/>
      <w:r>
        <w:rPr>
          <w:rFonts w:hint="eastAsia" w:ascii="黑体" w:hAnsi="黑体" w:eastAsia="黑体"/>
          <w:sz w:val="40"/>
          <w:szCs w:val="40"/>
        </w:rPr>
        <w:t>深圳供电局有限公司</w:t>
      </w:r>
    </w:p>
    <w:p w14:paraId="2BAD53C4">
      <w:pPr>
        <w:pStyle w:val="2"/>
        <w:ind w:left="480"/>
      </w:pPr>
    </w:p>
    <w:p w14:paraId="33735D45">
      <w:pPr>
        <w:jc w:val="center"/>
        <w:rPr>
          <w:rFonts w:ascii="黑体" w:hAnsi="黑体" w:eastAsia="黑体"/>
          <w:sz w:val="40"/>
          <w:szCs w:val="40"/>
        </w:rPr>
      </w:pPr>
      <w:bookmarkStart w:id="21" w:name="_GoBack"/>
      <w:r>
        <w:rPr>
          <w:rFonts w:hint="eastAsia" w:ascii="黑体" w:hAnsi="黑体" w:eastAsia="黑体"/>
          <w:sz w:val="40"/>
          <w:szCs w:val="40"/>
          <w:lang w:eastAsia="zh-CN"/>
        </w:rPr>
        <w:t>语音视频网网络安全准入设备</w:t>
      </w:r>
      <w:r>
        <w:rPr>
          <w:rFonts w:hint="eastAsia" w:ascii="黑体" w:hAnsi="黑体" w:eastAsia="黑体"/>
          <w:sz w:val="40"/>
          <w:szCs w:val="40"/>
        </w:rPr>
        <w:t>技术规范书</w:t>
      </w:r>
      <w:bookmarkEnd w:id="0"/>
      <w:bookmarkEnd w:id="21"/>
    </w:p>
    <w:p w14:paraId="6BCDFC73"/>
    <w:p w14:paraId="585AC68E"/>
    <w:p w14:paraId="2D801C50"/>
    <w:p w14:paraId="26CB0407"/>
    <w:p w14:paraId="556647A6"/>
    <w:p w14:paraId="4FD7939B"/>
    <w:p w14:paraId="1C467528"/>
    <w:p w14:paraId="56093CD2"/>
    <w:p w14:paraId="3B6F3475"/>
    <w:p w14:paraId="343C431F"/>
    <w:p w14:paraId="06E7D535"/>
    <w:p w14:paraId="06EAF6AC"/>
    <w:p w14:paraId="7F05E299">
      <w:pPr>
        <w:jc w:val="center"/>
        <w:rPr>
          <w:b/>
          <w:bCs/>
          <w:sz w:val="32"/>
          <w:szCs w:val="32"/>
        </w:rPr>
      </w:pPr>
      <w:r>
        <w:rPr>
          <w:rFonts w:hint="eastAsia"/>
          <w:b/>
          <w:bCs/>
          <w:sz w:val="32"/>
          <w:szCs w:val="32"/>
        </w:rPr>
        <w:t>深圳供电局有限公司</w:t>
      </w:r>
    </w:p>
    <w:p w14:paraId="1FD2F7AD">
      <w:pPr>
        <w:jc w:val="center"/>
        <w:rPr>
          <w:b/>
          <w:bCs/>
          <w:sz w:val="32"/>
          <w:szCs w:val="32"/>
        </w:rPr>
      </w:pPr>
      <w:r>
        <w:rPr>
          <w:rFonts w:hint="eastAsia"/>
          <w:b/>
          <w:bCs/>
          <w:sz w:val="32"/>
          <w:szCs w:val="32"/>
        </w:rPr>
        <w:t>2026年7月</w:t>
      </w:r>
    </w:p>
    <w:p w14:paraId="7B74777E">
      <w:pPr>
        <w:jc w:val="center"/>
      </w:pPr>
      <w:r>
        <w:br w:type="page"/>
      </w:r>
      <w:r>
        <w:rPr>
          <w:rFonts w:hint="eastAsia"/>
        </w:rPr>
        <w:t>目  录</w:t>
      </w:r>
    </w:p>
    <w:p w14:paraId="3E192033">
      <w:pPr>
        <w:pStyle w:val="22"/>
        <w:rPr>
          <w:rFonts w:ascii="等线" w:hAnsi="等线" w:eastAsia="等线"/>
          <w:sz w:val="22"/>
        </w:rPr>
      </w:pPr>
      <w:r>
        <w:fldChar w:fldCharType="begin"/>
      </w:r>
      <w:r>
        <w:instrText xml:space="preserve"> </w:instrText>
      </w:r>
      <w:r>
        <w:rPr>
          <w:rFonts w:hint="eastAsia"/>
        </w:rPr>
        <w:instrText xml:space="preserve">TOC \o "1-1" \h \z \u</w:instrText>
      </w:r>
      <w:r>
        <w:instrText xml:space="preserve"> </w:instrText>
      </w:r>
      <w:r>
        <w:fldChar w:fldCharType="separate"/>
      </w:r>
      <w:r>
        <w:fldChar w:fldCharType="begin"/>
      </w:r>
      <w:r>
        <w:instrText xml:space="preserve"> HYPERLINK \l "_Toc235809210" </w:instrText>
      </w:r>
      <w:r>
        <w:fldChar w:fldCharType="separate"/>
      </w:r>
      <w:r>
        <w:rPr>
          <w:rStyle w:val="30"/>
        </w:rPr>
        <w:t>1. 总则</w:t>
      </w:r>
      <w:r>
        <w:rPr>
          <w:rFonts w:hint="eastAsia"/>
        </w:rPr>
        <w:tab/>
      </w:r>
      <w:r>
        <w:rPr>
          <w:rFonts w:hint="eastAsia"/>
        </w:rPr>
        <w:fldChar w:fldCharType="begin"/>
      </w:r>
      <w:r>
        <w:rPr>
          <w:rFonts w:hint="eastAsia"/>
        </w:rPr>
        <w:instrText xml:space="preserve"> </w:instrText>
      </w:r>
      <w:r>
        <w:instrText xml:space="preserve">PAGEREF _Toc235809210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4F50F14">
      <w:pPr>
        <w:pStyle w:val="22"/>
        <w:rPr>
          <w:rFonts w:ascii="等线" w:hAnsi="等线" w:eastAsia="等线"/>
          <w:sz w:val="22"/>
        </w:rPr>
      </w:pPr>
      <w:r>
        <w:fldChar w:fldCharType="begin"/>
      </w:r>
      <w:r>
        <w:instrText xml:space="preserve"> HYPERLINK \l "_Toc235809211" </w:instrText>
      </w:r>
      <w:r>
        <w:fldChar w:fldCharType="separate"/>
      </w:r>
      <w:r>
        <w:rPr>
          <w:rStyle w:val="30"/>
        </w:rPr>
        <w:t>2. 工作范围</w:t>
      </w:r>
      <w:r>
        <w:rPr>
          <w:rFonts w:hint="eastAsia"/>
        </w:rPr>
        <w:tab/>
      </w:r>
      <w:r>
        <w:rPr>
          <w:rFonts w:hint="eastAsia"/>
        </w:rPr>
        <w:fldChar w:fldCharType="begin"/>
      </w:r>
      <w:r>
        <w:rPr>
          <w:rFonts w:hint="eastAsia"/>
        </w:rPr>
        <w:instrText xml:space="preserve"> </w:instrText>
      </w:r>
      <w:r>
        <w:instrText xml:space="preserve">PAGEREF _Toc235809211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8506834">
      <w:pPr>
        <w:pStyle w:val="22"/>
        <w:rPr>
          <w:rFonts w:ascii="等线" w:hAnsi="等线" w:eastAsia="等线"/>
          <w:sz w:val="22"/>
        </w:rPr>
      </w:pPr>
      <w:r>
        <w:fldChar w:fldCharType="begin"/>
      </w:r>
      <w:r>
        <w:instrText xml:space="preserve"> HYPERLINK \l "_Toc235809212" </w:instrText>
      </w:r>
      <w:r>
        <w:fldChar w:fldCharType="separate"/>
      </w:r>
      <w:r>
        <w:rPr>
          <w:rStyle w:val="30"/>
        </w:rPr>
        <w:t>3. 应遵循的主要标准</w:t>
      </w:r>
      <w:r>
        <w:rPr>
          <w:rFonts w:hint="eastAsia"/>
        </w:rPr>
        <w:tab/>
      </w:r>
      <w:r>
        <w:rPr>
          <w:rFonts w:hint="eastAsia"/>
        </w:rPr>
        <w:fldChar w:fldCharType="begin"/>
      </w:r>
      <w:r>
        <w:rPr>
          <w:rFonts w:hint="eastAsia"/>
        </w:rPr>
        <w:instrText xml:space="preserve"> </w:instrText>
      </w:r>
      <w:r>
        <w:instrText xml:space="preserve">PAGEREF _Toc235809212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FBA68FC">
      <w:pPr>
        <w:pStyle w:val="22"/>
        <w:rPr>
          <w:rFonts w:ascii="等线" w:hAnsi="等线" w:eastAsia="等线"/>
          <w:sz w:val="22"/>
        </w:rPr>
      </w:pPr>
      <w:r>
        <w:fldChar w:fldCharType="begin"/>
      </w:r>
      <w:r>
        <w:instrText xml:space="preserve"> HYPERLINK \l "_Toc235809213" </w:instrText>
      </w:r>
      <w:r>
        <w:fldChar w:fldCharType="separate"/>
      </w:r>
      <w:r>
        <w:rPr>
          <w:rStyle w:val="30"/>
        </w:rPr>
        <w:t>4. 使用条件</w:t>
      </w:r>
      <w:r>
        <w:rPr>
          <w:rFonts w:hint="eastAsia"/>
        </w:rPr>
        <w:tab/>
      </w:r>
      <w:r>
        <w:rPr>
          <w:rFonts w:hint="eastAsia"/>
        </w:rPr>
        <w:fldChar w:fldCharType="begin"/>
      </w:r>
      <w:r>
        <w:rPr>
          <w:rFonts w:hint="eastAsia"/>
        </w:rPr>
        <w:instrText xml:space="preserve"> </w:instrText>
      </w:r>
      <w:r>
        <w:instrText xml:space="preserve">PAGEREF _Toc235809213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D5A5A13">
      <w:pPr>
        <w:pStyle w:val="22"/>
        <w:rPr>
          <w:rFonts w:ascii="等线" w:hAnsi="等线" w:eastAsia="等线"/>
          <w:sz w:val="22"/>
        </w:rPr>
      </w:pPr>
      <w:r>
        <w:fldChar w:fldCharType="begin"/>
      </w:r>
      <w:r>
        <w:instrText xml:space="preserve"> HYPERLINK \l "_Toc235809214" </w:instrText>
      </w:r>
      <w:r>
        <w:fldChar w:fldCharType="separate"/>
      </w:r>
      <w:r>
        <w:rPr>
          <w:rStyle w:val="30"/>
        </w:rPr>
        <w:t>5. 技术参数要求</w:t>
      </w:r>
      <w:r>
        <w:rPr>
          <w:rFonts w:hint="eastAsia"/>
        </w:rPr>
        <w:tab/>
      </w:r>
      <w:r>
        <w:rPr>
          <w:rFonts w:hint="eastAsia"/>
        </w:rPr>
        <w:fldChar w:fldCharType="begin"/>
      </w:r>
      <w:r>
        <w:rPr>
          <w:rFonts w:hint="eastAsia"/>
        </w:rPr>
        <w:instrText xml:space="preserve"> </w:instrText>
      </w:r>
      <w:r>
        <w:instrText xml:space="preserve">PAGEREF _Toc235809214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E3E4C2B">
      <w:pPr>
        <w:pStyle w:val="22"/>
        <w:rPr>
          <w:rFonts w:ascii="等线" w:hAnsi="等线" w:eastAsia="等线"/>
          <w:sz w:val="22"/>
        </w:rPr>
      </w:pPr>
      <w:r>
        <w:fldChar w:fldCharType="begin"/>
      </w:r>
      <w:r>
        <w:instrText xml:space="preserve"> HYPERLINK \l "_Toc235809215" </w:instrText>
      </w:r>
      <w:r>
        <w:fldChar w:fldCharType="separate"/>
      </w:r>
      <w:r>
        <w:rPr>
          <w:rStyle w:val="30"/>
        </w:rPr>
        <w:t>6. 安全要求</w:t>
      </w:r>
      <w:r>
        <w:rPr>
          <w:rFonts w:hint="eastAsia"/>
        </w:rPr>
        <w:tab/>
      </w:r>
      <w:r>
        <w:rPr>
          <w:rFonts w:hint="eastAsia"/>
        </w:rPr>
        <w:fldChar w:fldCharType="begin"/>
      </w:r>
      <w:r>
        <w:rPr>
          <w:rFonts w:hint="eastAsia"/>
        </w:rPr>
        <w:instrText xml:space="preserve"> </w:instrText>
      </w:r>
      <w:r>
        <w:instrText xml:space="preserve">PAGEREF _Toc235809215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6FCC91E">
      <w:pPr>
        <w:pStyle w:val="22"/>
        <w:rPr>
          <w:rFonts w:ascii="等线" w:hAnsi="等线" w:eastAsia="等线"/>
          <w:sz w:val="22"/>
        </w:rPr>
      </w:pPr>
      <w:r>
        <w:fldChar w:fldCharType="begin"/>
      </w:r>
      <w:r>
        <w:instrText xml:space="preserve"> HYPERLINK \l "_Toc235809216" </w:instrText>
      </w:r>
      <w:r>
        <w:fldChar w:fldCharType="separate"/>
      </w:r>
      <w:r>
        <w:rPr>
          <w:rStyle w:val="30"/>
        </w:rPr>
        <w:t>7. 技术文件要求</w:t>
      </w:r>
      <w:r>
        <w:rPr>
          <w:rFonts w:hint="eastAsia"/>
        </w:rPr>
        <w:tab/>
      </w:r>
      <w:r>
        <w:rPr>
          <w:rFonts w:hint="eastAsia"/>
        </w:rPr>
        <w:fldChar w:fldCharType="begin"/>
      </w:r>
      <w:r>
        <w:rPr>
          <w:rFonts w:hint="eastAsia"/>
        </w:rPr>
        <w:instrText xml:space="preserve"> </w:instrText>
      </w:r>
      <w:r>
        <w:instrText xml:space="preserve">PAGEREF _Toc235809216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ABC3FEA">
      <w:pPr>
        <w:pStyle w:val="22"/>
        <w:rPr>
          <w:rFonts w:ascii="等线" w:hAnsi="等线" w:eastAsia="等线"/>
          <w:sz w:val="22"/>
        </w:rPr>
      </w:pPr>
      <w:r>
        <w:fldChar w:fldCharType="begin"/>
      </w:r>
      <w:r>
        <w:instrText xml:space="preserve"> HYPERLINK \l "_Toc235809217" </w:instrText>
      </w:r>
      <w:r>
        <w:fldChar w:fldCharType="separate"/>
      </w:r>
      <w:r>
        <w:rPr>
          <w:rStyle w:val="30"/>
        </w:rPr>
        <w:t>8. 监造、包装、运输、安装及质量保证</w:t>
      </w:r>
      <w:r>
        <w:rPr>
          <w:rFonts w:hint="eastAsia"/>
        </w:rPr>
        <w:tab/>
      </w:r>
      <w:r>
        <w:rPr>
          <w:rFonts w:hint="eastAsia"/>
        </w:rPr>
        <w:fldChar w:fldCharType="begin"/>
      </w:r>
      <w:r>
        <w:rPr>
          <w:rFonts w:hint="eastAsia"/>
        </w:rPr>
        <w:instrText xml:space="preserve"> </w:instrText>
      </w:r>
      <w:r>
        <w:instrText xml:space="preserve">PAGEREF _Toc235809217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2ECE0CE">
      <w:pPr>
        <w:pStyle w:val="22"/>
        <w:rPr>
          <w:rFonts w:ascii="等线" w:hAnsi="等线" w:eastAsia="等线"/>
          <w:sz w:val="22"/>
        </w:rPr>
      </w:pPr>
      <w:r>
        <w:fldChar w:fldCharType="begin"/>
      </w:r>
      <w:r>
        <w:instrText xml:space="preserve"> HYPERLINK \l "_Toc235809218" </w:instrText>
      </w:r>
      <w:r>
        <w:fldChar w:fldCharType="separate"/>
      </w:r>
      <w:r>
        <w:rPr>
          <w:rStyle w:val="30"/>
        </w:rPr>
        <w:t>9. 双方工作安排</w:t>
      </w:r>
      <w:r>
        <w:rPr>
          <w:rFonts w:hint="eastAsia"/>
        </w:rPr>
        <w:tab/>
      </w:r>
      <w:r>
        <w:rPr>
          <w:rFonts w:hint="eastAsia"/>
        </w:rPr>
        <w:fldChar w:fldCharType="begin"/>
      </w:r>
      <w:r>
        <w:rPr>
          <w:rFonts w:hint="eastAsia"/>
        </w:rPr>
        <w:instrText xml:space="preserve"> </w:instrText>
      </w:r>
      <w:r>
        <w:instrText xml:space="preserve">PAGEREF _Toc235809218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44790EC9">
      <w:pPr>
        <w:pStyle w:val="22"/>
        <w:rPr>
          <w:rFonts w:ascii="等线" w:hAnsi="等线" w:eastAsia="等线"/>
          <w:sz w:val="22"/>
        </w:rPr>
      </w:pPr>
      <w:r>
        <w:fldChar w:fldCharType="begin"/>
      </w:r>
      <w:r>
        <w:instrText xml:space="preserve"> HYPERLINK \l "_Toc235809219" </w:instrText>
      </w:r>
      <w:r>
        <w:fldChar w:fldCharType="separate"/>
      </w:r>
      <w:r>
        <w:rPr>
          <w:rStyle w:val="30"/>
        </w:rPr>
        <w:t>10. 备品备件及主要工器具</w:t>
      </w:r>
      <w:r>
        <w:rPr>
          <w:rFonts w:hint="eastAsia"/>
        </w:rPr>
        <w:tab/>
      </w:r>
      <w:r>
        <w:rPr>
          <w:rFonts w:hint="eastAsia"/>
        </w:rPr>
        <w:fldChar w:fldCharType="begin"/>
      </w:r>
      <w:r>
        <w:rPr>
          <w:rFonts w:hint="eastAsia"/>
        </w:rPr>
        <w:instrText xml:space="preserve"> </w:instrText>
      </w:r>
      <w:r>
        <w:instrText xml:space="preserve">PAGEREF _Toc235809219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73390796">
      <w:pPr>
        <w:pStyle w:val="22"/>
        <w:rPr>
          <w:rFonts w:ascii="等线" w:hAnsi="等线" w:eastAsia="等线"/>
          <w:sz w:val="22"/>
        </w:rPr>
      </w:pPr>
      <w:r>
        <w:fldChar w:fldCharType="begin"/>
      </w:r>
      <w:r>
        <w:instrText xml:space="preserve"> HYPERLINK \l "_Toc235809220" </w:instrText>
      </w:r>
      <w:r>
        <w:fldChar w:fldCharType="separate"/>
      </w:r>
      <w:r>
        <w:rPr>
          <w:rStyle w:val="30"/>
        </w:rPr>
        <w:t>11. 技术差异表</w:t>
      </w:r>
      <w:r>
        <w:rPr>
          <w:rFonts w:hint="eastAsia"/>
        </w:rPr>
        <w:tab/>
      </w:r>
      <w:r>
        <w:rPr>
          <w:rFonts w:hint="eastAsia"/>
        </w:rPr>
        <w:fldChar w:fldCharType="begin"/>
      </w:r>
      <w:r>
        <w:rPr>
          <w:rFonts w:hint="eastAsia"/>
        </w:rPr>
        <w:instrText xml:space="preserve"> </w:instrText>
      </w:r>
      <w:r>
        <w:instrText xml:space="preserve">PAGEREF _Toc235809220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6DE50C23">
      <w:pPr>
        <w:pStyle w:val="22"/>
        <w:rPr>
          <w:rFonts w:ascii="等线" w:hAnsi="等线" w:eastAsia="等线"/>
          <w:sz w:val="22"/>
        </w:rPr>
      </w:pPr>
      <w:r>
        <w:fldChar w:fldCharType="begin"/>
      </w:r>
      <w:r>
        <w:instrText xml:space="preserve"> HYPERLINK \l "_Toc235809221" </w:instrText>
      </w:r>
      <w:r>
        <w:fldChar w:fldCharType="separate"/>
      </w:r>
      <w:r>
        <w:rPr>
          <w:rStyle w:val="30"/>
        </w:rPr>
        <w:t>12. 投标方需要说明的其它问题</w:t>
      </w:r>
      <w:r>
        <w:rPr>
          <w:rFonts w:hint="eastAsia"/>
        </w:rPr>
        <w:tab/>
      </w:r>
      <w:r>
        <w:rPr>
          <w:rFonts w:hint="eastAsia"/>
        </w:rPr>
        <w:fldChar w:fldCharType="begin"/>
      </w:r>
      <w:r>
        <w:rPr>
          <w:rFonts w:hint="eastAsia"/>
        </w:rPr>
        <w:instrText xml:space="preserve"> </w:instrText>
      </w:r>
      <w:r>
        <w:instrText xml:space="preserve">PAGEREF _Toc235809221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070F844B">
      <w:r>
        <w:fldChar w:fldCharType="end"/>
      </w:r>
    </w:p>
    <w:p w14:paraId="7952E22C">
      <w:pPr>
        <w:sectPr>
          <w:headerReference r:id="rId5" w:type="default"/>
          <w:footerReference r:id="rId6" w:type="default"/>
          <w:footerReference r:id="rId7" w:type="even"/>
          <w:pgSz w:w="11906" w:h="16838"/>
          <w:pgMar w:top="1440" w:right="1800" w:bottom="1440" w:left="1800" w:header="851" w:footer="992" w:gutter="0"/>
          <w:cols w:space="720" w:num="1"/>
          <w:docGrid w:type="lines" w:linePitch="312" w:charSpace="0"/>
        </w:sectPr>
      </w:pPr>
    </w:p>
    <w:p w14:paraId="7BBBA346">
      <w:pPr>
        <w:pStyle w:val="3"/>
      </w:pPr>
      <w:bookmarkStart w:id="1" w:name="_Toc235809210"/>
      <w:r>
        <w:rPr>
          <w:rFonts w:hint="eastAsia"/>
        </w:rPr>
        <w:t>总则</w:t>
      </w:r>
      <w:bookmarkEnd w:id="1"/>
    </w:p>
    <w:p w14:paraId="59FD292A">
      <w:pPr>
        <w:pStyle w:val="45"/>
        <w:rPr>
          <w:rFonts w:hint="eastAsia"/>
        </w:rPr>
      </w:pPr>
      <w:r>
        <w:rPr>
          <w:rFonts w:hint="eastAsia"/>
        </w:rPr>
        <w:t>本技术规范书适用于</w:t>
      </w:r>
      <w:r>
        <w:rPr>
          <w:rFonts w:hAnsi="宋体"/>
          <w:szCs w:val="24"/>
        </w:rPr>
        <w:t>深圳供电局有限公司</w:t>
      </w:r>
      <w:r>
        <w:rPr>
          <w:rFonts w:hint="eastAsia" w:ascii="Times New Roman" w:hAnsi="Times New Roman"/>
          <w:szCs w:val="24"/>
        </w:rPr>
        <w:t>采购的</w:t>
      </w:r>
      <w:r>
        <w:rPr>
          <w:rFonts w:hint="eastAsia" w:hAnsi="宋体"/>
          <w:lang w:eastAsia="zh-CN"/>
        </w:rPr>
        <w:t>语音视频网网络安全准入设备</w:t>
      </w:r>
      <w:r>
        <w:rPr>
          <w:rFonts w:hint="eastAsia"/>
        </w:rPr>
        <w:t>，</w:t>
      </w:r>
      <w:r>
        <w:rPr>
          <w:spacing w:val="-4"/>
        </w:rPr>
        <w:t>它提出了该设备本体及附属设备的功能设计、结构、性能、安装和试验等方面的技术要求</w:t>
      </w:r>
      <w:r>
        <w:rPr>
          <w:rFonts w:hint="eastAsia"/>
        </w:rPr>
        <w:t>。</w:t>
      </w:r>
    </w:p>
    <w:p w14:paraId="2B8AC2CA">
      <w:pPr>
        <w:pStyle w:val="45"/>
      </w:pPr>
      <w:r>
        <w:rPr>
          <w:rFonts w:hint="eastAsia"/>
        </w:rPr>
        <w:t>本技术规范书提出的是最基本的技术要求, 并未对一切技术细节作出规定, 也未充分引述有关标准和规范的条文, 投标方应提供符合本技术规范书和工业标准的优质产品。</w:t>
      </w:r>
    </w:p>
    <w:p w14:paraId="201B4161">
      <w:pPr>
        <w:pStyle w:val="45"/>
      </w:pPr>
      <w:r>
        <w:rPr>
          <w:rFonts w:hint="eastAsia"/>
        </w:rPr>
        <w:t>如果投标方没有以书面形式对本技术规范书的条文提出异议</w:t>
      </w:r>
      <w:r>
        <w:t xml:space="preserve">, </w:t>
      </w:r>
      <w:r>
        <w:rPr>
          <w:rFonts w:hint="eastAsia"/>
        </w:rPr>
        <w:t>则意味着投标方提供的设备</w:t>
      </w:r>
      <w:r>
        <w:t>(</w:t>
      </w:r>
      <w:r>
        <w:rPr>
          <w:rFonts w:hint="eastAsia"/>
        </w:rPr>
        <w:t>或系统</w:t>
      </w:r>
      <w:r>
        <w:t>)</w:t>
      </w:r>
      <w:r>
        <w:rPr>
          <w:rFonts w:hint="eastAsia"/>
        </w:rPr>
        <w:t>完全符合本技术规范书的要求。如有异议</w:t>
      </w:r>
      <w:r>
        <w:t xml:space="preserve">, </w:t>
      </w:r>
      <w:r>
        <w:rPr>
          <w:rFonts w:hint="eastAsia"/>
        </w:rPr>
        <w:t>都应在报价书中以</w:t>
      </w:r>
      <w:r>
        <w:t>“</w:t>
      </w:r>
      <w:r>
        <w:rPr>
          <w:rFonts w:hint="eastAsia"/>
        </w:rPr>
        <w:t>对技术规范书的意见和同技术规范书的差异</w:t>
      </w:r>
      <w:r>
        <w:t>”</w:t>
      </w:r>
      <w:r>
        <w:rPr>
          <w:rFonts w:hint="eastAsia"/>
        </w:rPr>
        <w:t>为标题的专门章节中加以详细描述。</w:t>
      </w:r>
    </w:p>
    <w:p w14:paraId="16599979">
      <w:pPr>
        <w:pStyle w:val="45"/>
      </w:pPr>
      <w:r>
        <w:rPr>
          <w:rFonts w:hint="eastAsia"/>
        </w:rPr>
        <w:t>本技术规范书所使用的标准如遇与投标方所执行的标准不一致时</w:t>
      </w:r>
      <w:r>
        <w:t xml:space="preserve">, </w:t>
      </w:r>
      <w:r>
        <w:rPr>
          <w:rFonts w:hint="eastAsia"/>
        </w:rPr>
        <w:t>按较高标准执行，</w:t>
      </w:r>
      <w:r>
        <w:rPr>
          <w:rFonts w:hAnsi="宋体"/>
        </w:rPr>
        <w:t>投标方为本</w:t>
      </w:r>
      <w:r>
        <w:t>工程</w:t>
      </w:r>
      <w:r>
        <w:rPr>
          <w:rFonts w:hAnsi="宋体"/>
        </w:rPr>
        <w:t>提供的</w:t>
      </w:r>
      <w:r>
        <w:rPr>
          <w:rFonts w:hint="eastAsia" w:hAnsi="宋体"/>
        </w:rPr>
        <w:t>技术服务</w:t>
      </w:r>
      <w:r>
        <w:rPr>
          <w:rFonts w:hAnsi="宋体"/>
        </w:rPr>
        <w:t>应是按最新工艺制造的、全新的、符合国际、国内标准的，以确保系统的安全稳定运行</w:t>
      </w:r>
      <w:r>
        <w:rPr>
          <w:rFonts w:hint="eastAsia"/>
        </w:rPr>
        <w:t>。</w:t>
      </w:r>
    </w:p>
    <w:p w14:paraId="16EF4CD1">
      <w:pPr>
        <w:pStyle w:val="45"/>
      </w:pPr>
      <w:r>
        <w:rPr>
          <w:rFonts w:hint="eastAsia"/>
        </w:rPr>
        <w:t>本技术规范书经买、卖双方确认后作为订货合同的技术附件，与合同正文具有同等法律效力。</w:t>
      </w:r>
    </w:p>
    <w:p w14:paraId="6AB98DE5">
      <w:pPr>
        <w:pStyle w:val="45"/>
      </w:pPr>
      <w:r>
        <w:rPr>
          <w:rFonts w:hint="eastAsia"/>
        </w:rPr>
        <w:t>投标方在应标技术文件中应如实反映应标产品与本技术规范书的技术差异。如果投标方没有提出技术差异，而在执行合同的过程中，招标方发现投标方提供的产品与其应标技术文件的条文存在差异，招标方有权利要求退货，并将对下一年度的评标工作有不同程度的影响。</w:t>
      </w:r>
    </w:p>
    <w:p w14:paraId="65014196">
      <w:pPr>
        <w:pStyle w:val="45"/>
        <w:rPr>
          <w:highlight w:val="none"/>
        </w:rPr>
      </w:pPr>
      <w:r>
        <w:rPr>
          <w:rFonts w:hint="eastAsia"/>
          <w:highlight w:val="none"/>
        </w:rPr>
        <w:t>投标方应在应标技术部分按本技术规范书的要求如实详细的填写应标设备的标准配置表，并在应标商务部分按此标准配置进行报价，如发现二者有矛盾之处，将对评标工作有不同程度的影响。</w:t>
      </w:r>
    </w:p>
    <w:p w14:paraId="3B373BEE">
      <w:pPr>
        <w:pStyle w:val="45"/>
        <w:rPr>
          <w:highlight w:val="none"/>
        </w:rPr>
      </w:pPr>
      <w:r>
        <w:rPr>
          <w:rFonts w:hint="eastAsia"/>
          <w:highlight w:val="none"/>
        </w:rPr>
        <w:t>投标方应充分理解本技术规范书并按本技术规范书的具体条款、格式要求填写应标的技术文件，如发现应标的技术文件条款、格式不符合本技术规范书的要求，则认为应标不严肃，在评标时将有不同程度的扣分。</w:t>
      </w:r>
    </w:p>
    <w:p w14:paraId="205A649A">
      <w:pPr>
        <w:pStyle w:val="45"/>
        <w:rPr>
          <w:highlight w:val="none"/>
        </w:rPr>
      </w:pPr>
      <w:r>
        <w:rPr>
          <w:rFonts w:hint="eastAsia" w:hAnsi="宋体"/>
          <w:highlight w:val="none"/>
        </w:rPr>
        <w:t>投标方提供合同规定的所有硬件设备和软件（包括合同范围内的所有硬件设备之间的连接电缆和连接设备），并保证系统完全符合最终技术规范的要求。如果系统中含有第三方提供的设备，投标方也应</w:t>
      </w:r>
      <w:r>
        <w:rPr>
          <w:rFonts w:hint="eastAsia" w:hAnsi="宋体"/>
          <w:highlight w:val="none"/>
          <w:lang w:val="en-US" w:eastAsia="zh-CN"/>
        </w:rPr>
        <w:t>对</w:t>
      </w:r>
      <w:r>
        <w:rPr>
          <w:rFonts w:hint="eastAsia" w:hAnsi="宋体"/>
          <w:highlight w:val="none"/>
        </w:rPr>
        <w:t>第三方提供的设备负有相同的责任</w:t>
      </w:r>
      <w:r>
        <w:rPr>
          <w:rFonts w:hint="eastAsia" w:hAnsi="宋体"/>
          <w:highlight w:val="none"/>
          <w:lang w:eastAsia="zh-CN"/>
        </w:rPr>
        <w:t>。</w:t>
      </w:r>
      <w:r>
        <w:rPr>
          <w:rFonts w:hint="eastAsia" w:hAnsi="宋体"/>
          <w:highlight w:val="none"/>
        </w:rPr>
        <w:t>投标方</w:t>
      </w:r>
      <w:r>
        <w:rPr>
          <w:rFonts w:hint="eastAsia" w:hAnsi="宋体"/>
          <w:highlight w:val="none"/>
          <w:lang w:val="en-US" w:eastAsia="zh-CN"/>
        </w:rPr>
        <w:t>应</w:t>
      </w:r>
      <w:r>
        <w:rPr>
          <w:rFonts w:hint="eastAsia" w:hAnsi="宋体"/>
          <w:highlight w:val="none"/>
        </w:rPr>
        <w:t>提供必需的技术资料和文件</w:t>
      </w:r>
      <w:r>
        <w:rPr>
          <w:rFonts w:hint="eastAsia" w:hAnsi="宋体"/>
          <w:highlight w:val="none"/>
          <w:lang w:eastAsia="zh-CN"/>
        </w:rPr>
        <w:t>，</w:t>
      </w:r>
      <w:r>
        <w:rPr>
          <w:rFonts w:hint="eastAsia" w:hAnsi="宋体"/>
          <w:highlight w:val="none"/>
          <w:lang w:val="en-US" w:eastAsia="zh-CN"/>
        </w:rPr>
        <w:t>包括但不限于设备</w:t>
      </w:r>
      <w:r>
        <w:rPr>
          <w:rFonts w:hint="eastAsia" w:hAnsi="宋体"/>
          <w:highlight w:val="none"/>
        </w:rPr>
        <w:t>证明文件或检测报告</w:t>
      </w:r>
      <w:r>
        <w:rPr>
          <w:rFonts w:hint="eastAsia" w:hAnsi="宋体"/>
          <w:highlight w:val="none"/>
          <w:lang w:eastAsia="zh-CN"/>
        </w:rPr>
        <w:t>，</w:t>
      </w:r>
      <w:r>
        <w:rPr>
          <w:rFonts w:hint="eastAsia" w:hAnsi="宋体"/>
          <w:highlight w:val="none"/>
        </w:rPr>
        <w:t>并对其正确性负责。</w:t>
      </w:r>
      <w:r>
        <w:rPr>
          <w:rFonts w:hint="eastAsia" w:hAnsi="宋体"/>
          <w:highlight w:val="none"/>
          <w:lang w:val="en-US" w:eastAsia="zh-CN"/>
        </w:rPr>
        <w:t>投标方</w:t>
      </w:r>
      <w:r>
        <w:rPr>
          <w:rFonts w:hint="eastAsia" w:hAnsi="宋体"/>
          <w:highlight w:val="none"/>
        </w:rPr>
        <w:t>应提供设备投运后的技术支持和合同设备备品备件的供应。</w:t>
      </w:r>
    </w:p>
    <w:p w14:paraId="3962530C">
      <w:pPr>
        <w:pStyle w:val="45"/>
        <w:rPr>
          <w:highlight w:val="none"/>
        </w:rPr>
      </w:pPr>
      <w:r>
        <w:rPr>
          <w:rFonts w:hint="eastAsia"/>
          <w:highlight w:val="none"/>
        </w:rPr>
        <w:t>本技术规范书未尽事宜</w:t>
      </w:r>
      <w:r>
        <w:rPr>
          <w:highlight w:val="none"/>
        </w:rPr>
        <w:t xml:space="preserve">, </w:t>
      </w:r>
      <w:r>
        <w:rPr>
          <w:rFonts w:hint="eastAsia"/>
          <w:highlight w:val="none"/>
        </w:rPr>
        <w:t>由买卖双方协商确定。</w:t>
      </w:r>
    </w:p>
    <w:p w14:paraId="0C18CACE">
      <w:pPr>
        <w:pStyle w:val="45"/>
        <w:rPr>
          <w:highlight w:val="none"/>
        </w:rPr>
      </w:pPr>
      <w:bookmarkStart w:id="2" w:name="OLE_LINK5"/>
      <w:r>
        <w:rPr>
          <w:rFonts w:hint="eastAsia" w:hAnsi="宋体"/>
          <w:szCs w:val="21"/>
          <w:highlight w:val="none"/>
        </w:rPr>
        <w:t>标注 “</w:t>
      </w:r>
      <w:r>
        <w:rPr>
          <w:rFonts w:hAnsi="宋体"/>
          <w:szCs w:val="21"/>
          <w:highlight w:val="none"/>
        </w:rPr>
        <w:t>▲</w:t>
      </w:r>
      <w:r>
        <w:rPr>
          <w:rFonts w:hint="eastAsia" w:hAnsi="宋体"/>
          <w:szCs w:val="21"/>
          <w:highlight w:val="none"/>
        </w:rPr>
        <w:t>”的条款为主要技术参数，作为评标时打分的重点参考，须提供</w:t>
      </w:r>
      <w:r>
        <w:rPr>
          <w:rFonts w:hint="eastAsia"/>
          <w:highlight w:val="none"/>
        </w:rPr>
        <w:t>具备CMA（检验检测机构资质认定）或CNAS（中国合格评定国家认可委员会）的第三方检测机构出具的检测报告</w:t>
      </w:r>
      <w:r>
        <w:rPr>
          <w:rFonts w:hint="eastAsia" w:hAnsi="宋体"/>
          <w:szCs w:val="21"/>
          <w:highlight w:val="none"/>
        </w:rPr>
        <w:t>，报告页面须带有 CNAS 或 CMA 标识且加盖产品制造商公章，并提供报告扫描件，出具报告的检测机构须具备国家级资质认定，并提供其在国家市场监督管理总局全国认证认可信息公共服务平台的查询截图。</w:t>
      </w:r>
    </w:p>
    <w:bookmarkEnd w:id="2"/>
    <w:p w14:paraId="2E28F357">
      <w:pPr>
        <w:pStyle w:val="3"/>
      </w:pPr>
      <w:bookmarkStart w:id="3" w:name="_Toc235809211"/>
      <w:r>
        <w:rPr>
          <w:rFonts w:hint="eastAsia"/>
        </w:rPr>
        <w:t>工作范围</w:t>
      </w:r>
      <w:bookmarkEnd w:id="3"/>
    </w:p>
    <w:p w14:paraId="740C146A">
      <w:pPr>
        <w:pStyle w:val="4"/>
      </w:pPr>
      <w:r>
        <w:rPr>
          <w:rFonts w:hint="eastAsia"/>
        </w:rPr>
        <w:t>工程概况</w:t>
      </w:r>
    </w:p>
    <w:p w14:paraId="0E780F1C">
      <w:pPr>
        <w:pStyle w:val="46"/>
        <w:adjustRightInd w:val="0"/>
        <w:snapToGrid w:val="0"/>
        <w:spacing w:line="360" w:lineRule="auto"/>
        <w:ind w:firstLine="0" w:firstLineChars="0"/>
        <w:rPr>
          <w:rFonts w:hAnsi="宋体" w:eastAsia="宋体"/>
          <w:szCs w:val="21"/>
        </w:rPr>
      </w:pPr>
      <w:r>
        <w:rPr>
          <w:rFonts w:hint="eastAsia" w:hAnsi="宋体" w:eastAsia="宋体"/>
          <w:szCs w:val="21"/>
        </w:rPr>
        <w:t>本技术规范书采购的设备适用的工程概</w:t>
      </w:r>
      <w:r>
        <w:rPr>
          <w:rFonts w:hAnsi="宋体" w:eastAsia="宋体"/>
          <w:szCs w:val="21"/>
        </w:rPr>
        <w:t>况</w:t>
      </w:r>
      <w:r>
        <w:rPr>
          <w:rFonts w:hint="eastAsia" w:hAnsi="宋体" w:eastAsia="宋体"/>
          <w:szCs w:val="21"/>
        </w:rPr>
        <w:t>见表2.1：工程概况一览表</w:t>
      </w:r>
    </w:p>
    <w:p w14:paraId="2EE86E87">
      <w:pPr>
        <w:pStyle w:val="49"/>
        <w:adjustRightInd w:val="0"/>
        <w:snapToGrid w:val="0"/>
        <w:spacing w:line="360" w:lineRule="auto"/>
        <w:ind w:firstLine="0" w:firstLineChars="0"/>
        <w:jc w:val="center"/>
        <w:rPr>
          <w:rFonts w:hAnsi="宋体"/>
          <w:sz w:val="24"/>
          <w:szCs w:val="24"/>
        </w:rPr>
      </w:pPr>
      <w:r>
        <w:rPr>
          <w:rFonts w:hint="eastAsia" w:hAnsi="宋体"/>
          <w:sz w:val="24"/>
          <w:szCs w:val="24"/>
        </w:rPr>
        <w:t>表2.1：工程概况一览表</w:t>
      </w:r>
      <w:r>
        <w:rPr>
          <w:rFonts w:hAnsi="宋体"/>
          <w:sz w:val="24"/>
          <w:szCs w:val="24"/>
        </w:rPr>
        <w:t>（项目单位填写）</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3964"/>
        <w:gridCol w:w="3864"/>
      </w:tblGrid>
      <w:tr w14:paraId="6EE5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Align w:val="center"/>
          </w:tcPr>
          <w:p w14:paraId="25E50437">
            <w:pPr>
              <w:jc w:val="center"/>
              <w:rPr>
                <w:szCs w:val="21"/>
              </w:rPr>
            </w:pPr>
            <w:r>
              <w:rPr>
                <w:rFonts w:hint="eastAsia"/>
                <w:szCs w:val="21"/>
              </w:rPr>
              <w:t>序号</w:t>
            </w:r>
          </w:p>
        </w:tc>
        <w:tc>
          <w:tcPr>
            <w:tcW w:w="3964" w:type="dxa"/>
            <w:vAlign w:val="center"/>
          </w:tcPr>
          <w:p w14:paraId="5DDF7D48">
            <w:pPr>
              <w:jc w:val="center"/>
              <w:rPr>
                <w:szCs w:val="21"/>
              </w:rPr>
            </w:pPr>
            <w:r>
              <w:rPr>
                <w:rFonts w:hint="eastAsia"/>
                <w:szCs w:val="21"/>
              </w:rPr>
              <w:t>名 称</w:t>
            </w:r>
          </w:p>
        </w:tc>
        <w:tc>
          <w:tcPr>
            <w:tcW w:w="3864" w:type="dxa"/>
            <w:vAlign w:val="center"/>
          </w:tcPr>
          <w:p w14:paraId="61D6220C">
            <w:pPr>
              <w:ind w:left="101"/>
              <w:jc w:val="center"/>
              <w:rPr>
                <w:szCs w:val="21"/>
              </w:rPr>
            </w:pPr>
            <w:r>
              <w:rPr>
                <w:rFonts w:hint="eastAsia"/>
                <w:szCs w:val="21"/>
              </w:rPr>
              <w:t>内容</w:t>
            </w:r>
          </w:p>
        </w:tc>
      </w:tr>
      <w:tr w14:paraId="0B2F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00" w:type="dxa"/>
            <w:vAlign w:val="center"/>
          </w:tcPr>
          <w:p w14:paraId="67083F5D">
            <w:pPr>
              <w:jc w:val="center"/>
              <w:rPr>
                <w:szCs w:val="21"/>
              </w:rPr>
            </w:pPr>
            <w:r>
              <w:rPr>
                <w:rFonts w:hint="eastAsia"/>
                <w:szCs w:val="21"/>
              </w:rPr>
              <w:t>1</w:t>
            </w:r>
          </w:p>
        </w:tc>
        <w:tc>
          <w:tcPr>
            <w:tcW w:w="3964" w:type="dxa"/>
            <w:vAlign w:val="center"/>
          </w:tcPr>
          <w:p w14:paraId="4273BDB5">
            <w:pPr>
              <w:jc w:val="center"/>
              <w:rPr>
                <w:szCs w:val="21"/>
              </w:rPr>
            </w:pPr>
            <w:r>
              <w:rPr>
                <w:rFonts w:hint="eastAsia"/>
                <w:szCs w:val="21"/>
              </w:rPr>
              <w:t>工程名称</w:t>
            </w:r>
          </w:p>
        </w:tc>
        <w:tc>
          <w:tcPr>
            <w:tcW w:w="3864" w:type="dxa"/>
            <w:vAlign w:val="center"/>
          </w:tcPr>
          <w:p w14:paraId="6D41AA4F">
            <w:pPr>
              <w:jc w:val="center"/>
              <w:rPr>
                <w:szCs w:val="21"/>
              </w:rPr>
            </w:pPr>
            <w:r>
              <w:rPr>
                <w:szCs w:val="21"/>
              </w:rPr>
              <w:t>2025-2026年深圳供电局语音视频专网音视频终端准入控制改造工程</w:t>
            </w:r>
          </w:p>
        </w:tc>
      </w:tr>
      <w:tr w14:paraId="76485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00" w:type="dxa"/>
            <w:vAlign w:val="center"/>
          </w:tcPr>
          <w:p w14:paraId="39240908">
            <w:pPr>
              <w:jc w:val="center"/>
              <w:rPr>
                <w:szCs w:val="21"/>
              </w:rPr>
            </w:pPr>
            <w:r>
              <w:rPr>
                <w:rFonts w:hint="eastAsia"/>
                <w:szCs w:val="21"/>
              </w:rPr>
              <w:t>2</w:t>
            </w:r>
          </w:p>
        </w:tc>
        <w:tc>
          <w:tcPr>
            <w:tcW w:w="3964" w:type="dxa"/>
            <w:vAlign w:val="center"/>
          </w:tcPr>
          <w:p w14:paraId="367B4D53">
            <w:pPr>
              <w:jc w:val="center"/>
              <w:rPr>
                <w:szCs w:val="21"/>
              </w:rPr>
            </w:pPr>
            <w:r>
              <w:rPr>
                <w:rFonts w:hint="eastAsia"/>
                <w:szCs w:val="21"/>
              </w:rPr>
              <w:t>工程建设单位</w:t>
            </w:r>
          </w:p>
        </w:tc>
        <w:tc>
          <w:tcPr>
            <w:tcW w:w="3864" w:type="dxa"/>
            <w:vAlign w:val="center"/>
          </w:tcPr>
          <w:p w14:paraId="335245B1">
            <w:pPr>
              <w:jc w:val="center"/>
              <w:rPr>
                <w:szCs w:val="21"/>
              </w:rPr>
            </w:pPr>
            <w:r>
              <w:rPr>
                <w:rFonts w:hint="eastAsia"/>
                <w:szCs w:val="21"/>
              </w:rPr>
              <w:t>深圳供电局有限公司</w:t>
            </w:r>
          </w:p>
        </w:tc>
      </w:tr>
      <w:tr w14:paraId="6D025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00" w:type="dxa"/>
            <w:vAlign w:val="center"/>
          </w:tcPr>
          <w:p w14:paraId="5049905E">
            <w:pPr>
              <w:jc w:val="center"/>
              <w:rPr>
                <w:szCs w:val="21"/>
              </w:rPr>
            </w:pPr>
            <w:r>
              <w:rPr>
                <w:rFonts w:hint="eastAsia"/>
                <w:szCs w:val="21"/>
              </w:rPr>
              <w:t>3</w:t>
            </w:r>
          </w:p>
        </w:tc>
        <w:tc>
          <w:tcPr>
            <w:tcW w:w="3964" w:type="dxa"/>
            <w:vAlign w:val="center"/>
          </w:tcPr>
          <w:p w14:paraId="313441F0">
            <w:pPr>
              <w:jc w:val="center"/>
              <w:rPr>
                <w:szCs w:val="21"/>
              </w:rPr>
            </w:pPr>
            <w:r>
              <w:rPr>
                <w:rFonts w:hint="eastAsia"/>
                <w:szCs w:val="21"/>
              </w:rPr>
              <w:t>工程地址</w:t>
            </w:r>
          </w:p>
        </w:tc>
        <w:tc>
          <w:tcPr>
            <w:tcW w:w="3864" w:type="dxa"/>
            <w:vAlign w:val="center"/>
          </w:tcPr>
          <w:p w14:paraId="3CD25B38">
            <w:pPr>
              <w:jc w:val="center"/>
              <w:rPr>
                <w:szCs w:val="21"/>
              </w:rPr>
            </w:pPr>
            <w:r>
              <w:rPr>
                <w:rFonts w:hint="eastAsia"/>
                <w:szCs w:val="21"/>
              </w:rPr>
              <w:t>深圳市</w:t>
            </w:r>
          </w:p>
        </w:tc>
      </w:tr>
      <w:tr w14:paraId="2504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00" w:type="dxa"/>
            <w:vAlign w:val="center"/>
          </w:tcPr>
          <w:p w14:paraId="0D7748D1">
            <w:pPr>
              <w:jc w:val="center"/>
              <w:rPr>
                <w:szCs w:val="21"/>
              </w:rPr>
            </w:pPr>
            <w:r>
              <w:rPr>
                <w:rFonts w:hint="eastAsia"/>
                <w:szCs w:val="21"/>
              </w:rPr>
              <w:t>4</w:t>
            </w:r>
          </w:p>
        </w:tc>
        <w:tc>
          <w:tcPr>
            <w:tcW w:w="3964" w:type="dxa"/>
            <w:vAlign w:val="center"/>
          </w:tcPr>
          <w:p w14:paraId="343136FE">
            <w:pPr>
              <w:jc w:val="center"/>
              <w:rPr>
                <w:szCs w:val="21"/>
              </w:rPr>
            </w:pPr>
            <w:r>
              <w:rPr>
                <w:rFonts w:hint="eastAsia"/>
                <w:szCs w:val="21"/>
              </w:rPr>
              <w:t>安装地点</w:t>
            </w:r>
          </w:p>
        </w:tc>
        <w:tc>
          <w:tcPr>
            <w:tcW w:w="3864" w:type="dxa"/>
            <w:vAlign w:val="center"/>
          </w:tcPr>
          <w:p w14:paraId="5F178989">
            <w:pPr>
              <w:jc w:val="center"/>
              <w:rPr>
                <w:szCs w:val="21"/>
              </w:rPr>
            </w:pPr>
            <w:r>
              <w:rPr>
                <w:rFonts w:hint="eastAsia"/>
                <w:szCs w:val="21"/>
              </w:rPr>
              <w:t>深圳供电局新洲主调</w:t>
            </w:r>
          </w:p>
        </w:tc>
      </w:tr>
    </w:tbl>
    <w:p w14:paraId="2CA8B091"/>
    <w:p w14:paraId="5E8A8004">
      <w:pPr>
        <w:pStyle w:val="4"/>
      </w:pPr>
      <w:r>
        <w:rPr>
          <w:rFonts w:hint="eastAsia"/>
          <w:szCs w:val="21"/>
        </w:rPr>
        <w:t>供货需求及供货范围</w:t>
      </w:r>
    </w:p>
    <w:p w14:paraId="025E1563">
      <w:pPr>
        <w:pStyle w:val="43"/>
      </w:pPr>
      <w:r>
        <w:rPr>
          <w:rFonts w:hint="eastAsia"/>
        </w:rPr>
        <w:t>本技术规范书适用于</w:t>
      </w:r>
      <w:r>
        <w:rPr>
          <w:rFonts w:hint="eastAsia" w:ascii="Times New Roman"/>
        </w:rPr>
        <w:t>深圳供电局有限公司</w:t>
      </w:r>
      <w:r>
        <w:rPr>
          <w:rFonts w:hint="eastAsia" w:hAnsi="宋体"/>
          <w:lang w:eastAsia="zh-CN"/>
        </w:rPr>
        <w:t>语音视频网网络安全准入设备</w:t>
      </w:r>
      <w:r>
        <w:rPr>
          <w:rFonts w:hint="eastAsia"/>
        </w:rPr>
        <w:t>的设计、制造、装配、工厂试验、交付、现场安装和调试的指导、监督以及试运行工作。</w:t>
      </w:r>
    </w:p>
    <w:p w14:paraId="6E673B12">
      <w:pPr>
        <w:pStyle w:val="43"/>
      </w:pPr>
      <w:r>
        <w:rPr>
          <w:rFonts w:hint="eastAsia"/>
        </w:rPr>
        <w:t>运输条件良好，汽车可直达安装地点大楼门口。</w:t>
      </w:r>
    </w:p>
    <w:p w14:paraId="09522605">
      <w:pPr>
        <w:pStyle w:val="43"/>
      </w:pPr>
      <w:r>
        <w:rPr>
          <w:rFonts w:hint="eastAsia"/>
        </w:rPr>
        <w:t>现场设备安装和调试由投标方负责。</w:t>
      </w:r>
    </w:p>
    <w:p w14:paraId="2F893767">
      <w:pPr>
        <w:pStyle w:val="43"/>
      </w:pPr>
      <w:r>
        <w:rPr>
          <w:rFonts w:hint="eastAsia"/>
        </w:rPr>
        <w:t>本技术规范书未说明但与设计、制造、装配、调试、运输、包装、保管、安装和运行维护有关的技术要求，应按条款3所规定的有关标准执行。</w:t>
      </w:r>
    </w:p>
    <w:p w14:paraId="3E1F3CFD">
      <w:pPr>
        <w:pStyle w:val="4"/>
      </w:pPr>
      <w:r>
        <w:rPr>
          <w:rFonts w:hint="eastAsia"/>
        </w:rPr>
        <w:t>服务范围</w:t>
      </w:r>
    </w:p>
    <w:p w14:paraId="65577B29">
      <w:pPr>
        <w:pStyle w:val="43"/>
        <w:rPr>
          <w:rFonts w:hint="eastAsia"/>
        </w:rPr>
      </w:pPr>
      <w:r>
        <w:rPr>
          <w:rFonts w:hint="eastAsia"/>
        </w:rPr>
        <w:t>投标方应按本标书的要求提供全新的、合格的设备及其附属设备、备品备件、专用工具和仪器。</w:t>
      </w:r>
    </w:p>
    <w:p w14:paraId="6DF3EE7B">
      <w:pPr>
        <w:numPr>
          <w:ilvl w:val="0"/>
          <w:numId w:val="2"/>
        </w:numPr>
        <w:adjustRightInd w:val="0"/>
        <w:snapToGrid w:val="0"/>
        <w:rPr>
          <w:rFonts w:hint="eastAsia" w:hAnsi="宋体"/>
          <w:szCs w:val="21"/>
          <w:highlight w:val="none"/>
        </w:rPr>
      </w:pPr>
      <w:r>
        <w:rPr>
          <w:rFonts w:hint="eastAsia" w:hAnsi="宋体"/>
          <w:szCs w:val="21"/>
          <w:highlight w:val="none"/>
        </w:rPr>
        <w:t>投标方应根据以下供货范围一览表进行供货。</w:t>
      </w:r>
    </w:p>
    <w:p w14:paraId="05E01B18">
      <w:pPr>
        <w:numPr>
          <w:ilvl w:val="0"/>
          <w:numId w:val="2"/>
        </w:numPr>
        <w:adjustRightInd w:val="0"/>
        <w:snapToGrid w:val="0"/>
        <w:rPr>
          <w:rFonts w:hint="eastAsia" w:hAnsi="宋体"/>
          <w:szCs w:val="21"/>
          <w:highlight w:val="none"/>
        </w:rPr>
      </w:pPr>
      <w:r>
        <w:rPr>
          <w:rFonts w:hint="eastAsia" w:hAnsi="宋体"/>
          <w:szCs w:val="21"/>
          <w:highlight w:val="none"/>
        </w:rPr>
        <w:t>投标方可根据总体功能进行方案优化，为确保工程整体效果，在不改变其它功能要求情况下，投标方应补充清单中遗漏的产品</w:t>
      </w:r>
      <w:r>
        <w:rPr>
          <w:rFonts w:hint="eastAsia" w:hAnsi="宋体"/>
          <w:szCs w:val="21"/>
          <w:highlight w:val="none"/>
          <w:lang w:eastAsia="zh-CN"/>
        </w:rPr>
        <w:t>，</w:t>
      </w:r>
      <w:r>
        <w:rPr>
          <w:rFonts w:hint="eastAsia" w:hAnsi="宋体"/>
          <w:szCs w:val="21"/>
          <w:highlight w:val="none"/>
        </w:rPr>
        <w:t>优化方案报价作为招标方的参考。</w:t>
      </w:r>
    </w:p>
    <w:p w14:paraId="0E8E9699">
      <w:pPr>
        <w:numPr>
          <w:ilvl w:val="0"/>
          <w:numId w:val="2"/>
        </w:numPr>
        <w:adjustRightInd w:val="0"/>
        <w:snapToGrid w:val="0"/>
        <w:rPr>
          <w:rFonts w:hAnsi="宋体"/>
          <w:szCs w:val="21"/>
        </w:rPr>
      </w:pPr>
      <w:r>
        <w:rPr>
          <w:rFonts w:hint="eastAsia" w:hAnsi="宋体"/>
          <w:szCs w:val="21"/>
        </w:rPr>
        <w:t>投标方提供的设备应包含所有安装的辅助材料（互联线缆、安装配件等）。所有元件、配件、附件（含电源插座）和将设备连成系统的连接电缆（包括专用电力线和电缆等），都由投标方提供，并负责设备安装及系统调试等技术服务。投标方所敷设的线缆必须符合招标方机房场所的有关要求。</w:t>
      </w:r>
    </w:p>
    <w:p w14:paraId="0E8B442F">
      <w:pPr>
        <w:pStyle w:val="43"/>
      </w:pPr>
      <w:r>
        <w:rPr>
          <w:rFonts w:hint="eastAsia"/>
        </w:rPr>
        <w:t>供货范围一览表</w:t>
      </w:r>
    </w:p>
    <w:p w14:paraId="0FC383B6">
      <w:pPr>
        <w:ind w:firstLine="480" w:firstLineChars="200"/>
        <w:rPr>
          <w:rFonts w:ascii="Times New Roman"/>
          <w:sz w:val="21"/>
          <w:szCs w:val="21"/>
        </w:rPr>
      </w:pPr>
      <w:r>
        <w:rPr>
          <w:rFonts w:hAnsi="宋体"/>
        </w:rPr>
        <w:t>投标方</w:t>
      </w:r>
      <w:r>
        <w:rPr>
          <w:rFonts w:hint="eastAsia" w:hAnsi="宋体"/>
        </w:rPr>
        <w:t>提供的</w:t>
      </w:r>
      <w:r>
        <w:rPr>
          <w:rFonts w:hint="eastAsia" w:hAnsi="宋体"/>
          <w:szCs w:val="21"/>
        </w:rPr>
        <w:t>设备</w:t>
      </w:r>
      <w:r>
        <w:rPr>
          <w:rFonts w:hint="eastAsia" w:hAnsi="宋体"/>
        </w:rPr>
        <w:t>及其</w:t>
      </w:r>
      <w:r>
        <w:rPr>
          <w:rFonts w:hint="eastAsia"/>
        </w:rPr>
        <w:t>附件</w:t>
      </w:r>
      <w:r>
        <w:rPr>
          <w:rFonts w:hint="eastAsia" w:hAnsi="宋体"/>
        </w:rPr>
        <w:t>的具体规格、数量见表</w:t>
      </w:r>
      <w:r>
        <w:rPr>
          <w:rFonts w:hint="eastAsia"/>
        </w:rPr>
        <w:t>2.2</w:t>
      </w:r>
      <w:r>
        <w:rPr>
          <w:rFonts w:hint="eastAsia" w:hAnsi="宋体"/>
        </w:rPr>
        <w:t>“供货范围及设备技术规格一览表”。投标方应如实填写“投标方保证”栏。</w:t>
      </w:r>
    </w:p>
    <w:p w14:paraId="5AA09F47">
      <w:pPr>
        <w:pStyle w:val="49"/>
        <w:adjustRightInd w:val="0"/>
        <w:snapToGrid w:val="0"/>
        <w:spacing w:line="360" w:lineRule="auto"/>
        <w:ind w:firstLine="0" w:firstLineChars="0"/>
        <w:jc w:val="center"/>
        <w:rPr>
          <w:rFonts w:hAnsi="宋体"/>
        </w:rPr>
      </w:pPr>
      <w:r>
        <w:rPr>
          <w:rFonts w:hint="eastAsia" w:hAnsi="宋体"/>
          <w:sz w:val="24"/>
          <w:szCs w:val="24"/>
        </w:rPr>
        <w:t>表2.2   供货范围及设备技术规格一览表（项目单位填写）</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43"/>
        <w:gridCol w:w="1365"/>
        <w:gridCol w:w="610"/>
        <w:gridCol w:w="2900"/>
        <w:gridCol w:w="650"/>
        <w:gridCol w:w="1900"/>
        <w:gridCol w:w="540"/>
      </w:tblGrid>
      <w:tr w14:paraId="75D7C5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3" w:hRule="atLeast"/>
          <w:jc w:val="center"/>
        </w:trPr>
        <w:tc>
          <w:tcPr>
            <w:tcW w:w="343" w:type="dxa"/>
            <w:vMerge w:val="restart"/>
            <w:tcBorders>
              <w:top w:val="single" w:color="auto" w:sz="12" w:space="0"/>
              <w:left w:val="single" w:color="auto" w:sz="12" w:space="0"/>
              <w:bottom w:val="single" w:color="auto" w:sz="6" w:space="0"/>
              <w:right w:val="single" w:color="auto" w:sz="6" w:space="0"/>
            </w:tcBorders>
            <w:vAlign w:val="center"/>
          </w:tcPr>
          <w:p w14:paraId="5F0B4F8B">
            <w:pPr>
              <w:jc w:val="center"/>
              <w:rPr>
                <w:rFonts w:hAnsi="宋体"/>
              </w:rPr>
            </w:pPr>
            <w:r>
              <w:rPr>
                <w:rFonts w:hint="eastAsia" w:hAnsi="宋体"/>
              </w:rPr>
              <w:t>序号</w:t>
            </w:r>
          </w:p>
        </w:tc>
        <w:tc>
          <w:tcPr>
            <w:tcW w:w="1365" w:type="dxa"/>
            <w:vMerge w:val="restart"/>
            <w:tcBorders>
              <w:top w:val="single" w:color="auto" w:sz="12" w:space="0"/>
              <w:left w:val="single" w:color="auto" w:sz="6" w:space="0"/>
              <w:bottom w:val="single" w:color="auto" w:sz="6" w:space="0"/>
              <w:right w:val="single" w:color="auto" w:sz="6" w:space="0"/>
            </w:tcBorders>
            <w:vAlign w:val="center"/>
          </w:tcPr>
          <w:p w14:paraId="4FF75EC9">
            <w:pPr>
              <w:jc w:val="center"/>
              <w:rPr>
                <w:rFonts w:hAnsi="宋体"/>
              </w:rPr>
            </w:pPr>
            <w:r>
              <w:rPr>
                <w:rFonts w:hint="eastAsia" w:hAnsi="宋体"/>
              </w:rPr>
              <w:t>名  称</w:t>
            </w:r>
          </w:p>
        </w:tc>
        <w:tc>
          <w:tcPr>
            <w:tcW w:w="610" w:type="dxa"/>
            <w:vMerge w:val="restart"/>
            <w:tcBorders>
              <w:top w:val="single" w:color="auto" w:sz="12" w:space="0"/>
              <w:left w:val="single" w:color="auto" w:sz="6" w:space="0"/>
              <w:bottom w:val="single" w:color="auto" w:sz="6" w:space="0"/>
              <w:right w:val="single" w:color="auto" w:sz="4" w:space="0"/>
            </w:tcBorders>
            <w:vAlign w:val="center"/>
          </w:tcPr>
          <w:p w14:paraId="5FFC364F">
            <w:pPr>
              <w:jc w:val="center"/>
              <w:rPr>
                <w:rFonts w:hAnsi="宋体"/>
              </w:rPr>
            </w:pPr>
            <w:r>
              <w:rPr>
                <w:rFonts w:hint="eastAsia" w:hAnsi="宋体"/>
              </w:rPr>
              <w:t>单位</w:t>
            </w:r>
          </w:p>
        </w:tc>
        <w:tc>
          <w:tcPr>
            <w:tcW w:w="3550" w:type="dxa"/>
            <w:gridSpan w:val="2"/>
            <w:tcBorders>
              <w:top w:val="single" w:color="auto" w:sz="12" w:space="0"/>
              <w:left w:val="nil"/>
              <w:bottom w:val="single" w:color="auto" w:sz="4" w:space="0"/>
              <w:right w:val="single" w:color="auto" w:sz="6" w:space="0"/>
            </w:tcBorders>
            <w:vAlign w:val="center"/>
          </w:tcPr>
          <w:p w14:paraId="69BC671D">
            <w:pPr>
              <w:jc w:val="center"/>
              <w:rPr>
                <w:rFonts w:hAnsi="宋体"/>
              </w:rPr>
            </w:pPr>
            <w:r>
              <w:rPr>
                <w:rFonts w:hint="eastAsia" w:hAnsi="宋体"/>
              </w:rPr>
              <w:t>项目要求</w:t>
            </w:r>
          </w:p>
        </w:tc>
        <w:tc>
          <w:tcPr>
            <w:tcW w:w="2440" w:type="dxa"/>
            <w:gridSpan w:val="2"/>
            <w:tcBorders>
              <w:top w:val="single" w:color="auto" w:sz="12" w:space="0"/>
              <w:left w:val="single" w:color="auto" w:sz="6" w:space="0"/>
              <w:bottom w:val="single" w:color="auto" w:sz="4" w:space="0"/>
              <w:right w:val="single" w:color="auto" w:sz="12" w:space="0"/>
            </w:tcBorders>
            <w:vAlign w:val="center"/>
          </w:tcPr>
          <w:p w14:paraId="7BCCAB62">
            <w:pPr>
              <w:jc w:val="center"/>
              <w:rPr>
                <w:rFonts w:hAnsi="宋体"/>
              </w:rPr>
            </w:pPr>
            <w:r>
              <w:rPr>
                <w:rFonts w:hint="eastAsia" w:hAnsi="宋体"/>
              </w:rPr>
              <w:t>投标方保证</w:t>
            </w:r>
          </w:p>
        </w:tc>
      </w:tr>
      <w:tr w14:paraId="09B13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343" w:type="dxa"/>
            <w:vMerge w:val="continue"/>
            <w:tcBorders>
              <w:top w:val="single" w:color="auto" w:sz="12" w:space="0"/>
              <w:left w:val="single" w:color="auto" w:sz="12" w:space="0"/>
              <w:bottom w:val="single" w:color="auto" w:sz="6" w:space="0"/>
              <w:right w:val="single" w:color="auto" w:sz="6" w:space="0"/>
            </w:tcBorders>
            <w:vAlign w:val="center"/>
          </w:tcPr>
          <w:p w14:paraId="71BB56E0">
            <w:pPr>
              <w:widowControl/>
              <w:jc w:val="left"/>
              <w:rPr>
                <w:rFonts w:hAnsi="宋体"/>
                <w:sz w:val="21"/>
                <w:szCs w:val="21"/>
              </w:rPr>
            </w:pPr>
          </w:p>
        </w:tc>
        <w:tc>
          <w:tcPr>
            <w:tcW w:w="1365" w:type="dxa"/>
            <w:vMerge w:val="continue"/>
            <w:tcBorders>
              <w:top w:val="single" w:color="auto" w:sz="12" w:space="0"/>
              <w:left w:val="single" w:color="auto" w:sz="6" w:space="0"/>
              <w:bottom w:val="single" w:color="auto" w:sz="6" w:space="0"/>
              <w:right w:val="single" w:color="auto" w:sz="6" w:space="0"/>
            </w:tcBorders>
            <w:vAlign w:val="center"/>
          </w:tcPr>
          <w:p w14:paraId="3B00C457">
            <w:pPr>
              <w:widowControl/>
              <w:jc w:val="left"/>
              <w:rPr>
                <w:rFonts w:hAnsi="宋体"/>
                <w:sz w:val="21"/>
                <w:szCs w:val="21"/>
              </w:rPr>
            </w:pPr>
          </w:p>
        </w:tc>
        <w:tc>
          <w:tcPr>
            <w:tcW w:w="610" w:type="dxa"/>
            <w:vMerge w:val="continue"/>
            <w:tcBorders>
              <w:top w:val="single" w:color="auto" w:sz="12" w:space="0"/>
              <w:left w:val="single" w:color="auto" w:sz="6" w:space="0"/>
              <w:bottom w:val="single" w:color="auto" w:sz="6" w:space="0"/>
              <w:right w:val="single" w:color="auto" w:sz="4" w:space="0"/>
            </w:tcBorders>
            <w:vAlign w:val="center"/>
          </w:tcPr>
          <w:p w14:paraId="277905EA">
            <w:pPr>
              <w:widowControl/>
              <w:jc w:val="left"/>
              <w:rPr>
                <w:rFonts w:hAnsi="宋体"/>
                <w:sz w:val="21"/>
                <w:szCs w:val="21"/>
              </w:rPr>
            </w:pPr>
          </w:p>
        </w:tc>
        <w:tc>
          <w:tcPr>
            <w:tcW w:w="2900" w:type="dxa"/>
            <w:tcBorders>
              <w:top w:val="single" w:color="auto" w:sz="4" w:space="0"/>
              <w:left w:val="nil"/>
              <w:bottom w:val="single" w:color="auto" w:sz="6" w:space="0"/>
              <w:right w:val="single" w:color="auto" w:sz="4" w:space="0"/>
            </w:tcBorders>
            <w:vAlign w:val="center"/>
          </w:tcPr>
          <w:p w14:paraId="68E4A059">
            <w:pPr>
              <w:jc w:val="center"/>
              <w:rPr>
                <w:rFonts w:hAnsi="宋体"/>
              </w:rPr>
            </w:pPr>
            <w:r>
              <w:rPr>
                <w:rFonts w:hint="eastAsia" w:hAnsi="宋体"/>
              </w:rPr>
              <w:t>型式、规格</w:t>
            </w:r>
          </w:p>
        </w:tc>
        <w:tc>
          <w:tcPr>
            <w:tcW w:w="650" w:type="dxa"/>
            <w:tcBorders>
              <w:top w:val="single" w:color="auto" w:sz="4" w:space="0"/>
              <w:left w:val="nil"/>
              <w:bottom w:val="single" w:color="auto" w:sz="6" w:space="0"/>
              <w:right w:val="single" w:color="auto" w:sz="6" w:space="0"/>
            </w:tcBorders>
            <w:vAlign w:val="center"/>
          </w:tcPr>
          <w:p w14:paraId="25E854F8">
            <w:pPr>
              <w:jc w:val="center"/>
              <w:rPr>
                <w:rFonts w:hAnsi="宋体"/>
              </w:rPr>
            </w:pPr>
            <w:r>
              <w:rPr>
                <w:rFonts w:hint="eastAsia" w:hAnsi="宋体"/>
              </w:rPr>
              <w:t>数量</w:t>
            </w:r>
          </w:p>
        </w:tc>
        <w:tc>
          <w:tcPr>
            <w:tcW w:w="1900" w:type="dxa"/>
            <w:tcBorders>
              <w:top w:val="single" w:color="auto" w:sz="4" w:space="0"/>
              <w:left w:val="single" w:color="auto" w:sz="6" w:space="0"/>
              <w:bottom w:val="single" w:color="auto" w:sz="6" w:space="0"/>
              <w:right w:val="single" w:color="auto" w:sz="4" w:space="0"/>
            </w:tcBorders>
            <w:vAlign w:val="center"/>
          </w:tcPr>
          <w:p w14:paraId="5D107161">
            <w:pPr>
              <w:jc w:val="center"/>
              <w:rPr>
                <w:rFonts w:hAnsi="宋体"/>
              </w:rPr>
            </w:pPr>
            <w:r>
              <w:rPr>
                <w:rFonts w:hint="eastAsia" w:hAnsi="宋体"/>
              </w:rPr>
              <w:t>型式、规格</w:t>
            </w:r>
          </w:p>
        </w:tc>
        <w:tc>
          <w:tcPr>
            <w:tcW w:w="540" w:type="dxa"/>
            <w:tcBorders>
              <w:top w:val="single" w:color="auto" w:sz="4" w:space="0"/>
              <w:left w:val="nil"/>
              <w:bottom w:val="single" w:color="auto" w:sz="6" w:space="0"/>
              <w:right w:val="single" w:color="auto" w:sz="12" w:space="0"/>
            </w:tcBorders>
            <w:vAlign w:val="center"/>
          </w:tcPr>
          <w:p w14:paraId="5ADA746C">
            <w:pPr>
              <w:jc w:val="center"/>
              <w:rPr>
                <w:rFonts w:hAnsi="宋体"/>
              </w:rPr>
            </w:pPr>
            <w:r>
              <w:rPr>
                <w:rFonts w:hint="eastAsia" w:hAnsi="宋体"/>
              </w:rPr>
              <w:t>数量</w:t>
            </w:r>
          </w:p>
        </w:tc>
      </w:tr>
      <w:tr w14:paraId="41C7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50" w:hRule="atLeast"/>
          <w:jc w:val="center"/>
        </w:trPr>
        <w:tc>
          <w:tcPr>
            <w:tcW w:w="343" w:type="dxa"/>
            <w:tcBorders>
              <w:top w:val="single" w:color="auto" w:sz="6" w:space="0"/>
              <w:left w:val="single" w:color="auto" w:sz="12" w:space="0"/>
              <w:bottom w:val="single" w:color="auto" w:sz="12" w:space="0"/>
              <w:right w:val="single" w:color="auto" w:sz="6" w:space="0"/>
            </w:tcBorders>
            <w:vAlign w:val="center"/>
          </w:tcPr>
          <w:p w14:paraId="6EF54E3C">
            <w:pPr>
              <w:jc w:val="center"/>
              <w:rPr>
                <w:rFonts w:hAnsi="宋体"/>
                <w:highlight w:val="yellow"/>
              </w:rPr>
            </w:pPr>
            <w:r>
              <w:rPr>
                <w:rFonts w:hint="eastAsia" w:hAnsi="宋体"/>
              </w:rPr>
              <w:t>1</w:t>
            </w:r>
          </w:p>
        </w:tc>
        <w:tc>
          <w:tcPr>
            <w:tcW w:w="1365" w:type="dxa"/>
            <w:tcBorders>
              <w:top w:val="single" w:color="auto" w:sz="6" w:space="0"/>
              <w:left w:val="single" w:color="auto" w:sz="6" w:space="0"/>
              <w:bottom w:val="single" w:color="auto" w:sz="12" w:space="0"/>
              <w:right w:val="single" w:color="auto" w:sz="6" w:space="0"/>
            </w:tcBorders>
            <w:vAlign w:val="center"/>
          </w:tcPr>
          <w:p w14:paraId="53C737C0">
            <w:pPr>
              <w:jc w:val="center"/>
              <w:rPr>
                <w:rFonts w:hint="eastAsia" w:hAnsi="宋体" w:eastAsia="宋体"/>
                <w:highlight w:val="yellow"/>
                <w:lang w:eastAsia="zh-CN"/>
              </w:rPr>
            </w:pPr>
            <w:r>
              <w:rPr>
                <w:rFonts w:hint="eastAsia" w:hAnsi="宋体"/>
                <w:lang w:eastAsia="zh-CN"/>
              </w:rPr>
              <w:t>语音视频网网络安全准入设备</w:t>
            </w:r>
          </w:p>
        </w:tc>
        <w:tc>
          <w:tcPr>
            <w:tcW w:w="610" w:type="dxa"/>
            <w:tcBorders>
              <w:top w:val="single" w:color="auto" w:sz="6" w:space="0"/>
              <w:left w:val="single" w:color="auto" w:sz="6" w:space="0"/>
              <w:bottom w:val="single" w:color="auto" w:sz="12" w:space="0"/>
              <w:right w:val="single" w:color="auto" w:sz="4" w:space="0"/>
            </w:tcBorders>
            <w:vAlign w:val="center"/>
          </w:tcPr>
          <w:p w14:paraId="1CB2A694">
            <w:pPr>
              <w:jc w:val="center"/>
              <w:rPr>
                <w:rFonts w:hAnsi="宋体"/>
                <w:highlight w:val="yellow"/>
              </w:rPr>
            </w:pPr>
            <w:r>
              <w:rPr>
                <w:rFonts w:hint="eastAsia" w:hAnsi="宋体"/>
              </w:rPr>
              <w:t>套</w:t>
            </w:r>
          </w:p>
        </w:tc>
        <w:tc>
          <w:tcPr>
            <w:tcW w:w="2900" w:type="dxa"/>
            <w:tcBorders>
              <w:top w:val="single" w:color="auto" w:sz="6" w:space="0"/>
              <w:left w:val="nil"/>
              <w:bottom w:val="single" w:color="auto" w:sz="12" w:space="0"/>
              <w:right w:val="single" w:color="auto" w:sz="4" w:space="0"/>
            </w:tcBorders>
            <w:vAlign w:val="center"/>
          </w:tcPr>
          <w:p w14:paraId="0CAD4FD7">
            <w:pPr>
              <w:jc w:val="center"/>
              <w:rPr>
                <w:rFonts w:cs="仿宋"/>
                <w:highlight w:val="none"/>
              </w:rPr>
            </w:pPr>
            <w:r>
              <w:rPr>
                <w:rFonts w:hint="eastAsia" w:cs="仿宋"/>
                <w:highlight w:val="none"/>
              </w:rPr>
              <w:t>技术要求见“5技术参数要求”</w:t>
            </w:r>
          </w:p>
        </w:tc>
        <w:tc>
          <w:tcPr>
            <w:tcW w:w="650" w:type="dxa"/>
            <w:tcBorders>
              <w:top w:val="single" w:color="auto" w:sz="6" w:space="0"/>
              <w:left w:val="nil"/>
              <w:bottom w:val="single" w:color="auto" w:sz="12" w:space="0"/>
              <w:right w:val="single" w:color="auto" w:sz="6" w:space="0"/>
            </w:tcBorders>
            <w:vAlign w:val="center"/>
          </w:tcPr>
          <w:p w14:paraId="6FDC96F0">
            <w:pPr>
              <w:jc w:val="center"/>
              <w:rPr>
                <w:rFonts w:hint="eastAsia" w:hAnsi="宋体" w:eastAsia="宋体"/>
                <w:highlight w:val="none"/>
                <w:lang w:val="en-US" w:eastAsia="zh-CN"/>
              </w:rPr>
            </w:pPr>
            <w:r>
              <w:rPr>
                <w:rFonts w:hint="eastAsia" w:hAnsi="宋体"/>
                <w:highlight w:val="none"/>
                <w:lang w:val="en-US" w:eastAsia="zh-CN"/>
              </w:rPr>
              <w:t>2</w:t>
            </w:r>
          </w:p>
        </w:tc>
        <w:tc>
          <w:tcPr>
            <w:tcW w:w="1900" w:type="dxa"/>
            <w:tcBorders>
              <w:top w:val="single" w:color="auto" w:sz="6" w:space="0"/>
              <w:left w:val="single" w:color="auto" w:sz="6" w:space="0"/>
              <w:bottom w:val="single" w:color="auto" w:sz="12" w:space="0"/>
              <w:right w:val="single" w:color="auto" w:sz="4" w:space="0"/>
            </w:tcBorders>
            <w:vAlign w:val="center"/>
          </w:tcPr>
          <w:p w14:paraId="7C9758FD">
            <w:pPr>
              <w:rPr>
                <w:rFonts w:hAnsi="宋体"/>
              </w:rPr>
            </w:pPr>
          </w:p>
        </w:tc>
        <w:tc>
          <w:tcPr>
            <w:tcW w:w="540" w:type="dxa"/>
            <w:tcBorders>
              <w:top w:val="single" w:color="auto" w:sz="6" w:space="0"/>
              <w:left w:val="nil"/>
              <w:bottom w:val="single" w:color="auto" w:sz="12" w:space="0"/>
              <w:right w:val="single" w:color="auto" w:sz="12" w:space="0"/>
            </w:tcBorders>
          </w:tcPr>
          <w:p w14:paraId="553DE003">
            <w:pPr>
              <w:rPr>
                <w:rFonts w:hAnsi="宋体"/>
              </w:rPr>
            </w:pPr>
          </w:p>
        </w:tc>
      </w:tr>
    </w:tbl>
    <w:p w14:paraId="284CC994">
      <w:pPr>
        <w:pStyle w:val="2"/>
        <w:ind w:left="480"/>
      </w:pPr>
    </w:p>
    <w:p w14:paraId="24DDF262">
      <w:pPr>
        <w:pStyle w:val="3"/>
      </w:pPr>
      <w:bookmarkStart w:id="4" w:name="_Toc235809212"/>
      <w:r>
        <w:rPr>
          <w:rFonts w:hint="eastAsia"/>
        </w:rPr>
        <w:t>应遵循的主要标准</w:t>
      </w:r>
      <w:bookmarkEnd w:id="4"/>
    </w:p>
    <w:p w14:paraId="71A8553E">
      <w:pPr>
        <w:ind w:firstLine="480" w:firstLineChars="200"/>
      </w:pPr>
      <w:r>
        <w:rPr>
          <w:rFonts w:hint="eastAsia"/>
        </w:rPr>
        <w:t>下列标准所包含的条文（包括但不限于），通过在本技术规范书中引用而构成本技术规范书的组成部分。在本技术规范书出版时, 所示版本均为有效。所有标准都会被修订, 使用本技术规范书的各方应探讨使用下列标准最新版本的可能性。按标准号顺序排列标准，如果各标准要求有所不同，应满足更高的标准要求。</w:t>
      </w:r>
    </w:p>
    <w:tbl>
      <w:tblPr>
        <w:tblStyle w:val="2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3"/>
        <w:gridCol w:w="6435"/>
      </w:tblGrid>
      <w:tr w14:paraId="69AB6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61DB1BD7">
            <w:r>
              <w:rPr>
                <w:rFonts w:hint="eastAsia"/>
              </w:rPr>
              <w:t>标准号</w:t>
            </w:r>
          </w:p>
        </w:tc>
        <w:tc>
          <w:tcPr>
            <w:tcW w:w="6435" w:type="dxa"/>
          </w:tcPr>
          <w:p w14:paraId="2DC7EBBC">
            <w:r>
              <w:rPr>
                <w:rFonts w:hint="eastAsia"/>
              </w:rPr>
              <w:t>标准名称</w:t>
            </w:r>
          </w:p>
        </w:tc>
      </w:tr>
      <w:tr w14:paraId="6DBD7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6F006522">
            <w:pPr>
              <w:rPr>
                <w:rFonts w:hAnsi="宋体"/>
                <w:sz w:val="21"/>
                <w:szCs w:val="21"/>
              </w:rPr>
            </w:pPr>
            <w:r>
              <w:rPr>
                <w:rFonts w:hAnsi="宋体"/>
              </w:rPr>
              <w:t>GB/T 7251.1-2023</w:t>
            </w:r>
          </w:p>
        </w:tc>
        <w:tc>
          <w:tcPr>
            <w:tcW w:w="6435" w:type="dxa"/>
          </w:tcPr>
          <w:p w14:paraId="7D34CD86">
            <w:pPr>
              <w:rPr>
                <w:rFonts w:hAnsi="宋体"/>
                <w:sz w:val="21"/>
                <w:szCs w:val="21"/>
              </w:rPr>
            </w:pPr>
            <w:r>
              <w:rPr>
                <w:rFonts w:hint="eastAsia" w:hAnsi="宋体"/>
              </w:rPr>
              <w:t>《</w:t>
            </w:r>
            <w:r>
              <w:rPr>
                <w:rFonts w:hAnsi="宋体"/>
              </w:rPr>
              <w:t>低压成套开关设备和控制设备 第1部分：总则</w:t>
            </w:r>
            <w:r>
              <w:rPr>
                <w:rFonts w:hint="eastAsia" w:hAnsi="宋体"/>
              </w:rPr>
              <w:t>》</w:t>
            </w:r>
          </w:p>
        </w:tc>
      </w:tr>
      <w:tr w14:paraId="2BDAD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189A8FA6">
            <w:pPr>
              <w:rPr>
                <w:rFonts w:hAnsi="宋体"/>
                <w:sz w:val="21"/>
                <w:szCs w:val="21"/>
              </w:rPr>
            </w:pPr>
            <w:r>
              <w:rPr>
                <w:rFonts w:hAnsi="宋体"/>
              </w:rPr>
              <w:t>GB/T 4208-2017</w:t>
            </w:r>
          </w:p>
        </w:tc>
        <w:tc>
          <w:tcPr>
            <w:tcW w:w="6435" w:type="dxa"/>
          </w:tcPr>
          <w:p w14:paraId="7C859610">
            <w:pPr>
              <w:rPr>
                <w:rFonts w:hAnsi="宋体"/>
                <w:sz w:val="21"/>
                <w:szCs w:val="21"/>
              </w:rPr>
            </w:pPr>
            <w:r>
              <w:rPr>
                <w:rFonts w:hint="eastAsia" w:hAnsi="宋体"/>
              </w:rPr>
              <w:t>《</w:t>
            </w:r>
            <w:r>
              <w:rPr>
                <w:rFonts w:hAnsi="宋体"/>
              </w:rPr>
              <w:t>外壳防护等级(IP代码)</w:t>
            </w:r>
            <w:r>
              <w:rPr>
                <w:rFonts w:hint="eastAsia" w:hAnsi="宋体"/>
              </w:rPr>
              <w:t>》</w:t>
            </w:r>
          </w:p>
        </w:tc>
      </w:tr>
      <w:tr w14:paraId="12C64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4FFA8D7B">
            <w:pPr>
              <w:rPr>
                <w:rFonts w:hAnsi="宋体"/>
                <w:sz w:val="21"/>
                <w:szCs w:val="21"/>
              </w:rPr>
            </w:pPr>
            <w:r>
              <w:rPr>
                <w:rFonts w:hAnsi="宋体"/>
              </w:rPr>
              <w:t>GB/T 11463-1989</w:t>
            </w:r>
          </w:p>
        </w:tc>
        <w:tc>
          <w:tcPr>
            <w:tcW w:w="6435" w:type="dxa"/>
          </w:tcPr>
          <w:p w14:paraId="5A128006">
            <w:pPr>
              <w:rPr>
                <w:rFonts w:hAnsi="宋体"/>
                <w:sz w:val="21"/>
                <w:szCs w:val="21"/>
              </w:rPr>
            </w:pPr>
            <w:r>
              <w:rPr>
                <w:rFonts w:hint="eastAsia" w:hAnsi="宋体"/>
              </w:rPr>
              <w:t>《电子测量仪器可靠性试验》</w:t>
            </w:r>
          </w:p>
        </w:tc>
      </w:tr>
      <w:tr w14:paraId="1ABC2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5B75E745">
            <w:pPr>
              <w:rPr>
                <w:rFonts w:hAnsi="宋体"/>
              </w:rPr>
            </w:pPr>
            <w:r>
              <w:rPr>
                <w:rFonts w:hAnsi="宋体"/>
              </w:rPr>
              <w:t>GB 50174-2017</w:t>
            </w:r>
          </w:p>
        </w:tc>
        <w:tc>
          <w:tcPr>
            <w:tcW w:w="6435" w:type="dxa"/>
          </w:tcPr>
          <w:p w14:paraId="55362F29">
            <w:pPr>
              <w:rPr>
                <w:rFonts w:hAnsi="宋体"/>
              </w:rPr>
            </w:pPr>
            <w:r>
              <w:rPr>
                <w:rFonts w:hAnsi="宋体" w:cs="宋体"/>
              </w:rPr>
              <w:t>《数据中心设计规范》</w:t>
            </w:r>
          </w:p>
        </w:tc>
      </w:tr>
      <w:tr w14:paraId="4F33A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3EB30BEE">
            <w:pPr>
              <w:rPr>
                <w:rFonts w:hAnsi="宋体"/>
              </w:rPr>
            </w:pPr>
            <w:r>
              <w:rPr>
                <w:rFonts w:hAnsi="宋体" w:cs="宋体"/>
              </w:rPr>
              <w:t>GB 50311-2016</w:t>
            </w:r>
          </w:p>
        </w:tc>
        <w:tc>
          <w:tcPr>
            <w:tcW w:w="6435" w:type="dxa"/>
          </w:tcPr>
          <w:p w14:paraId="75DD8B3D">
            <w:pPr>
              <w:rPr>
                <w:rFonts w:hAnsi="宋体"/>
              </w:rPr>
            </w:pPr>
            <w:r>
              <w:rPr>
                <w:rFonts w:hint="eastAsia" w:hAnsi="宋体" w:cs="宋体"/>
              </w:rPr>
              <w:t>综合布线工程设计规范</w:t>
            </w:r>
          </w:p>
        </w:tc>
      </w:tr>
      <w:tr w14:paraId="00B9A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0B4B55BF">
            <w:pPr>
              <w:rPr>
                <w:rFonts w:hAnsi="宋体"/>
              </w:rPr>
            </w:pPr>
            <w:r>
              <w:rPr>
                <w:rFonts w:hint="eastAsia" w:hAnsi="宋体" w:cs="宋体"/>
              </w:rPr>
              <w:t>GB 50312-2016</w:t>
            </w:r>
          </w:p>
        </w:tc>
        <w:tc>
          <w:tcPr>
            <w:tcW w:w="6435" w:type="dxa"/>
          </w:tcPr>
          <w:p w14:paraId="64252998">
            <w:pPr>
              <w:rPr>
                <w:rFonts w:hAnsi="宋体"/>
              </w:rPr>
            </w:pPr>
            <w:r>
              <w:rPr>
                <w:rFonts w:hint="eastAsia" w:hAnsi="宋体" w:cs="宋体"/>
              </w:rPr>
              <w:t>综合布线工程验收规范</w:t>
            </w:r>
          </w:p>
        </w:tc>
      </w:tr>
    </w:tbl>
    <w:p w14:paraId="6D88C35F">
      <w:pPr>
        <w:pStyle w:val="3"/>
      </w:pPr>
      <w:bookmarkStart w:id="5" w:name="_Toc235809213"/>
      <w:r>
        <w:rPr>
          <w:rFonts w:hint="eastAsia"/>
        </w:rPr>
        <w:t>使用条件</w:t>
      </w:r>
      <w:bookmarkEnd w:id="5"/>
    </w:p>
    <w:p w14:paraId="32BBFB24">
      <w:pPr>
        <w:pStyle w:val="4"/>
      </w:pPr>
      <w:r>
        <w:rPr>
          <w:rFonts w:hint="eastAsia"/>
        </w:rPr>
        <w:t>正常工作大气条件</w:t>
      </w:r>
    </w:p>
    <w:p w14:paraId="709E5B2F">
      <w:pPr>
        <w:pStyle w:val="43"/>
      </w:pPr>
      <w:r>
        <w:rPr>
          <w:rFonts w:hint="eastAsia"/>
        </w:rPr>
        <w:t>环境温度：-10℃～+55℃；</w:t>
      </w:r>
    </w:p>
    <w:p w14:paraId="061D0261">
      <w:pPr>
        <w:pStyle w:val="43"/>
      </w:pPr>
      <w:r>
        <w:rPr>
          <w:rFonts w:hint="eastAsia"/>
        </w:rPr>
        <w:t>相对湿度：5%～95%（产品内部不应出现凝露，也不应结冰）；</w:t>
      </w:r>
    </w:p>
    <w:p w14:paraId="21F0F0B9">
      <w:pPr>
        <w:pStyle w:val="43"/>
      </w:pPr>
      <w:r>
        <w:rPr>
          <w:rFonts w:hint="eastAsia"/>
        </w:rPr>
        <w:t>大气压力：80kPa～106kPa。</w:t>
      </w:r>
    </w:p>
    <w:p w14:paraId="334FA680">
      <w:pPr>
        <w:pStyle w:val="4"/>
      </w:pPr>
      <w:r>
        <w:rPr>
          <w:rFonts w:hint="eastAsia"/>
        </w:rPr>
        <w:t>贮存、运输环境条件</w:t>
      </w:r>
    </w:p>
    <w:p w14:paraId="11B3464F">
      <w:pPr>
        <w:pStyle w:val="43"/>
      </w:pPr>
      <w:r>
        <w:rPr>
          <w:rFonts w:hint="eastAsia"/>
        </w:rPr>
        <w:t>装置在运输中允许的环境温度-40℃～＋70℃，相对湿度不大于85%；</w:t>
      </w:r>
    </w:p>
    <w:p w14:paraId="259CF4F4">
      <w:pPr>
        <w:pStyle w:val="43"/>
      </w:pPr>
      <w:r>
        <w:rPr>
          <w:rFonts w:hint="eastAsia"/>
        </w:rPr>
        <w:t>在贮存中允许的环境温度-25℃～＋55℃，相对湿度不大于85%，在不施加任何激励量的条件下，装置不出现不可逆变化。</w:t>
      </w:r>
    </w:p>
    <w:p w14:paraId="116E0D95">
      <w:pPr>
        <w:pStyle w:val="4"/>
      </w:pPr>
      <w:r>
        <w:rPr>
          <w:rFonts w:hint="eastAsia"/>
        </w:rPr>
        <w:t>周围环境</w:t>
      </w:r>
    </w:p>
    <w:p w14:paraId="460BD7E8">
      <w:pPr>
        <w:pStyle w:val="43"/>
      </w:pPr>
      <w:r>
        <w:rPr>
          <w:rFonts w:hint="eastAsia"/>
        </w:rPr>
        <w:t>场地符合</w:t>
      </w:r>
      <w:r>
        <w:t>GB/T 9361-2011</w:t>
      </w:r>
      <w:r>
        <w:rPr>
          <w:rFonts w:hint="eastAsia"/>
        </w:rPr>
        <w:t>中B类安全要求；</w:t>
      </w:r>
    </w:p>
    <w:p w14:paraId="4F66C3C2">
      <w:pPr>
        <w:pStyle w:val="43"/>
      </w:pPr>
      <w:r>
        <w:rPr>
          <w:rFonts w:ascii="宋体" w:hAnsi="宋体" w:eastAsia="宋体" w:cs="宋体"/>
          <w:sz w:val="24"/>
          <w:szCs w:val="24"/>
        </w:rPr>
        <w:t>设备安装地点运行振动条件不高于 GB/T 11287-2000 严酷等级 Ⅰ 级；场地预期地震烈度不大于 GB/T 17742-2020 规定的 Ⅶ 度</w:t>
      </w:r>
      <w:r>
        <w:rPr>
          <w:rFonts w:hint="eastAsia"/>
        </w:rPr>
        <w:t>；</w:t>
      </w:r>
    </w:p>
    <w:p w14:paraId="3470D992">
      <w:pPr>
        <w:pStyle w:val="43"/>
      </w:pPr>
      <w:r>
        <w:rPr>
          <w:rFonts w:hint="eastAsia"/>
        </w:rPr>
        <w:t>使用地点无爆炸危险的物质，周围介质中不含有能腐蚀金属、破坏绝缘和表面敷层的介质及导电介质，不存在严重的霉菌。</w:t>
      </w:r>
    </w:p>
    <w:p w14:paraId="685785B0">
      <w:pPr>
        <w:pStyle w:val="4"/>
      </w:pPr>
      <w:r>
        <w:rPr>
          <w:rFonts w:hint="eastAsia"/>
        </w:rPr>
        <w:t>运行电气条件</w:t>
      </w:r>
    </w:p>
    <w:p w14:paraId="00B08E01">
      <w:pPr>
        <w:pStyle w:val="43"/>
      </w:pPr>
      <w:r>
        <w:rPr>
          <w:rFonts w:hint="eastAsia"/>
        </w:rPr>
        <w:t>交流供电电压：187V～242V</w:t>
      </w:r>
    </w:p>
    <w:p w14:paraId="10446068">
      <w:pPr>
        <w:pStyle w:val="3"/>
      </w:pPr>
      <w:bookmarkStart w:id="6" w:name="_Toc235809214"/>
      <w:r>
        <w:rPr>
          <w:rFonts w:hint="eastAsia"/>
        </w:rPr>
        <w:t>技术参数要求</w:t>
      </w:r>
      <w:bookmarkEnd w:id="6"/>
    </w:p>
    <w:p w14:paraId="2A33376C">
      <w:pPr>
        <w:ind w:firstLine="420"/>
        <w:rPr>
          <w:rFonts w:hAnsi="宋体"/>
          <w:szCs w:val="21"/>
        </w:rPr>
      </w:pPr>
      <w:r>
        <w:rPr>
          <w:rFonts w:hint="eastAsia" w:hAnsi="宋体"/>
          <w:szCs w:val="21"/>
        </w:rPr>
        <w:t>投标方应认真逐项填写技术参数和性能要求响应表中的投标方响应值，不得空项，也不得以“响应”</w:t>
      </w:r>
      <w:r>
        <w:rPr>
          <w:rFonts w:hint="eastAsia" w:hAnsi="宋体"/>
          <w:szCs w:val="21"/>
          <w:lang w:val="en-US" w:eastAsia="zh-CN"/>
        </w:rPr>
        <w:t>两字</w:t>
      </w:r>
      <w:r>
        <w:rPr>
          <w:rFonts w:hint="eastAsia" w:hAnsi="宋体"/>
          <w:szCs w:val="21"/>
        </w:rPr>
        <w:t>代替，不允许改动招标方要求值。如有差异，请填写投标方技术偏差表。</w:t>
      </w:r>
    </w:p>
    <w:p w14:paraId="09E1EDB6">
      <w:pPr>
        <w:pStyle w:val="2"/>
        <w:ind w:left="0" w:leftChars="0"/>
        <w:jc w:val="center"/>
      </w:pPr>
      <w:r>
        <w:rPr>
          <w:szCs w:val="21"/>
        </w:rPr>
        <w:t>表</w:t>
      </w:r>
      <w:r>
        <w:rPr>
          <w:rFonts w:hint="eastAsia"/>
          <w:szCs w:val="21"/>
        </w:rPr>
        <w:t>5</w:t>
      </w:r>
      <w:r>
        <w:rPr>
          <w:szCs w:val="21"/>
        </w:rPr>
        <w:t xml:space="preserve"> </w:t>
      </w:r>
      <w:r>
        <w:rPr>
          <w:rFonts w:hint="eastAsia"/>
          <w:szCs w:val="21"/>
        </w:rPr>
        <w:t xml:space="preserve"> </w:t>
      </w:r>
      <w:r>
        <w:rPr>
          <w:szCs w:val="21"/>
        </w:rPr>
        <w:t>技术参数和性能要求响应表</w:t>
      </w:r>
    </w:p>
    <w:tbl>
      <w:tblPr>
        <w:tblStyle w:val="25"/>
        <w:tblW w:w="5000" w:type="pct"/>
        <w:jc w:val="center"/>
        <w:tblLayout w:type="autofit"/>
        <w:tblCellMar>
          <w:top w:w="0" w:type="dxa"/>
          <w:left w:w="108" w:type="dxa"/>
          <w:bottom w:w="0" w:type="dxa"/>
          <w:right w:w="108" w:type="dxa"/>
        </w:tblCellMar>
      </w:tblPr>
      <w:tblGrid>
        <w:gridCol w:w="624"/>
        <w:gridCol w:w="653"/>
        <w:gridCol w:w="5205"/>
        <w:gridCol w:w="2040"/>
      </w:tblGrid>
      <w:tr w14:paraId="6267DFF7">
        <w:tblPrEx>
          <w:tblCellMar>
            <w:top w:w="0" w:type="dxa"/>
            <w:left w:w="108" w:type="dxa"/>
            <w:bottom w:w="0" w:type="dxa"/>
            <w:right w:w="108" w:type="dxa"/>
          </w:tblCellMar>
        </w:tblPrEx>
        <w:trPr>
          <w:trHeight w:val="27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3B69152E">
            <w:pPr>
              <w:widowControl/>
              <w:spacing w:line="240" w:lineRule="auto"/>
              <w:jc w:val="center"/>
              <w:rPr>
                <w:rFonts w:hAnsi="宋体" w:cs="宋体"/>
                <w:b/>
                <w:bCs/>
                <w:color w:val="000000"/>
                <w:kern w:val="0"/>
                <w:sz w:val="20"/>
                <w:szCs w:val="20"/>
              </w:rPr>
            </w:pPr>
            <w:r>
              <w:rPr>
                <w:rFonts w:hAnsi="宋体" w:cs="宋体"/>
                <w:b/>
                <w:bCs/>
                <w:color w:val="000000"/>
                <w:kern w:val="0"/>
                <w:sz w:val="20"/>
                <w:szCs w:val="20"/>
              </w:rPr>
              <w:t>序号</w:t>
            </w:r>
          </w:p>
        </w:tc>
        <w:tc>
          <w:tcPr>
            <w:tcW w:w="383" w:type="pct"/>
            <w:tcBorders>
              <w:top w:val="single" w:color="000000" w:sz="4" w:space="0"/>
              <w:left w:val="single" w:color="000000" w:sz="4" w:space="0"/>
              <w:bottom w:val="single" w:color="000000" w:sz="4" w:space="0"/>
              <w:right w:val="single" w:color="000000" w:sz="4" w:space="0"/>
            </w:tcBorders>
            <w:vAlign w:val="center"/>
          </w:tcPr>
          <w:p w14:paraId="495E4E6E">
            <w:pPr>
              <w:widowControl/>
              <w:spacing w:line="240" w:lineRule="auto"/>
              <w:jc w:val="center"/>
              <w:rPr>
                <w:rFonts w:hAnsi="宋体" w:cs="宋体"/>
                <w:b/>
                <w:bCs/>
                <w:color w:val="000000"/>
                <w:kern w:val="0"/>
                <w:sz w:val="20"/>
                <w:szCs w:val="20"/>
              </w:rPr>
            </w:pPr>
            <w:r>
              <w:rPr>
                <w:rFonts w:hAnsi="宋体" w:cs="宋体"/>
                <w:b/>
                <w:bCs/>
                <w:color w:val="000000"/>
                <w:kern w:val="0"/>
                <w:sz w:val="20"/>
                <w:szCs w:val="20"/>
              </w:rPr>
              <w:t>设备名称</w:t>
            </w:r>
          </w:p>
        </w:tc>
        <w:tc>
          <w:tcPr>
            <w:tcW w:w="3053" w:type="pct"/>
            <w:tcBorders>
              <w:top w:val="single" w:color="000000" w:sz="4" w:space="0"/>
              <w:left w:val="single" w:color="000000" w:sz="4" w:space="0"/>
              <w:bottom w:val="single" w:color="000000" w:sz="4" w:space="0"/>
              <w:right w:val="single" w:color="000000" w:sz="4" w:space="0"/>
            </w:tcBorders>
            <w:vAlign w:val="center"/>
          </w:tcPr>
          <w:p w14:paraId="41F3A37C">
            <w:pPr>
              <w:widowControl/>
              <w:spacing w:line="240" w:lineRule="auto"/>
              <w:jc w:val="center"/>
              <w:rPr>
                <w:rFonts w:hAnsi="宋体" w:cs="宋体"/>
                <w:b/>
                <w:bCs/>
                <w:color w:val="000000"/>
                <w:kern w:val="0"/>
                <w:sz w:val="20"/>
                <w:szCs w:val="20"/>
              </w:rPr>
            </w:pPr>
            <w:r>
              <w:rPr>
                <w:rFonts w:hAnsi="宋体" w:cs="宋体"/>
                <w:b/>
                <w:bCs/>
                <w:color w:val="000000"/>
                <w:kern w:val="0"/>
                <w:sz w:val="20"/>
                <w:szCs w:val="20"/>
              </w:rPr>
              <w:t>技术指标（招标方要求值）</w:t>
            </w:r>
          </w:p>
        </w:tc>
        <w:tc>
          <w:tcPr>
            <w:tcW w:w="1196" w:type="pct"/>
            <w:tcBorders>
              <w:top w:val="single" w:color="000000" w:sz="4" w:space="0"/>
              <w:left w:val="single" w:color="000000" w:sz="4" w:space="0"/>
              <w:bottom w:val="single" w:color="000000" w:sz="4" w:space="0"/>
              <w:right w:val="single" w:color="000000" w:sz="4" w:space="0"/>
            </w:tcBorders>
            <w:vAlign w:val="center"/>
          </w:tcPr>
          <w:p w14:paraId="3AD39780">
            <w:pPr>
              <w:widowControl/>
              <w:spacing w:line="240" w:lineRule="auto"/>
              <w:jc w:val="center"/>
              <w:rPr>
                <w:rFonts w:hAnsi="宋体" w:cs="宋体"/>
                <w:b/>
                <w:bCs/>
                <w:color w:val="000000"/>
                <w:kern w:val="0"/>
                <w:sz w:val="20"/>
                <w:szCs w:val="20"/>
              </w:rPr>
            </w:pPr>
            <w:r>
              <w:rPr>
                <w:rFonts w:hAnsi="宋体" w:cs="宋体"/>
                <w:b/>
                <w:bCs/>
                <w:color w:val="000000"/>
                <w:kern w:val="0"/>
                <w:sz w:val="20"/>
                <w:szCs w:val="20"/>
              </w:rPr>
              <w:t>投标方</w:t>
            </w:r>
            <w:r>
              <w:rPr>
                <w:rFonts w:hint="eastAsia" w:hAnsi="宋体" w:cs="宋体"/>
                <w:b/>
                <w:bCs/>
                <w:color w:val="000000"/>
                <w:kern w:val="0"/>
                <w:sz w:val="20"/>
                <w:szCs w:val="20"/>
              </w:rPr>
              <w:t>响应</w:t>
            </w:r>
            <w:r>
              <w:rPr>
                <w:rFonts w:hAnsi="宋体" w:cs="宋体"/>
                <w:b/>
                <w:bCs/>
                <w:color w:val="000000"/>
                <w:kern w:val="0"/>
                <w:sz w:val="20"/>
                <w:szCs w:val="20"/>
              </w:rPr>
              <w:t>值</w:t>
            </w:r>
          </w:p>
        </w:tc>
      </w:tr>
      <w:tr w14:paraId="24A58DC2">
        <w:tblPrEx>
          <w:tblCellMar>
            <w:top w:w="0" w:type="dxa"/>
            <w:left w:w="108" w:type="dxa"/>
            <w:bottom w:w="0" w:type="dxa"/>
            <w:right w:w="108" w:type="dxa"/>
          </w:tblCellMar>
        </w:tblPrEx>
        <w:trPr>
          <w:trHeight w:val="81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4607F819">
            <w:pPr>
              <w:widowControl/>
              <w:spacing w:line="240" w:lineRule="auto"/>
              <w:jc w:val="center"/>
              <w:rPr>
                <w:rFonts w:hAnsi="宋体" w:cs="宋体"/>
                <w:color w:val="000000"/>
                <w:kern w:val="0"/>
                <w:sz w:val="22"/>
                <w:szCs w:val="22"/>
              </w:rPr>
            </w:pPr>
            <w:r>
              <w:rPr>
                <w:rFonts w:hAnsi="宋体" w:cs="宋体"/>
                <w:color w:val="000000"/>
                <w:kern w:val="0"/>
                <w:sz w:val="22"/>
                <w:szCs w:val="22"/>
              </w:rPr>
              <w:t>1</w:t>
            </w:r>
          </w:p>
        </w:tc>
        <w:tc>
          <w:tcPr>
            <w:tcW w:w="383" w:type="pct"/>
            <w:vMerge w:val="restart"/>
            <w:tcBorders>
              <w:top w:val="single" w:color="000000" w:sz="4" w:space="0"/>
              <w:left w:val="single" w:color="000000" w:sz="4" w:space="0"/>
              <w:bottom w:val="single" w:color="000000" w:sz="4" w:space="0"/>
              <w:right w:val="single" w:color="000000" w:sz="4" w:space="0"/>
            </w:tcBorders>
            <w:vAlign w:val="center"/>
          </w:tcPr>
          <w:p w14:paraId="3AC5AA1A">
            <w:pPr>
              <w:widowControl/>
              <w:spacing w:line="240" w:lineRule="auto"/>
              <w:jc w:val="center"/>
              <w:rPr>
                <w:rFonts w:hint="eastAsia" w:hAnsi="宋体" w:eastAsia="宋体" w:cs="宋体"/>
                <w:color w:val="000000"/>
                <w:kern w:val="0"/>
                <w:sz w:val="22"/>
                <w:szCs w:val="22"/>
                <w:lang w:eastAsia="zh-CN"/>
              </w:rPr>
            </w:pPr>
            <w:r>
              <w:rPr>
                <w:rFonts w:hint="eastAsia" w:hAnsi="宋体"/>
                <w:lang w:eastAsia="zh-CN"/>
              </w:rPr>
              <w:t>语音视频网网络安全准入设备</w:t>
            </w:r>
          </w:p>
        </w:tc>
        <w:tc>
          <w:tcPr>
            <w:tcW w:w="3053" w:type="pct"/>
            <w:tcBorders>
              <w:top w:val="single" w:color="000000" w:sz="4" w:space="0"/>
              <w:left w:val="single" w:color="000000" w:sz="4" w:space="0"/>
              <w:bottom w:val="single" w:color="000000" w:sz="4" w:space="0"/>
              <w:right w:val="single" w:color="000000" w:sz="4" w:space="0"/>
            </w:tcBorders>
            <w:vAlign w:val="center"/>
          </w:tcPr>
          <w:p w14:paraId="4C1B8B2D">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w:t>
            </w:r>
            <w:r>
              <w:rPr>
                <w:rFonts w:hint="eastAsia" w:hAnsi="宋体" w:cs="宋体"/>
                <w:color w:val="000000"/>
                <w:kern w:val="0"/>
                <w:sz w:val="21"/>
                <w:szCs w:val="21"/>
                <w:highlight w:val="none"/>
                <w:lang w:val="en-US" w:eastAsia="zh-CN"/>
              </w:rPr>
              <w:t>.</w:t>
            </w:r>
            <w:r>
              <w:rPr>
                <w:rFonts w:hint="eastAsia" w:ascii="宋体" w:hAnsi="宋体" w:eastAsia="宋体" w:cs="宋体"/>
                <w:b w:val="0"/>
                <w:bCs/>
                <w:i w:val="0"/>
                <w:color w:val="000000"/>
                <w:kern w:val="0"/>
                <w:sz w:val="21"/>
                <w:szCs w:val="21"/>
                <w:highlight w:val="none"/>
                <w:u w:val="none"/>
                <w:lang w:val="en-US" w:eastAsia="zh-CN" w:bidi="ar"/>
              </w:rPr>
              <w:t>产品使用自主可控CPU和操作系统</w:t>
            </w:r>
            <w:r>
              <w:rPr>
                <w:rFonts w:hint="eastAsia" w:ascii="宋体" w:hAnsi="宋体" w:cs="宋体"/>
                <w:b w:val="0"/>
                <w:bCs/>
                <w:i w:val="0"/>
                <w:color w:val="000000"/>
                <w:kern w:val="0"/>
                <w:sz w:val="21"/>
                <w:szCs w:val="21"/>
                <w:highlight w:val="none"/>
                <w:u w:val="none"/>
                <w:lang w:val="en-US" w:eastAsia="zh-CN" w:bidi="ar"/>
              </w:rPr>
              <w:t>（投标时需明确CPU品牌、型号）</w:t>
            </w:r>
            <w:r>
              <w:rPr>
                <w:rFonts w:hAnsi="宋体" w:cs="宋体"/>
                <w:color w:val="000000"/>
                <w:kern w:val="0"/>
                <w:sz w:val="21"/>
                <w:szCs w:val="21"/>
                <w:highlight w:val="none"/>
              </w:rPr>
              <w:t>，管理平台采用B/S架构进行管理，可通过https模式进行管理平台登录。</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57B70E1F">
            <w:pPr>
              <w:widowControl/>
              <w:spacing w:line="240" w:lineRule="auto"/>
              <w:jc w:val="left"/>
              <w:rPr>
                <w:rFonts w:hAnsi="宋体" w:cs="宋体"/>
                <w:color w:val="000000"/>
                <w:kern w:val="0"/>
                <w:sz w:val="22"/>
                <w:szCs w:val="22"/>
              </w:rPr>
            </w:pPr>
          </w:p>
        </w:tc>
      </w:tr>
      <w:tr w14:paraId="0CF2E323">
        <w:tblPrEx>
          <w:tblCellMar>
            <w:top w:w="0" w:type="dxa"/>
            <w:left w:w="108" w:type="dxa"/>
            <w:bottom w:w="0" w:type="dxa"/>
            <w:right w:w="108" w:type="dxa"/>
          </w:tblCellMar>
        </w:tblPrEx>
        <w:trPr>
          <w:trHeight w:val="54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7E3C24CA">
            <w:pPr>
              <w:widowControl/>
              <w:spacing w:line="240" w:lineRule="auto"/>
              <w:jc w:val="center"/>
              <w:rPr>
                <w:rFonts w:hAnsi="宋体" w:cs="宋体"/>
                <w:color w:val="000000"/>
                <w:kern w:val="0"/>
                <w:sz w:val="22"/>
                <w:szCs w:val="22"/>
              </w:rPr>
            </w:pPr>
            <w:r>
              <w:rPr>
                <w:rFonts w:hAnsi="宋体" w:cs="宋体"/>
                <w:color w:val="000000"/>
                <w:kern w:val="0"/>
                <w:sz w:val="22"/>
                <w:szCs w:val="22"/>
              </w:rPr>
              <w:t>2</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645C4700">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431CC150">
            <w:pPr>
              <w:widowControl/>
              <w:spacing w:line="240" w:lineRule="auto"/>
              <w:jc w:val="left"/>
              <w:rPr>
                <w:rFonts w:hAnsi="宋体" w:cs="宋体"/>
                <w:color w:val="000000"/>
                <w:kern w:val="0"/>
                <w:sz w:val="21"/>
                <w:szCs w:val="21"/>
              </w:rPr>
            </w:pPr>
            <w:r>
              <w:rPr>
                <w:rFonts w:hAnsi="宋体" w:cs="宋体"/>
                <w:color w:val="000000"/>
                <w:kern w:val="0"/>
                <w:sz w:val="21"/>
                <w:szCs w:val="21"/>
              </w:rPr>
              <w:t>2</w:t>
            </w:r>
            <w:r>
              <w:rPr>
                <w:rFonts w:hint="eastAsia" w:hAnsi="宋体" w:cs="宋体"/>
                <w:color w:val="000000"/>
                <w:kern w:val="0"/>
                <w:sz w:val="21"/>
                <w:szCs w:val="21"/>
                <w:lang w:val="en-US" w:eastAsia="zh-CN"/>
              </w:rPr>
              <w:t>.</w:t>
            </w:r>
            <w:r>
              <w:rPr>
                <w:rFonts w:hAnsi="宋体" w:cs="宋体"/>
                <w:color w:val="000000"/>
                <w:kern w:val="0"/>
                <w:sz w:val="21"/>
                <w:szCs w:val="21"/>
              </w:rPr>
              <w:t>供电方式：采用双路交流电源输入，支持热插拔，实现1+1冗余热备份。</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4130ECA2">
            <w:pPr>
              <w:widowControl/>
              <w:spacing w:line="240" w:lineRule="auto"/>
              <w:jc w:val="left"/>
              <w:rPr>
                <w:rFonts w:hAnsi="宋体" w:cs="宋体"/>
                <w:color w:val="000000"/>
                <w:kern w:val="0"/>
                <w:sz w:val="22"/>
                <w:szCs w:val="22"/>
              </w:rPr>
            </w:pPr>
          </w:p>
        </w:tc>
      </w:tr>
      <w:tr w14:paraId="77F27A8F">
        <w:tblPrEx>
          <w:tblCellMar>
            <w:top w:w="0" w:type="dxa"/>
            <w:left w:w="108" w:type="dxa"/>
            <w:bottom w:w="0" w:type="dxa"/>
            <w:right w:w="108" w:type="dxa"/>
          </w:tblCellMar>
        </w:tblPrEx>
        <w:trPr>
          <w:trHeight w:val="27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5D0078D9">
            <w:pPr>
              <w:widowControl/>
              <w:spacing w:line="240" w:lineRule="auto"/>
              <w:jc w:val="center"/>
              <w:rPr>
                <w:rFonts w:hAnsi="宋体" w:cs="宋体"/>
                <w:color w:val="000000"/>
                <w:kern w:val="0"/>
                <w:sz w:val="22"/>
                <w:szCs w:val="22"/>
              </w:rPr>
            </w:pPr>
            <w:r>
              <w:rPr>
                <w:rFonts w:hAnsi="宋体" w:cs="宋体"/>
                <w:color w:val="000000"/>
                <w:kern w:val="0"/>
                <w:sz w:val="22"/>
                <w:szCs w:val="22"/>
              </w:rPr>
              <w:t>3</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76291371">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20DBC47F">
            <w:pPr>
              <w:widowControl/>
              <w:spacing w:line="240" w:lineRule="auto"/>
              <w:jc w:val="left"/>
              <w:rPr>
                <w:rFonts w:hint="default" w:hAnsi="宋体" w:eastAsia="宋体" w:cs="宋体"/>
                <w:color w:val="000000"/>
                <w:kern w:val="0"/>
                <w:sz w:val="21"/>
                <w:szCs w:val="21"/>
                <w:highlight w:val="none"/>
                <w:lang w:val="en-US" w:eastAsia="zh-CN"/>
              </w:rPr>
            </w:pPr>
            <w:r>
              <w:rPr>
                <w:rFonts w:hAnsi="宋体" w:cs="宋体"/>
                <w:color w:val="000000"/>
                <w:kern w:val="0"/>
                <w:sz w:val="21"/>
                <w:szCs w:val="21"/>
                <w:highlight w:val="none"/>
              </w:rPr>
              <w:t>3</w:t>
            </w:r>
            <w:r>
              <w:rPr>
                <w:rFonts w:hint="eastAsia" w:hAnsi="宋体" w:cs="宋体"/>
                <w:color w:val="000000"/>
                <w:kern w:val="0"/>
                <w:sz w:val="21"/>
                <w:szCs w:val="21"/>
                <w:highlight w:val="none"/>
                <w:lang w:val="en-US" w:eastAsia="zh-CN"/>
              </w:rPr>
              <w:t>.</w:t>
            </w:r>
            <w:r>
              <w:rPr>
                <w:rFonts w:hAnsi="宋体" w:cs="宋体"/>
                <w:color w:val="000000"/>
                <w:kern w:val="0"/>
                <w:sz w:val="21"/>
                <w:szCs w:val="21"/>
                <w:highlight w:val="none"/>
              </w:rPr>
              <w:t>提供1000MBASE-T接口≥</w:t>
            </w:r>
            <w:r>
              <w:rPr>
                <w:rFonts w:hint="eastAsia" w:hAnsi="宋体" w:cs="宋体"/>
                <w:color w:val="000000"/>
                <w:kern w:val="0"/>
                <w:sz w:val="21"/>
                <w:szCs w:val="21"/>
                <w:highlight w:val="none"/>
                <w:lang w:val="en-US" w:eastAsia="zh-CN"/>
              </w:rPr>
              <w:t>4</w:t>
            </w:r>
            <w:r>
              <w:rPr>
                <w:rFonts w:hAnsi="宋体" w:cs="宋体"/>
                <w:color w:val="000000"/>
                <w:kern w:val="0"/>
                <w:sz w:val="21"/>
                <w:szCs w:val="21"/>
                <w:highlight w:val="none"/>
              </w:rPr>
              <w:t>个；</w:t>
            </w:r>
            <w:r>
              <w:rPr>
                <w:rFonts w:hint="eastAsia" w:hAnsi="宋体" w:cs="宋体"/>
                <w:color w:val="000000"/>
                <w:kern w:val="0"/>
                <w:sz w:val="21"/>
                <w:szCs w:val="21"/>
                <w:highlight w:val="none"/>
                <w:lang w:val="en-US" w:eastAsia="zh-CN"/>
              </w:rPr>
              <w:t>SFP+接口</w:t>
            </w:r>
            <w:r>
              <w:rPr>
                <w:rFonts w:hAnsi="宋体" w:cs="宋体"/>
                <w:color w:val="000000"/>
                <w:kern w:val="0"/>
                <w:sz w:val="21"/>
                <w:szCs w:val="21"/>
                <w:highlight w:val="none"/>
              </w:rPr>
              <w:t>≥</w:t>
            </w:r>
            <w:r>
              <w:rPr>
                <w:rFonts w:hint="eastAsia" w:hAnsi="宋体" w:cs="宋体"/>
                <w:color w:val="000000"/>
                <w:kern w:val="0"/>
                <w:sz w:val="21"/>
                <w:szCs w:val="21"/>
                <w:highlight w:val="none"/>
                <w:lang w:val="en-US" w:eastAsia="zh-CN"/>
              </w:rPr>
              <w:t>2个。</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2A0E0C16">
            <w:pPr>
              <w:widowControl/>
              <w:spacing w:line="240" w:lineRule="auto"/>
              <w:jc w:val="left"/>
              <w:rPr>
                <w:rFonts w:hAnsi="宋体" w:cs="宋体"/>
                <w:color w:val="000000"/>
                <w:kern w:val="0"/>
                <w:sz w:val="21"/>
                <w:szCs w:val="21"/>
              </w:rPr>
            </w:pPr>
          </w:p>
        </w:tc>
      </w:tr>
      <w:tr w14:paraId="68898979">
        <w:tblPrEx>
          <w:tblCellMar>
            <w:top w:w="0" w:type="dxa"/>
            <w:left w:w="108" w:type="dxa"/>
            <w:bottom w:w="0" w:type="dxa"/>
            <w:right w:w="108" w:type="dxa"/>
          </w:tblCellMar>
        </w:tblPrEx>
        <w:trPr>
          <w:trHeight w:val="27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2C54C699">
            <w:pPr>
              <w:widowControl/>
              <w:spacing w:line="240" w:lineRule="auto"/>
              <w:jc w:val="center"/>
              <w:rPr>
                <w:rFonts w:hAnsi="宋体" w:cs="宋体"/>
                <w:color w:val="000000"/>
                <w:kern w:val="0"/>
                <w:sz w:val="22"/>
                <w:szCs w:val="22"/>
              </w:rPr>
            </w:pPr>
            <w:r>
              <w:rPr>
                <w:rFonts w:hAnsi="宋体" w:cs="宋体"/>
                <w:color w:val="000000"/>
                <w:kern w:val="0"/>
                <w:sz w:val="22"/>
                <w:szCs w:val="22"/>
              </w:rPr>
              <w:t>4</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4B539ECB">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61FFA8F6">
            <w:pPr>
              <w:widowControl/>
              <w:spacing w:line="240" w:lineRule="auto"/>
              <w:jc w:val="left"/>
              <w:rPr>
                <w:rFonts w:hint="eastAsia" w:hAnsi="宋体" w:eastAsia="宋体" w:cs="宋体"/>
                <w:color w:val="000000"/>
                <w:kern w:val="0"/>
                <w:sz w:val="21"/>
                <w:szCs w:val="21"/>
                <w:highlight w:val="none"/>
                <w:lang w:eastAsia="zh-CN"/>
              </w:rPr>
            </w:pPr>
            <w:r>
              <w:rPr>
                <w:rFonts w:hint="eastAsia" w:hAnsi="宋体" w:cs="宋体"/>
                <w:color w:val="000000"/>
                <w:kern w:val="0"/>
                <w:sz w:val="21"/>
                <w:szCs w:val="21"/>
                <w:highlight w:val="none"/>
                <w:lang w:val="en-US" w:eastAsia="zh-CN"/>
              </w:rPr>
              <w:t>4.</w:t>
            </w:r>
            <w:r>
              <w:rPr>
                <w:rFonts w:hAnsi="宋体" w:cs="宋体"/>
                <w:color w:val="000000"/>
                <w:kern w:val="0"/>
                <w:sz w:val="21"/>
                <w:szCs w:val="21"/>
                <w:highlight w:val="none"/>
              </w:rPr>
              <w:t>最大</w:t>
            </w:r>
            <w:r>
              <w:rPr>
                <w:rFonts w:hint="eastAsia" w:hAnsi="宋体" w:cs="宋体"/>
                <w:color w:val="000000"/>
                <w:kern w:val="0"/>
                <w:sz w:val="21"/>
                <w:szCs w:val="21"/>
                <w:highlight w:val="none"/>
                <w:lang w:val="en-US" w:eastAsia="zh-CN"/>
              </w:rPr>
              <w:t>认证</w:t>
            </w:r>
            <w:r>
              <w:rPr>
                <w:rFonts w:hAnsi="宋体" w:cs="宋体"/>
                <w:color w:val="000000"/>
                <w:kern w:val="0"/>
                <w:sz w:val="21"/>
                <w:szCs w:val="21"/>
                <w:highlight w:val="none"/>
              </w:rPr>
              <w:t>并发连接数：≥</w:t>
            </w:r>
            <w:r>
              <w:rPr>
                <w:rFonts w:hint="eastAsia" w:hAnsi="宋体" w:cs="宋体"/>
                <w:color w:val="000000"/>
                <w:kern w:val="0"/>
                <w:sz w:val="21"/>
                <w:szCs w:val="21"/>
                <w:highlight w:val="none"/>
                <w:lang w:val="en-US" w:eastAsia="zh-CN"/>
              </w:rPr>
              <w:t>4</w:t>
            </w:r>
            <w:r>
              <w:rPr>
                <w:rFonts w:hAnsi="宋体" w:cs="宋体"/>
                <w:color w:val="000000"/>
                <w:kern w:val="0"/>
                <w:sz w:val="21"/>
                <w:szCs w:val="21"/>
                <w:highlight w:val="none"/>
              </w:rPr>
              <w:t>000（条）</w:t>
            </w:r>
            <w:r>
              <w:rPr>
                <w:rFonts w:hint="eastAsia" w:hAnsi="宋体" w:cs="宋体"/>
                <w:color w:val="000000"/>
                <w:kern w:val="0"/>
                <w:sz w:val="21"/>
                <w:szCs w:val="21"/>
                <w:highlight w:val="none"/>
                <w:lang w:eastAsia="zh-CN"/>
              </w:rPr>
              <w:t>。</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2801CFB1">
            <w:pPr>
              <w:widowControl/>
              <w:spacing w:line="240" w:lineRule="auto"/>
              <w:jc w:val="left"/>
              <w:rPr>
                <w:rFonts w:hAnsi="宋体" w:cs="宋体"/>
                <w:color w:val="000000"/>
                <w:kern w:val="0"/>
                <w:sz w:val="21"/>
                <w:szCs w:val="21"/>
              </w:rPr>
            </w:pPr>
          </w:p>
        </w:tc>
      </w:tr>
      <w:tr w14:paraId="57B7E667">
        <w:tblPrEx>
          <w:tblCellMar>
            <w:top w:w="0" w:type="dxa"/>
            <w:left w:w="108" w:type="dxa"/>
            <w:bottom w:w="0" w:type="dxa"/>
            <w:right w:w="108" w:type="dxa"/>
          </w:tblCellMar>
        </w:tblPrEx>
        <w:trPr>
          <w:trHeight w:val="27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7F6BCE6E">
            <w:pPr>
              <w:widowControl/>
              <w:spacing w:line="240" w:lineRule="auto"/>
              <w:jc w:val="center"/>
              <w:rPr>
                <w:rFonts w:hAnsi="宋体" w:cs="宋体"/>
                <w:color w:val="000000"/>
                <w:kern w:val="0"/>
                <w:sz w:val="22"/>
                <w:szCs w:val="22"/>
              </w:rPr>
            </w:pPr>
            <w:r>
              <w:rPr>
                <w:rFonts w:hAnsi="宋体" w:cs="宋体"/>
                <w:color w:val="000000"/>
                <w:kern w:val="0"/>
                <w:sz w:val="22"/>
                <w:szCs w:val="22"/>
              </w:rPr>
              <w:t>5</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65DB4C3E">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2908D126">
            <w:pPr>
              <w:widowControl/>
              <w:spacing w:line="240" w:lineRule="auto"/>
              <w:jc w:val="left"/>
              <w:rPr>
                <w:rFonts w:hint="eastAsia" w:hAnsi="宋体" w:eastAsia="宋体" w:cs="宋体"/>
                <w:color w:val="000000"/>
                <w:kern w:val="0"/>
                <w:sz w:val="21"/>
                <w:szCs w:val="21"/>
                <w:lang w:eastAsia="zh-CN"/>
              </w:rPr>
            </w:pPr>
            <w:r>
              <w:rPr>
                <w:rFonts w:hAnsi="宋体" w:cs="宋体"/>
                <w:color w:val="000000"/>
                <w:kern w:val="0"/>
                <w:sz w:val="21"/>
                <w:szCs w:val="21"/>
              </w:rPr>
              <w:t>5</w:t>
            </w:r>
            <w:r>
              <w:rPr>
                <w:rFonts w:hint="eastAsia" w:hAnsi="宋体" w:cs="宋体"/>
                <w:color w:val="000000"/>
                <w:kern w:val="0"/>
                <w:sz w:val="21"/>
                <w:szCs w:val="21"/>
                <w:lang w:val="en-US" w:eastAsia="zh-CN"/>
              </w:rPr>
              <w:t>.</w:t>
            </w:r>
            <w:r>
              <w:rPr>
                <w:rFonts w:hAnsi="宋体" w:cs="宋体"/>
                <w:color w:val="000000"/>
                <w:kern w:val="0"/>
                <w:sz w:val="21"/>
                <w:szCs w:val="21"/>
              </w:rPr>
              <w:t>最大吞吐量：≥2Gbps</w:t>
            </w:r>
            <w:r>
              <w:rPr>
                <w:rFonts w:hint="eastAsia" w:hAnsi="宋体" w:cs="宋体"/>
                <w:color w:val="000000"/>
                <w:kern w:val="0"/>
                <w:sz w:val="21"/>
                <w:szCs w:val="21"/>
                <w:lang w:eastAsia="zh-CN"/>
              </w:rPr>
              <w:t>。</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524C647D">
            <w:pPr>
              <w:widowControl/>
              <w:spacing w:line="240" w:lineRule="auto"/>
              <w:jc w:val="left"/>
              <w:rPr>
                <w:rFonts w:hAnsi="宋体" w:cs="宋体"/>
                <w:color w:val="000000"/>
                <w:kern w:val="0"/>
                <w:sz w:val="21"/>
                <w:szCs w:val="21"/>
              </w:rPr>
            </w:pPr>
          </w:p>
        </w:tc>
      </w:tr>
      <w:tr w14:paraId="2C3BF6E3">
        <w:tblPrEx>
          <w:tblCellMar>
            <w:top w:w="0" w:type="dxa"/>
            <w:left w:w="108" w:type="dxa"/>
            <w:bottom w:w="0" w:type="dxa"/>
            <w:right w:w="108" w:type="dxa"/>
          </w:tblCellMar>
        </w:tblPrEx>
        <w:trPr>
          <w:trHeight w:val="27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450ED2D6">
            <w:pPr>
              <w:widowControl/>
              <w:spacing w:line="240" w:lineRule="auto"/>
              <w:jc w:val="center"/>
              <w:rPr>
                <w:rFonts w:hAnsi="宋体" w:cs="宋体"/>
                <w:color w:val="000000"/>
                <w:kern w:val="0"/>
                <w:sz w:val="22"/>
                <w:szCs w:val="22"/>
              </w:rPr>
            </w:pPr>
            <w:r>
              <w:rPr>
                <w:rFonts w:hAnsi="宋体" w:cs="宋体"/>
                <w:color w:val="000000"/>
                <w:kern w:val="0"/>
                <w:sz w:val="22"/>
                <w:szCs w:val="22"/>
              </w:rPr>
              <w:t>6</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64BB3847">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7D6AE224">
            <w:pPr>
              <w:widowControl/>
              <w:spacing w:line="240" w:lineRule="auto"/>
              <w:jc w:val="left"/>
              <w:rPr>
                <w:rFonts w:hAnsi="宋体" w:cs="宋体"/>
                <w:color w:val="000000"/>
                <w:kern w:val="0"/>
                <w:sz w:val="21"/>
                <w:szCs w:val="21"/>
                <w:highlight w:val="none"/>
              </w:rPr>
            </w:pPr>
            <w:r>
              <w:rPr>
                <w:rFonts w:hint="eastAsia" w:hAnsi="宋体" w:cs="宋体"/>
                <w:color w:val="000000"/>
                <w:kern w:val="0"/>
                <w:sz w:val="21"/>
                <w:szCs w:val="21"/>
                <w:highlight w:val="none"/>
                <w:lang w:val="en-US" w:eastAsia="zh-CN"/>
              </w:rPr>
              <w:t>6.</w:t>
            </w:r>
            <w:r>
              <w:rPr>
                <w:rFonts w:hAnsi="宋体" w:cs="宋体"/>
                <w:color w:val="000000"/>
                <w:kern w:val="0"/>
                <w:sz w:val="21"/>
                <w:szCs w:val="21"/>
                <w:highlight w:val="none"/>
              </w:rPr>
              <w:t>网络接入终端控制管理</w:t>
            </w:r>
            <w:r>
              <w:rPr>
                <w:rFonts w:hint="eastAsia" w:hAnsi="宋体" w:cs="宋体"/>
                <w:color w:val="000000"/>
                <w:kern w:val="0"/>
                <w:sz w:val="21"/>
                <w:szCs w:val="21"/>
                <w:highlight w:val="none"/>
              </w:rPr>
              <w:t>的最大容量</w:t>
            </w:r>
            <w:r>
              <w:rPr>
                <w:rFonts w:hAnsi="宋体" w:cs="宋体"/>
                <w:color w:val="000000"/>
                <w:kern w:val="0"/>
                <w:sz w:val="21"/>
                <w:szCs w:val="21"/>
                <w:highlight w:val="none"/>
              </w:rPr>
              <w:t>：≥</w:t>
            </w:r>
            <w:r>
              <w:rPr>
                <w:rFonts w:hint="eastAsia" w:hAnsi="宋体" w:cs="宋体"/>
                <w:color w:val="000000"/>
                <w:kern w:val="0"/>
                <w:sz w:val="21"/>
                <w:szCs w:val="21"/>
                <w:highlight w:val="none"/>
                <w:lang w:val="en-US" w:eastAsia="zh-CN"/>
              </w:rPr>
              <w:t>4</w:t>
            </w:r>
            <w:r>
              <w:rPr>
                <w:rFonts w:hAnsi="宋体" w:cs="宋体"/>
                <w:color w:val="000000"/>
                <w:kern w:val="0"/>
                <w:sz w:val="21"/>
                <w:szCs w:val="21"/>
                <w:highlight w:val="none"/>
              </w:rPr>
              <w:t>000台</w:t>
            </w:r>
            <w:r>
              <w:rPr>
                <w:rFonts w:hint="eastAsia" w:hAnsi="宋体" w:cs="宋体"/>
                <w:color w:val="000000"/>
                <w:kern w:val="0"/>
                <w:sz w:val="21"/>
                <w:szCs w:val="21"/>
                <w:highlight w:val="none"/>
              </w:rPr>
              <w:t>，要求配置许可数量</w:t>
            </w:r>
            <w:r>
              <w:rPr>
                <w:rFonts w:hAnsi="宋体" w:cs="宋体"/>
                <w:color w:val="000000"/>
                <w:kern w:val="0"/>
                <w:sz w:val="21"/>
                <w:szCs w:val="21"/>
                <w:highlight w:val="none"/>
              </w:rPr>
              <w:t>≥</w:t>
            </w:r>
            <w:r>
              <w:rPr>
                <w:rFonts w:hint="eastAsia" w:hAnsi="宋体" w:cs="宋体"/>
                <w:color w:val="000000"/>
                <w:kern w:val="0"/>
                <w:sz w:val="21"/>
                <w:szCs w:val="21"/>
                <w:highlight w:val="none"/>
                <w:lang w:val="en-US" w:eastAsia="zh-CN"/>
              </w:rPr>
              <w:t>2</w:t>
            </w:r>
            <w:r>
              <w:rPr>
                <w:rFonts w:hint="eastAsia" w:hAnsi="宋体" w:cs="宋体"/>
                <w:color w:val="000000"/>
                <w:kern w:val="0"/>
                <w:sz w:val="21"/>
                <w:szCs w:val="21"/>
                <w:highlight w:val="none"/>
              </w:rPr>
              <w:t>000台</w:t>
            </w:r>
            <w:r>
              <w:rPr>
                <w:rFonts w:hint="eastAsia" w:hAnsi="宋体" w:cs="宋体"/>
                <w:color w:val="000000"/>
                <w:kern w:val="0"/>
                <w:sz w:val="21"/>
                <w:szCs w:val="21"/>
                <w:highlight w:val="none"/>
                <w:lang w:eastAsia="zh-CN"/>
              </w:rPr>
              <w:t>。</w:t>
            </w:r>
            <w:r>
              <w:rPr>
                <w:rFonts w:hint="eastAsia" w:ascii="宋体" w:hAnsi="宋体"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提供加盖原厂公章的承诺函）</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087283EE">
            <w:pPr>
              <w:widowControl/>
              <w:spacing w:line="240" w:lineRule="auto"/>
              <w:jc w:val="left"/>
              <w:rPr>
                <w:rFonts w:hAnsi="宋体" w:cs="宋体"/>
                <w:color w:val="000000"/>
                <w:kern w:val="0"/>
                <w:sz w:val="21"/>
                <w:szCs w:val="21"/>
              </w:rPr>
            </w:pPr>
          </w:p>
        </w:tc>
      </w:tr>
      <w:tr w14:paraId="1E468281">
        <w:tblPrEx>
          <w:tblCellMar>
            <w:top w:w="0" w:type="dxa"/>
            <w:left w:w="108" w:type="dxa"/>
            <w:bottom w:w="0" w:type="dxa"/>
            <w:right w:w="108" w:type="dxa"/>
          </w:tblCellMar>
        </w:tblPrEx>
        <w:trPr>
          <w:trHeight w:val="27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137B2980">
            <w:pPr>
              <w:widowControl/>
              <w:spacing w:line="240" w:lineRule="auto"/>
              <w:jc w:val="center"/>
              <w:rPr>
                <w:rFonts w:hAnsi="宋体" w:cs="宋体"/>
                <w:color w:val="000000"/>
                <w:kern w:val="0"/>
                <w:sz w:val="22"/>
                <w:szCs w:val="22"/>
              </w:rPr>
            </w:pPr>
            <w:r>
              <w:rPr>
                <w:rFonts w:hAnsi="宋体" w:cs="宋体"/>
                <w:color w:val="000000"/>
                <w:kern w:val="0"/>
                <w:sz w:val="22"/>
                <w:szCs w:val="22"/>
              </w:rPr>
              <w:t>7</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76F3CE77">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0244A990">
            <w:pPr>
              <w:widowControl/>
              <w:spacing w:line="240" w:lineRule="auto"/>
              <w:jc w:val="left"/>
              <w:rPr>
                <w:rFonts w:hAnsi="宋体" w:cs="宋体"/>
                <w:color w:val="000000"/>
                <w:kern w:val="0"/>
                <w:sz w:val="21"/>
                <w:szCs w:val="21"/>
                <w:highlight w:val="none"/>
              </w:rPr>
            </w:pPr>
            <w:r>
              <w:rPr>
                <w:rFonts w:hint="eastAsia" w:hAnsi="宋体" w:cs="宋体"/>
                <w:strike w:val="0"/>
                <w:dstrike w:val="0"/>
                <w:color w:val="000000"/>
                <w:kern w:val="0"/>
                <w:sz w:val="21"/>
                <w:szCs w:val="21"/>
                <w:highlight w:val="none"/>
                <w:lang w:val="en-US" w:eastAsia="zh-CN"/>
              </w:rPr>
              <w:t>7.</w:t>
            </w:r>
            <w:r>
              <w:rPr>
                <w:rFonts w:hint="eastAsia" w:ascii="宋体" w:hAnsi="宋体" w:eastAsia="宋体" w:cs="宋体"/>
                <w:i w:val="0"/>
                <w:iCs w:val="0"/>
                <w:strike w:val="0"/>
                <w:color w:val="000000"/>
                <w:kern w:val="0"/>
                <w:sz w:val="21"/>
                <w:szCs w:val="21"/>
                <w:highlight w:val="none"/>
                <w:u w:val="none"/>
                <w:lang w:val="en-US" w:eastAsia="zh-CN" w:bidi="ar"/>
              </w:rPr>
              <w:t>支持</w:t>
            </w:r>
            <w:r>
              <w:rPr>
                <w:rFonts w:hint="eastAsia" w:ascii="宋体" w:hAnsi="宋体" w:eastAsia="宋体" w:cs="宋体"/>
                <w:i w:val="0"/>
                <w:iCs w:val="0"/>
                <w:color w:val="000000"/>
                <w:kern w:val="0"/>
                <w:sz w:val="21"/>
                <w:szCs w:val="21"/>
                <w:highlight w:val="none"/>
                <w:u w:val="none"/>
                <w:lang w:val="en-US" w:eastAsia="zh-CN" w:bidi="ar"/>
              </w:rPr>
              <w:t>记录终端至少180天的日志信息，日志信息内容包括但不限于级别、IP、内容、时间等信息</w:t>
            </w:r>
            <w:r>
              <w:rPr>
                <w:rFonts w:hint="eastAsia" w:hAnsi="宋体" w:cs="宋体"/>
                <w:i w:val="0"/>
                <w:iCs w:val="0"/>
                <w:color w:val="000000"/>
                <w:kern w:val="0"/>
                <w:sz w:val="21"/>
                <w:szCs w:val="21"/>
                <w:highlight w:val="none"/>
                <w:u w:val="none"/>
                <w:lang w:val="en-US" w:eastAsia="zh-CN" w:bidi="ar"/>
              </w:rPr>
              <w:t>，</w:t>
            </w:r>
            <w:r>
              <w:rPr>
                <w:rFonts w:hAnsi="宋体" w:cs="宋体"/>
                <w:color w:val="000000"/>
                <w:kern w:val="0"/>
                <w:sz w:val="21"/>
                <w:szCs w:val="21"/>
                <w:highlight w:val="none"/>
              </w:rPr>
              <w:t>支持提供每日/周/月入网报告及终端安全评估报告。</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1F29B662">
            <w:pPr>
              <w:widowControl/>
              <w:spacing w:line="240" w:lineRule="auto"/>
              <w:jc w:val="left"/>
              <w:rPr>
                <w:rFonts w:hAnsi="宋体" w:cs="宋体"/>
                <w:color w:val="000000"/>
                <w:kern w:val="0"/>
                <w:sz w:val="21"/>
                <w:szCs w:val="21"/>
              </w:rPr>
            </w:pPr>
          </w:p>
        </w:tc>
      </w:tr>
      <w:tr w14:paraId="4D7D6206">
        <w:tblPrEx>
          <w:tblCellMar>
            <w:top w:w="0" w:type="dxa"/>
            <w:left w:w="108" w:type="dxa"/>
            <w:bottom w:w="0" w:type="dxa"/>
            <w:right w:w="108" w:type="dxa"/>
          </w:tblCellMar>
        </w:tblPrEx>
        <w:trPr>
          <w:trHeight w:val="9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1209627D">
            <w:pPr>
              <w:widowControl/>
              <w:spacing w:line="240" w:lineRule="auto"/>
              <w:jc w:val="center"/>
              <w:rPr>
                <w:rFonts w:hAnsi="宋体" w:cs="宋体"/>
                <w:color w:val="000000"/>
                <w:kern w:val="0"/>
                <w:sz w:val="22"/>
                <w:szCs w:val="22"/>
              </w:rPr>
            </w:pPr>
            <w:r>
              <w:rPr>
                <w:rFonts w:hAnsi="宋体" w:cs="宋体"/>
                <w:color w:val="000000"/>
                <w:kern w:val="0"/>
                <w:sz w:val="22"/>
                <w:szCs w:val="22"/>
              </w:rPr>
              <w:t>8</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0D13FDCD">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52FC5147">
            <w:pPr>
              <w:widowControl/>
              <w:spacing w:line="240" w:lineRule="auto"/>
              <w:jc w:val="left"/>
              <w:rPr>
                <w:rFonts w:hint="default" w:hAnsi="宋体" w:eastAsia="宋体" w:cs="宋体"/>
                <w:color w:val="000000"/>
                <w:kern w:val="0"/>
                <w:sz w:val="21"/>
                <w:szCs w:val="21"/>
                <w:highlight w:val="none"/>
                <w:lang w:val="en-US" w:eastAsia="zh-CN"/>
              </w:rPr>
            </w:pPr>
            <w:r>
              <w:rPr>
                <w:rFonts w:hint="eastAsia" w:hAnsi="宋体" w:cs="宋体"/>
                <w:color w:val="000000"/>
                <w:kern w:val="0"/>
                <w:sz w:val="21"/>
                <w:szCs w:val="21"/>
                <w:highlight w:val="none"/>
                <w:lang w:val="en-US" w:eastAsia="zh-CN"/>
              </w:rPr>
              <w:t>8.支持端口镜像的部署方式。</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34C6E64A">
            <w:pPr>
              <w:widowControl/>
              <w:spacing w:line="240" w:lineRule="auto"/>
              <w:jc w:val="left"/>
              <w:rPr>
                <w:rFonts w:hAnsi="宋体" w:cs="宋体"/>
                <w:color w:val="000000"/>
                <w:kern w:val="0"/>
                <w:sz w:val="21"/>
                <w:szCs w:val="21"/>
              </w:rPr>
            </w:pPr>
          </w:p>
        </w:tc>
      </w:tr>
      <w:tr w14:paraId="0D5A149D">
        <w:tblPrEx>
          <w:tblCellMar>
            <w:top w:w="0" w:type="dxa"/>
            <w:left w:w="108" w:type="dxa"/>
            <w:bottom w:w="0" w:type="dxa"/>
            <w:right w:w="108" w:type="dxa"/>
          </w:tblCellMar>
        </w:tblPrEx>
        <w:trPr>
          <w:trHeight w:val="136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5E266269">
            <w:pPr>
              <w:widowControl/>
              <w:spacing w:line="240" w:lineRule="auto"/>
              <w:jc w:val="center"/>
              <w:rPr>
                <w:rFonts w:hAnsi="宋体" w:cs="宋体"/>
                <w:color w:val="000000"/>
                <w:kern w:val="0"/>
                <w:sz w:val="22"/>
                <w:szCs w:val="22"/>
              </w:rPr>
            </w:pPr>
            <w:r>
              <w:rPr>
                <w:rFonts w:hAnsi="宋体" w:cs="宋体"/>
                <w:color w:val="000000"/>
                <w:kern w:val="0"/>
                <w:sz w:val="22"/>
                <w:szCs w:val="22"/>
              </w:rPr>
              <w:t>9</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019A3502">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13F03F8F">
            <w:pPr>
              <w:widowControl/>
              <w:spacing w:line="240" w:lineRule="auto"/>
              <w:jc w:val="left"/>
              <w:rPr>
                <w:rFonts w:hAnsi="宋体" w:cs="宋体"/>
                <w:color w:val="000000"/>
                <w:kern w:val="0"/>
                <w:sz w:val="21"/>
                <w:szCs w:val="21"/>
              </w:rPr>
            </w:pPr>
            <w:r>
              <w:rPr>
                <w:rFonts w:hAnsi="宋体" w:cs="宋体"/>
                <w:color w:val="000000"/>
                <w:kern w:val="0"/>
                <w:sz w:val="21"/>
                <w:szCs w:val="21"/>
                <w:highlight w:val="none"/>
              </w:rPr>
              <w:t>9.系统应至少支持 802.1X认证与MAC认证两种主流认证机制。系统必须能够综合运用账号密码、MAC地址、终端类型识别、端口绑定等一种或多种方式，对请求接入网络的终端设备进行严格的身份认证与接入控制。</w:t>
            </w:r>
            <w:r>
              <w:rPr>
                <w:rFonts w:hint="eastAsia" w:ascii="宋体" w:hAnsi="宋体" w:eastAsia="宋体" w:cs="宋体"/>
                <w:i w:val="0"/>
                <w:iCs w:val="0"/>
                <w:color w:val="000000"/>
                <w:kern w:val="0"/>
                <w:sz w:val="21"/>
                <w:szCs w:val="21"/>
                <w:highlight w:val="none"/>
                <w:u w:val="none"/>
                <w:lang w:val="en-US" w:eastAsia="zh-CN" w:bidi="ar"/>
              </w:rPr>
              <w:t>（提供功能截图）</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02C2FC6A">
            <w:pPr>
              <w:widowControl/>
              <w:spacing w:line="240" w:lineRule="auto"/>
              <w:jc w:val="left"/>
              <w:rPr>
                <w:rFonts w:hAnsi="宋体" w:cs="宋体"/>
                <w:color w:val="000000"/>
                <w:kern w:val="0"/>
              </w:rPr>
            </w:pPr>
          </w:p>
        </w:tc>
      </w:tr>
      <w:tr w14:paraId="330F9D13">
        <w:tblPrEx>
          <w:tblCellMar>
            <w:top w:w="0" w:type="dxa"/>
            <w:left w:w="108" w:type="dxa"/>
            <w:bottom w:w="0" w:type="dxa"/>
            <w:right w:w="108" w:type="dxa"/>
          </w:tblCellMar>
        </w:tblPrEx>
        <w:trPr>
          <w:trHeight w:val="3777"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53D5794E">
            <w:pPr>
              <w:widowControl/>
              <w:spacing w:line="240" w:lineRule="auto"/>
              <w:jc w:val="center"/>
              <w:rPr>
                <w:rFonts w:hAnsi="宋体" w:cs="宋体"/>
                <w:color w:val="000000"/>
                <w:kern w:val="0"/>
                <w:sz w:val="22"/>
                <w:szCs w:val="22"/>
              </w:rPr>
            </w:pPr>
            <w:r>
              <w:rPr>
                <w:rFonts w:hAnsi="宋体" w:cs="宋体"/>
                <w:color w:val="000000"/>
                <w:kern w:val="0"/>
                <w:sz w:val="22"/>
                <w:szCs w:val="22"/>
              </w:rPr>
              <w:t>10</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3F9B8941">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4CED5196">
            <w:pPr>
              <w:widowControl/>
              <w:spacing w:line="240" w:lineRule="auto"/>
              <w:jc w:val="left"/>
              <w:rPr>
                <w:rFonts w:hAnsi="宋体" w:cs="宋体"/>
                <w:color w:val="000000"/>
                <w:kern w:val="0"/>
                <w:sz w:val="21"/>
                <w:szCs w:val="21"/>
              </w:rPr>
            </w:pPr>
            <w:r>
              <w:rPr>
                <w:rFonts w:hAnsi="宋体" w:cs="宋体"/>
                <w:color w:val="000000"/>
                <w:kern w:val="0"/>
                <w:sz w:val="21"/>
                <w:szCs w:val="21"/>
              </w:rPr>
              <w:t>10</w:t>
            </w:r>
            <w:r>
              <w:rPr>
                <w:rFonts w:hint="eastAsia" w:hAnsi="宋体" w:cs="宋体"/>
                <w:color w:val="000000"/>
                <w:kern w:val="0"/>
                <w:sz w:val="21"/>
                <w:szCs w:val="21"/>
                <w:lang w:val="en-US" w:eastAsia="zh-CN"/>
              </w:rPr>
              <w:t>.</w:t>
            </w:r>
            <w:r>
              <w:rPr>
                <w:rFonts w:hAnsi="宋体" w:cs="宋体"/>
                <w:color w:val="000000"/>
                <w:kern w:val="0"/>
                <w:sz w:val="21"/>
                <w:szCs w:val="21"/>
              </w:rPr>
              <w:t>认证方</w:t>
            </w:r>
            <w:r>
              <w:rPr>
                <w:rFonts w:hAnsi="宋体" w:cs="宋体"/>
                <w:color w:val="000000"/>
                <w:kern w:val="0"/>
                <w:sz w:val="21"/>
                <w:szCs w:val="21"/>
                <w:highlight w:val="none"/>
              </w:rPr>
              <w:t>式与策略要求</w:t>
            </w:r>
            <w:r>
              <w:rPr>
                <w:rFonts w:hint="eastAsia" w:ascii="宋体" w:hAnsi="宋体" w:eastAsia="宋体" w:cs="宋体"/>
                <w:i w:val="0"/>
                <w:iCs w:val="0"/>
                <w:color w:val="000000"/>
                <w:kern w:val="0"/>
                <w:sz w:val="21"/>
                <w:szCs w:val="21"/>
                <w:highlight w:val="none"/>
                <w:u w:val="none"/>
                <w:lang w:val="en-US" w:eastAsia="zh-CN" w:bidi="ar"/>
              </w:rPr>
              <w:t>（提供功能截图）</w:t>
            </w:r>
            <w:r>
              <w:rPr>
                <w:rFonts w:hAnsi="宋体" w:cs="宋体"/>
                <w:color w:val="000000"/>
                <w:kern w:val="0"/>
                <w:sz w:val="21"/>
                <w:szCs w:val="21"/>
                <w:highlight w:val="none"/>
              </w:rPr>
              <w:t>：</w:t>
            </w:r>
          </w:p>
          <w:p w14:paraId="475FD291">
            <w:pPr>
              <w:widowControl/>
              <w:spacing w:line="240" w:lineRule="auto"/>
              <w:jc w:val="left"/>
              <w:rPr>
                <w:rFonts w:hint="eastAsia" w:hAnsi="宋体" w:eastAsia="宋体" w:cs="宋体"/>
                <w:color w:val="000000"/>
                <w:kern w:val="0"/>
                <w:sz w:val="21"/>
                <w:szCs w:val="21"/>
                <w:lang w:eastAsia="zh-CN"/>
              </w:rPr>
            </w:pPr>
            <w:r>
              <w:rPr>
                <w:rFonts w:hAnsi="宋体" w:cs="宋体"/>
                <w:color w:val="000000"/>
                <w:kern w:val="0"/>
                <w:sz w:val="21"/>
                <w:szCs w:val="21"/>
              </w:rPr>
              <w:t>a) 系统应能智能识别终端能力，对支持802.1X协议的终端，强制采用802.1X认证协议进行授权；对不支持802.1X协议的终端，应自动采用MAC认证进行授权</w:t>
            </w:r>
            <w:r>
              <w:rPr>
                <w:rFonts w:hint="eastAsia" w:hAnsi="宋体" w:cs="宋体"/>
                <w:color w:val="000000"/>
                <w:kern w:val="0"/>
                <w:sz w:val="21"/>
                <w:szCs w:val="21"/>
                <w:lang w:eastAsia="zh-CN"/>
              </w:rPr>
              <w:t>；</w:t>
            </w:r>
          </w:p>
          <w:p w14:paraId="421DCDCE">
            <w:pPr>
              <w:widowControl/>
              <w:spacing w:line="240" w:lineRule="auto"/>
              <w:jc w:val="left"/>
              <w:rPr>
                <w:rFonts w:hint="eastAsia" w:hAnsi="宋体" w:eastAsia="宋体" w:cs="宋体"/>
                <w:color w:val="000000"/>
                <w:kern w:val="0"/>
                <w:sz w:val="21"/>
                <w:szCs w:val="21"/>
                <w:lang w:eastAsia="zh-CN"/>
              </w:rPr>
            </w:pPr>
            <w:r>
              <w:rPr>
                <w:rFonts w:hAnsi="宋体" w:cs="宋体"/>
                <w:color w:val="000000"/>
                <w:kern w:val="0"/>
                <w:sz w:val="21"/>
                <w:szCs w:val="21"/>
              </w:rPr>
              <w:t>b) 系统应实现多重因素绑定认证，能够将接入终端的用户名、密码、MAC地址、终端类型等属性，与指定的接入交换机IP地址及物理端口进行绑定，确保接入位置的确定性</w:t>
            </w:r>
            <w:r>
              <w:rPr>
                <w:rFonts w:hint="eastAsia" w:hAnsi="宋体" w:cs="宋体"/>
                <w:color w:val="000000"/>
                <w:kern w:val="0"/>
                <w:sz w:val="21"/>
                <w:szCs w:val="21"/>
                <w:lang w:eastAsia="zh-CN"/>
              </w:rPr>
              <w:t>；</w:t>
            </w:r>
          </w:p>
          <w:p w14:paraId="55B578E5">
            <w:pPr>
              <w:widowControl/>
              <w:spacing w:line="240" w:lineRule="auto"/>
              <w:jc w:val="left"/>
              <w:rPr>
                <w:rFonts w:hAnsi="宋体" w:cs="宋体"/>
                <w:color w:val="000000"/>
                <w:kern w:val="0"/>
                <w:sz w:val="21"/>
                <w:szCs w:val="21"/>
              </w:rPr>
            </w:pPr>
            <w:r>
              <w:rPr>
                <w:rFonts w:hint="eastAsia" w:hAnsi="宋体" w:cs="宋体"/>
                <w:color w:val="auto"/>
                <w:kern w:val="0"/>
                <w:sz w:val="21"/>
                <w:szCs w:val="21"/>
              </w:rPr>
              <w:t>c</w:t>
            </w:r>
            <w:r>
              <w:rPr>
                <w:rFonts w:hAnsi="宋体" w:cs="宋体"/>
                <w:color w:val="000000"/>
                <w:kern w:val="0"/>
                <w:sz w:val="21"/>
                <w:szCs w:val="21"/>
              </w:rPr>
              <w:t>)必须具备高可用性，支持主备冗余部署模式，确保认证服务不中断。</w:t>
            </w:r>
          </w:p>
          <w:p w14:paraId="2DEBD6F6">
            <w:pPr>
              <w:widowControl/>
              <w:spacing w:line="240" w:lineRule="auto"/>
              <w:jc w:val="left"/>
              <w:rPr>
                <w:rFonts w:hAnsi="宋体" w:cs="宋体"/>
                <w:color w:val="000000"/>
                <w:kern w:val="0"/>
                <w:sz w:val="21"/>
                <w:szCs w:val="21"/>
              </w:rPr>
            </w:pP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4BA2792D">
            <w:pPr>
              <w:widowControl/>
              <w:spacing w:line="240" w:lineRule="auto"/>
              <w:jc w:val="left"/>
              <w:rPr>
                <w:rFonts w:hAnsi="宋体" w:cs="宋体"/>
                <w:color w:val="000000"/>
                <w:kern w:val="0"/>
                <w:sz w:val="22"/>
                <w:szCs w:val="22"/>
              </w:rPr>
            </w:pPr>
          </w:p>
        </w:tc>
      </w:tr>
      <w:tr w14:paraId="7D938EAE">
        <w:tblPrEx>
          <w:tblCellMar>
            <w:top w:w="0" w:type="dxa"/>
            <w:left w:w="108" w:type="dxa"/>
            <w:bottom w:w="0" w:type="dxa"/>
            <w:right w:w="108" w:type="dxa"/>
          </w:tblCellMar>
        </w:tblPrEx>
        <w:trPr>
          <w:trHeight w:val="9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7909A0B0">
            <w:pPr>
              <w:widowControl/>
              <w:spacing w:line="240" w:lineRule="auto"/>
              <w:jc w:val="center"/>
              <w:rPr>
                <w:rFonts w:hAnsi="宋体" w:cs="宋体"/>
                <w:color w:val="000000"/>
                <w:kern w:val="0"/>
                <w:sz w:val="22"/>
                <w:szCs w:val="22"/>
              </w:rPr>
            </w:pPr>
            <w:r>
              <w:rPr>
                <w:rFonts w:hAnsi="宋体" w:cs="宋体"/>
                <w:color w:val="000000"/>
                <w:kern w:val="0"/>
                <w:sz w:val="22"/>
                <w:szCs w:val="22"/>
              </w:rPr>
              <w:t>11</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01668863">
            <w:pPr>
              <w:widowControl/>
              <w:spacing w:line="240" w:lineRule="auto"/>
              <w:jc w:val="left"/>
              <w:rPr>
                <w:rFonts w:hAnsi="宋体" w:cs="宋体"/>
                <w:color w:val="000000"/>
                <w:kern w:val="0"/>
                <w:sz w:val="22"/>
                <w:szCs w:val="22"/>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558AE899">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11</w:t>
            </w:r>
            <w:r>
              <w:rPr>
                <w:rFonts w:hint="eastAsia" w:hAnsi="宋体" w:cs="宋体"/>
                <w:color w:val="000000"/>
                <w:kern w:val="0"/>
                <w:sz w:val="21"/>
                <w:szCs w:val="21"/>
                <w:highlight w:val="none"/>
                <w:lang w:val="en-US" w:eastAsia="zh-CN"/>
              </w:rPr>
              <w:t>.</w:t>
            </w:r>
            <w:r>
              <w:rPr>
                <w:rFonts w:hAnsi="宋体" w:cs="宋体"/>
                <w:color w:val="000000"/>
                <w:kern w:val="0"/>
                <w:sz w:val="21"/>
                <w:szCs w:val="21"/>
                <w:highlight w:val="none"/>
              </w:rPr>
              <w:t>系统802.1X认证应满足以下具体规范</w:t>
            </w:r>
            <w:r>
              <w:rPr>
                <w:rFonts w:hint="eastAsia" w:ascii="宋体" w:hAnsi="宋体" w:eastAsia="宋体" w:cs="宋体"/>
                <w:i w:val="0"/>
                <w:iCs w:val="0"/>
                <w:color w:val="000000"/>
                <w:kern w:val="0"/>
                <w:sz w:val="21"/>
                <w:szCs w:val="21"/>
                <w:highlight w:val="none"/>
                <w:u w:val="none"/>
                <w:lang w:val="en-US" w:eastAsia="zh-CN" w:bidi="ar"/>
              </w:rPr>
              <w:t>（提供功能截图）</w:t>
            </w:r>
            <w:r>
              <w:rPr>
                <w:rFonts w:hAnsi="宋体" w:cs="宋体"/>
                <w:color w:val="000000"/>
                <w:kern w:val="0"/>
                <w:sz w:val="21"/>
                <w:szCs w:val="21"/>
                <w:highlight w:val="none"/>
              </w:rPr>
              <w:t>：</w:t>
            </w:r>
          </w:p>
          <w:p w14:paraId="57320F18">
            <w:pPr>
              <w:widowControl/>
              <w:spacing w:line="240" w:lineRule="auto"/>
              <w:jc w:val="left"/>
              <w:rPr>
                <w:rFonts w:hint="eastAsia" w:hAnsi="宋体" w:eastAsia="宋体" w:cs="宋体"/>
                <w:color w:val="000000"/>
                <w:kern w:val="0"/>
                <w:sz w:val="21"/>
                <w:szCs w:val="21"/>
                <w:highlight w:val="none"/>
                <w:lang w:eastAsia="zh-CN"/>
              </w:rPr>
            </w:pPr>
            <w:r>
              <w:rPr>
                <w:rFonts w:hint="eastAsia" w:hAnsi="宋体" w:cs="宋体"/>
                <w:color w:val="000000"/>
                <w:kern w:val="0"/>
                <w:sz w:val="21"/>
                <w:szCs w:val="21"/>
                <w:highlight w:val="none"/>
                <w:lang w:val="en-US" w:eastAsia="zh-CN"/>
              </w:rPr>
              <w:t>a</w:t>
            </w:r>
            <w:r>
              <w:rPr>
                <w:rFonts w:hAnsi="宋体" w:cs="宋体"/>
                <w:color w:val="000000"/>
                <w:kern w:val="0"/>
                <w:sz w:val="21"/>
                <w:szCs w:val="21"/>
                <w:highlight w:val="none"/>
              </w:rPr>
              <w:t>) 接口接入控制方式应采用基于MAC地址的默认控制方式</w:t>
            </w:r>
            <w:r>
              <w:rPr>
                <w:rFonts w:hint="eastAsia" w:hAnsi="宋体" w:cs="宋体"/>
                <w:color w:val="000000"/>
                <w:kern w:val="0"/>
                <w:sz w:val="21"/>
                <w:szCs w:val="21"/>
                <w:highlight w:val="none"/>
                <w:lang w:eastAsia="zh-CN"/>
              </w:rPr>
              <w:t>；</w:t>
            </w:r>
          </w:p>
          <w:p w14:paraId="7E997664">
            <w:pPr>
              <w:pStyle w:val="2"/>
              <w:ind w:left="0" w:leftChars="0" w:firstLine="0" w:firstLineChars="0"/>
              <w:rPr>
                <w:rFonts w:hint="default" w:eastAsia="宋体"/>
                <w:lang w:val="en-US" w:eastAsia="zh-CN"/>
              </w:rPr>
            </w:pPr>
            <w:r>
              <w:rPr>
                <w:rFonts w:hint="eastAsia" w:hAnsi="宋体" w:cs="宋体"/>
                <w:color w:val="000000"/>
                <w:kern w:val="0"/>
                <w:sz w:val="21"/>
                <w:szCs w:val="21"/>
                <w:highlight w:val="none"/>
                <w:lang w:val="en-US" w:eastAsia="zh-CN"/>
              </w:rPr>
              <w:t>b）支持基于终端类型、接入位置等信息对终端进行动态VLAN及ACL下发。</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3679E6AF">
            <w:pPr>
              <w:widowControl/>
              <w:spacing w:line="240" w:lineRule="auto"/>
              <w:jc w:val="left"/>
              <w:rPr>
                <w:rFonts w:hAnsi="宋体" w:cs="宋体"/>
                <w:color w:val="000000"/>
                <w:kern w:val="0"/>
                <w:sz w:val="22"/>
                <w:szCs w:val="22"/>
              </w:rPr>
            </w:pPr>
          </w:p>
        </w:tc>
      </w:tr>
      <w:tr w14:paraId="178D4267">
        <w:tblPrEx>
          <w:tblCellMar>
            <w:top w:w="0" w:type="dxa"/>
            <w:left w:w="108" w:type="dxa"/>
            <w:bottom w:w="0" w:type="dxa"/>
            <w:right w:w="108" w:type="dxa"/>
          </w:tblCellMar>
        </w:tblPrEx>
        <w:trPr>
          <w:trHeight w:val="135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20D59183">
            <w:pPr>
              <w:widowControl/>
              <w:spacing w:line="240" w:lineRule="auto"/>
              <w:jc w:val="center"/>
              <w:rPr>
                <w:rFonts w:hAnsi="宋体" w:cs="宋体"/>
                <w:color w:val="000000"/>
                <w:kern w:val="0"/>
                <w:sz w:val="22"/>
                <w:szCs w:val="22"/>
                <w:highlight w:val="none"/>
              </w:rPr>
            </w:pPr>
            <w:r>
              <w:rPr>
                <w:rFonts w:hAnsi="宋体" w:cs="宋体"/>
                <w:color w:val="000000"/>
                <w:kern w:val="0"/>
                <w:sz w:val="22"/>
                <w:szCs w:val="22"/>
                <w:highlight w:val="none"/>
              </w:rPr>
              <w:t>12</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3C3C226F">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6A01DFFA">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12</w:t>
            </w:r>
            <w:r>
              <w:rPr>
                <w:rFonts w:hint="eastAsia" w:hAnsi="宋体" w:cs="宋体"/>
                <w:color w:val="000000"/>
                <w:kern w:val="0"/>
                <w:sz w:val="21"/>
                <w:szCs w:val="21"/>
                <w:highlight w:val="none"/>
                <w:lang w:eastAsia="zh-CN"/>
              </w:rPr>
              <w:t>．</w:t>
            </w:r>
            <w:r>
              <w:rPr>
                <w:rFonts w:hAnsi="宋体" w:cs="宋体"/>
                <w:color w:val="000000"/>
                <w:kern w:val="0"/>
                <w:sz w:val="21"/>
                <w:szCs w:val="21"/>
                <w:highlight w:val="none"/>
              </w:rPr>
              <w:t>系统MAC认证应满足以下具体规范</w:t>
            </w:r>
            <w:r>
              <w:rPr>
                <w:rFonts w:hint="eastAsia" w:ascii="宋体" w:hAnsi="宋体" w:eastAsia="宋体" w:cs="宋体"/>
                <w:i w:val="0"/>
                <w:iCs w:val="0"/>
                <w:color w:val="000000"/>
                <w:kern w:val="0"/>
                <w:sz w:val="21"/>
                <w:szCs w:val="21"/>
                <w:highlight w:val="none"/>
                <w:u w:val="none"/>
                <w:lang w:val="en-US" w:eastAsia="zh-CN" w:bidi="ar"/>
              </w:rPr>
              <w:t>（提供功能截图）</w:t>
            </w:r>
            <w:r>
              <w:rPr>
                <w:rFonts w:hAnsi="宋体" w:cs="宋体"/>
                <w:color w:val="000000"/>
                <w:kern w:val="0"/>
                <w:sz w:val="21"/>
                <w:szCs w:val="21"/>
                <w:highlight w:val="none"/>
              </w:rPr>
              <w:t>：</w:t>
            </w:r>
          </w:p>
          <w:p w14:paraId="64FA69FC">
            <w:pPr>
              <w:widowControl/>
              <w:spacing w:line="240" w:lineRule="auto"/>
              <w:jc w:val="left"/>
              <w:rPr>
                <w:rFonts w:hint="eastAsia" w:hAnsi="宋体" w:eastAsia="宋体" w:cs="宋体"/>
                <w:color w:val="000000"/>
                <w:kern w:val="0"/>
                <w:sz w:val="21"/>
                <w:szCs w:val="21"/>
                <w:highlight w:val="none"/>
                <w:lang w:eastAsia="zh-CN"/>
              </w:rPr>
            </w:pPr>
            <w:r>
              <w:rPr>
                <w:rFonts w:hint="eastAsia" w:hAnsi="宋体" w:cs="宋体"/>
                <w:color w:val="000000"/>
                <w:kern w:val="0"/>
                <w:sz w:val="21"/>
                <w:szCs w:val="21"/>
                <w:highlight w:val="none"/>
                <w:lang w:val="en-US" w:eastAsia="zh-CN"/>
              </w:rPr>
              <w:t>a</w:t>
            </w:r>
            <w:r>
              <w:rPr>
                <w:rFonts w:hAnsi="宋体" w:cs="宋体"/>
                <w:color w:val="000000"/>
                <w:kern w:val="0"/>
                <w:sz w:val="21"/>
                <w:szCs w:val="21"/>
                <w:highlight w:val="none"/>
              </w:rPr>
              <w:t>) 进行MAC认证时，认证用户名格式宜直接采用终端设备的MAC地址形式</w:t>
            </w:r>
            <w:r>
              <w:rPr>
                <w:rFonts w:hint="eastAsia" w:hAnsi="宋体" w:cs="宋体"/>
                <w:color w:val="000000"/>
                <w:kern w:val="0"/>
                <w:sz w:val="21"/>
                <w:szCs w:val="21"/>
                <w:highlight w:val="none"/>
                <w:lang w:eastAsia="zh-CN"/>
              </w:rPr>
              <w:t>；</w:t>
            </w:r>
          </w:p>
          <w:p w14:paraId="75C0E586">
            <w:pPr>
              <w:widowControl/>
              <w:spacing w:line="240" w:lineRule="auto"/>
              <w:jc w:val="left"/>
              <w:rPr>
                <w:rFonts w:hAnsi="宋体" w:cs="宋体"/>
                <w:color w:val="000000"/>
                <w:kern w:val="0"/>
                <w:sz w:val="21"/>
                <w:szCs w:val="21"/>
                <w:highlight w:val="none"/>
              </w:rPr>
            </w:pPr>
            <w:r>
              <w:rPr>
                <w:rFonts w:hint="eastAsia" w:hAnsi="宋体" w:cs="宋体"/>
                <w:color w:val="000000"/>
                <w:kern w:val="0"/>
                <w:sz w:val="21"/>
                <w:szCs w:val="21"/>
                <w:highlight w:val="none"/>
                <w:lang w:val="en-US" w:eastAsia="zh-CN"/>
              </w:rPr>
              <w:t>b</w:t>
            </w:r>
            <w:r>
              <w:rPr>
                <w:rFonts w:hAnsi="宋体" w:cs="宋体"/>
                <w:color w:val="000000"/>
                <w:kern w:val="0"/>
                <w:sz w:val="21"/>
                <w:szCs w:val="21"/>
                <w:highlight w:val="none"/>
              </w:rPr>
              <w:t>) MAC认证过程中，用户密码的处理必须采用CHAP方式，以保证认证信息传输的安全性。</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043244FD">
            <w:pPr>
              <w:widowControl/>
              <w:spacing w:line="240" w:lineRule="auto"/>
              <w:jc w:val="left"/>
              <w:rPr>
                <w:rFonts w:hAnsi="宋体" w:cs="宋体"/>
                <w:color w:val="000000"/>
                <w:kern w:val="0"/>
                <w:sz w:val="22"/>
                <w:szCs w:val="22"/>
                <w:highlight w:val="none"/>
              </w:rPr>
            </w:pPr>
          </w:p>
        </w:tc>
      </w:tr>
      <w:tr w14:paraId="575ABC5E">
        <w:tblPrEx>
          <w:tblCellMar>
            <w:top w:w="0" w:type="dxa"/>
            <w:left w:w="108" w:type="dxa"/>
            <w:bottom w:w="0" w:type="dxa"/>
            <w:right w:w="108" w:type="dxa"/>
          </w:tblCellMar>
        </w:tblPrEx>
        <w:trPr>
          <w:trHeight w:val="108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21392E81">
            <w:pPr>
              <w:widowControl/>
              <w:spacing w:line="240" w:lineRule="auto"/>
              <w:jc w:val="center"/>
              <w:rPr>
                <w:rFonts w:hAnsi="宋体" w:cs="宋体"/>
                <w:color w:val="000000"/>
                <w:kern w:val="0"/>
                <w:sz w:val="22"/>
                <w:szCs w:val="22"/>
                <w:highlight w:val="none"/>
              </w:rPr>
            </w:pPr>
            <w:r>
              <w:rPr>
                <w:rFonts w:hAnsi="宋体" w:cs="宋体"/>
                <w:color w:val="000000"/>
                <w:kern w:val="0"/>
                <w:sz w:val="22"/>
                <w:szCs w:val="22"/>
                <w:highlight w:val="none"/>
              </w:rPr>
              <w:t>13</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29B9D079">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587F81FB">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w:t>
            </w:r>
            <w:r>
              <w:rPr>
                <w:rFonts w:hAnsi="宋体" w:cs="宋体"/>
                <w:color w:val="000000"/>
                <w:kern w:val="0"/>
                <w:sz w:val="22"/>
                <w:szCs w:val="22"/>
                <w:highlight w:val="none"/>
              </w:rPr>
              <w:t>3.支持设置例外</w:t>
            </w:r>
            <w:r>
              <w:rPr>
                <w:rFonts w:hint="eastAsia" w:hAnsi="宋体" w:cs="宋体"/>
                <w:color w:val="000000"/>
                <w:kern w:val="0"/>
                <w:sz w:val="22"/>
                <w:szCs w:val="22"/>
                <w:highlight w:val="none"/>
              </w:rPr>
              <w:t>IP</w:t>
            </w:r>
            <w:r>
              <w:rPr>
                <w:rFonts w:hAnsi="宋体" w:cs="宋体"/>
                <w:color w:val="000000"/>
                <w:kern w:val="0"/>
                <w:sz w:val="22"/>
                <w:szCs w:val="22"/>
                <w:highlight w:val="none"/>
              </w:rPr>
              <w:t>和例外域名，例外域名支持设置通配符域名，例外服务器和例外域名管理支持针对协议类型（TCP/UDP）和端口范围进行配置。</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2EAA53B9">
            <w:pPr>
              <w:widowControl/>
              <w:spacing w:line="240" w:lineRule="auto"/>
              <w:jc w:val="left"/>
              <w:rPr>
                <w:rFonts w:hAnsi="宋体" w:cs="宋体"/>
                <w:color w:val="000000"/>
                <w:kern w:val="0"/>
                <w:sz w:val="22"/>
                <w:szCs w:val="22"/>
                <w:highlight w:val="none"/>
              </w:rPr>
            </w:pPr>
          </w:p>
        </w:tc>
      </w:tr>
      <w:tr w14:paraId="19CAC4F4">
        <w:tblPrEx>
          <w:tblCellMar>
            <w:top w:w="0" w:type="dxa"/>
            <w:left w:w="108" w:type="dxa"/>
            <w:bottom w:w="0" w:type="dxa"/>
            <w:right w:w="108" w:type="dxa"/>
          </w:tblCellMar>
        </w:tblPrEx>
        <w:trPr>
          <w:trHeight w:val="94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0A983836">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1</w:t>
            </w:r>
            <w:r>
              <w:rPr>
                <w:rFonts w:hint="eastAsia" w:hAnsi="宋体" w:cs="宋体"/>
                <w:color w:val="000000"/>
                <w:kern w:val="0"/>
                <w:sz w:val="22"/>
                <w:szCs w:val="22"/>
                <w:highlight w:val="none"/>
                <w:lang w:val="en-US" w:eastAsia="zh-CN"/>
              </w:rPr>
              <w:t>4</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0CB11503">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007FB9B5">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w:t>
            </w:r>
            <w:r>
              <w:rPr>
                <w:rFonts w:hint="eastAsia" w:hAnsi="宋体" w:cs="宋体"/>
                <w:color w:val="000000"/>
                <w:kern w:val="0"/>
                <w:sz w:val="21"/>
                <w:szCs w:val="21"/>
                <w:highlight w:val="none"/>
                <w:lang w:val="en-US" w:eastAsia="zh-CN"/>
              </w:rPr>
              <w:t>4.</w:t>
            </w:r>
            <w:r>
              <w:rPr>
                <w:rFonts w:hAnsi="宋体" w:cs="宋体"/>
                <w:color w:val="000000"/>
                <w:kern w:val="0"/>
                <w:sz w:val="21"/>
                <w:szCs w:val="21"/>
                <w:highlight w:val="none"/>
              </w:rPr>
              <w:t>支持智能逃生判断及管理恢复机制，支持配合接入交换机灵活配置认证顺序，当</w:t>
            </w:r>
            <w:r>
              <w:rPr>
                <w:rFonts w:hint="eastAsia" w:hAnsi="宋体" w:cs="宋体"/>
                <w:color w:val="000000"/>
                <w:kern w:val="0"/>
                <w:sz w:val="21"/>
                <w:szCs w:val="21"/>
                <w:highlight w:val="none"/>
              </w:rPr>
              <w:t>设备</w:t>
            </w:r>
            <w:r>
              <w:rPr>
                <w:rFonts w:hAnsi="宋体" w:cs="宋体"/>
                <w:color w:val="000000"/>
                <w:kern w:val="0"/>
                <w:sz w:val="21"/>
                <w:szCs w:val="21"/>
                <w:highlight w:val="none"/>
              </w:rPr>
              <w:t>故障或网络异常导致远程认证不可用时，可自动调整为本地认证或无认证模式，保障已在线终端业务的连续性，避免大规模断网。</w:t>
            </w:r>
            <w:r>
              <w:rPr>
                <w:rFonts w:hint="eastAsia" w:ascii="宋体" w:hAnsi="宋体" w:eastAsia="宋体" w:cs="宋体"/>
                <w:i w:val="0"/>
                <w:iCs w:val="0"/>
                <w:color w:val="000000"/>
                <w:kern w:val="0"/>
                <w:sz w:val="21"/>
                <w:szCs w:val="21"/>
                <w:highlight w:val="none"/>
                <w:u w:val="none"/>
                <w:lang w:val="en-US" w:eastAsia="zh-CN" w:bidi="ar"/>
              </w:rPr>
              <w:t>（提供功能截图）</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3F040F46">
            <w:pPr>
              <w:widowControl/>
              <w:spacing w:line="240" w:lineRule="auto"/>
              <w:jc w:val="left"/>
              <w:rPr>
                <w:rFonts w:hAnsi="宋体" w:cs="宋体"/>
                <w:color w:val="000000"/>
                <w:kern w:val="0"/>
                <w:highlight w:val="none"/>
              </w:rPr>
            </w:pPr>
          </w:p>
        </w:tc>
      </w:tr>
      <w:tr w14:paraId="0C53CBBA">
        <w:tblPrEx>
          <w:tblCellMar>
            <w:top w:w="0" w:type="dxa"/>
            <w:left w:w="108" w:type="dxa"/>
            <w:bottom w:w="0" w:type="dxa"/>
            <w:right w:w="108" w:type="dxa"/>
          </w:tblCellMar>
        </w:tblPrEx>
        <w:trPr>
          <w:trHeight w:val="63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12F27F63">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1</w:t>
            </w:r>
            <w:r>
              <w:rPr>
                <w:rFonts w:hint="eastAsia" w:hAnsi="宋体" w:cs="宋体"/>
                <w:color w:val="000000"/>
                <w:kern w:val="0"/>
                <w:sz w:val="22"/>
                <w:szCs w:val="22"/>
                <w:highlight w:val="none"/>
                <w:lang w:val="en-US" w:eastAsia="zh-CN"/>
              </w:rPr>
              <w:t>5</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7C0DBC06">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35F321D3">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w:t>
            </w:r>
            <w:r>
              <w:rPr>
                <w:rFonts w:hint="eastAsia" w:hAnsi="宋体" w:cs="宋体"/>
                <w:color w:val="000000"/>
                <w:kern w:val="0"/>
                <w:sz w:val="21"/>
                <w:szCs w:val="21"/>
                <w:highlight w:val="none"/>
                <w:lang w:val="en-US" w:eastAsia="zh-CN"/>
              </w:rPr>
              <w:t>5.</w:t>
            </w:r>
            <w:r>
              <w:rPr>
                <w:rFonts w:hAnsi="宋体" w:cs="宋体"/>
                <w:color w:val="000000"/>
                <w:kern w:val="0"/>
                <w:sz w:val="21"/>
                <w:szCs w:val="21"/>
                <w:highlight w:val="none"/>
              </w:rPr>
              <w:t>管理页面布局及内容支持自定义，内容包括但不限于系统自身接口状态、流量等。</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4B656801">
            <w:pPr>
              <w:widowControl/>
              <w:spacing w:line="240" w:lineRule="auto"/>
              <w:jc w:val="left"/>
              <w:rPr>
                <w:rFonts w:hAnsi="宋体" w:cs="宋体"/>
                <w:color w:val="000000"/>
                <w:kern w:val="0"/>
                <w:highlight w:val="none"/>
              </w:rPr>
            </w:pPr>
          </w:p>
        </w:tc>
      </w:tr>
      <w:tr w14:paraId="6010D41D">
        <w:tblPrEx>
          <w:tblCellMar>
            <w:top w:w="0" w:type="dxa"/>
            <w:left w:w="108" w:type="dxa"/>
            <w:bottom w:w="0" w:type="dxa"/>
            <w:right w:w="108" w:type="dxa"/>
          </w:tblCellMar>
        </w:tblPrEx>
        <w:trPr>
          <w:trHeight w:val="94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05BB5E7D">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1</w:t>
            </w:r>
            <w:r>
              <w:rPr>
                <w:rFonts w:hint="eastAsia" w:hAnsi="宋体" w:cs="宋体"/>
                <w:color w:val="000000"/>
                <w:kern w:val="0"/>
                <w:sz w:val="22"/>
                <w:szCs w:val="22"/>
                <w:highlight w:val="none"/>
                <w:lang w:val="en-US" w:eastAsia="zh-CN"/>
              </w:rPr>
              <w:t>6</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00249291">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16177E26">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w:t>
            </w:r>
            <w:r>
              <w:rPr>
                <w:rFonts w:hint="eastAsia" w:hAnsi="宋体" w:cs="宋体"/>
                <w:color w:val="000000"/>
                <w:kern w:val="0"/>
                <w:sz w:val="21"/>
                <w:szCs w:val="21"/>
                <w:highlight w:val="none"/>
                <w:lang w:val="en-US" w:eastAsia="zh-CN"/>
              </w:rPr>
              <w:t>6.</w:t>
            </w:r>
            <w:r>
              <w:rPr>
                <w:rFonts w:hAnsi="宋体" w:cs="宋体"/>
                <w:color w:val="000000"/>
                <w:kern w:val="0"/>
                <w:sz w:val="21"/>
                <w:szCs w:val="21"/>
                <w:highlight w:val="none"/>
              </w:rPr>
              <w:t>支持终端设备搜索，包括但不限于IP地址、MAC地址、使用人、设备名称、资产编号、认证账号等；</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1E4F377F">
            <w:pPr>
              <w:widowControl/>
              <w:spacing w:line="240" w:lineRule="auto"/>
              <w:jc w:val="left"/>
              <w:rPr>
                <w:rFonts w:hAnsi="宋体" w:cs="宋体"/>
                <w:color w:val="000000"/>
                <w:kern w:val="0"/>
                <w:highlight w:val="none"/>
              </w:rPr>
            </w:pPr>
          </w:p>
        </w:tc>
      </w:tr>
      <w:tr w14:paraId="6D512AC0">
        <w:tblPrEx>
          <w:tblCellMar>
            <w:top w:w="0" w:type="dxa"/>
            <w:left w:w="108" w:type="dxa"/>
            <w:bottom w:w="0" w:type="dxa"/>
            <w:right w:w="108" w:type="dxa"/>
          </w:tblCellMar>
        </w:tblPrEx>
        <w:trPr>
          <w:trHeight w:val="63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00A64BCF">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1</w:t>
            </w:r>
            <w:r>
              <w:rPr>
                <w:rFonts w:hint="eastAsia" w:hAnsi="宋体" w:cs="宋体"/>
                <w:color w:val="000000"/>
                <w:kern w:val="0"/>
                <w:sz w:val="22"/>
                <w:szCs w:val="22"/>
                <w:highlight w:val="none"/>
                <w:lang w:val="en-US" w:eastAsia="zh-CN"/>
              </w:rPr>
              <w:t>7</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06B6ED90">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32C46AFB">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1</w:t>
            </w:r>
            <w:r>
              <w:rPr>
                <w:rFonts w:hint="eastAsia" w:hAnsi="宋体" w:cs="宋体"/>
                <w:color w:val="000000"/>
                <w:kern w:val="0"/>
                <w:sz w:val="21"/>
                <w:szCs w:val="21"/>
                <w:highlight w:val="none"/>
                <w:lang w:val="en-US" w:eastAsia="zh-CN"/>
              </w:rPr>
              <w:t>7.</w:t>
            </w:r>
            <w:r>
              <w:rPr>
                <w:rFonts w:hAnsi="宋体" w:cs="宋体"/>
                <w:color w:val="000000"/>
                <w:kern w:val="0"/>
                <w:sz w:val="21"/>
                <w:szCs w:val="21"/>
                <w:highlight w:val="none"/>
              </w:rPr>
              <w:t>平台支持管理员三权分立原则，包含系统管理员、安全管理员、审计管理员。</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3448F0F8">
            <w:pPr>
              <w:widowControl/>
              <w:spacing w:line="240" w:lineRule="auto"/>
              <w:jc w:val="left"/>
              <w:rPr>
                <w:rFonts w:hAnsi="宋体" w:cs="宋体"/>
                <w:color w:val="000000"/>
                <w:kern w:val="0"/>
                <w:highlight w:val="none"/>
              </w:rPr>
            </w:pPr>
          </w:p>
        </w:tc>
      </w:tr>
      <w:tr w14:paraId="1DC1C3A5">
        <w:tblPrEx>
          <w:tblCellMar>
            <w:top w:w="0" w:type="dxa"/>
            <w:left w:w="108" w:type="dxa"/>
            <w:bottom w:w="0" w:type="dxa"/>
            <w:right w:w="108" w:type="dxa"/>
          </w:tblCellMar>
        </w:tblPrEx>
        <w:trPr>
          <w:trHeight w:val="189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37E8FEC4">
            <w:pPr>
              <w:widowControl/>
              <w:spacing w:line="240" w:lineRule="auto"/>
              <w:jc w:val="center"/>
              <w:rPr>
                <w:rFonts w:hint="default" w:hAnsi="宋体" w:eastAsia="宋体" w:cs="宋体"/>
                <w:color w:val="000000"/>
                <w:kern w:val="0"/>
                <w:sz w:val="22"/>
                <w:szCs w:val="22"/>
                <w:highlight w:val="none"/>
                <w:lang w:val="en-US" w:eastAsia="zh-CN"/>
              </w:rPr>
            </w:pPr>
            <w:r>
              <w:rPr>
                <w:rFonts w:hint="eastAsia" w:hAnsi="宋体" w:cs="宋体"/>
                <w:color w:val="000000"/>
                <w:kern w:val="0"/>
                <w:sz w:val="22"/>
                <w:szCs w:val="22"/>
                <w:highlight w:val="none"/>
                <w:lang w:val="en-US" w:eastAsia="zh-CN"/>
              </w:rPr>
              <w:t>18</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0082827E">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29D4D4B8">
            <w:pPr>
              <w:widowControl/>
              <w:spacing w:line="240" w:lineRule="auto"/>
              <w:jc w:val="left"/>
              <w:rPr>
                <w:rFonts w:hAnsi="宋体" w:cs="宋体"/>
                <w:color w:val="000000"/>
                <w:kern w:val="0"/>
                <w:sz w:val="21"/>
                <w:szCs w:val="21"/>
                <w:highlight w:val="none"/>
              </w:rPr>
            </w:pPr>
            <w:r>
              <w:rPr>
                <w:rFonts w:hint="eastAsia" w:hAnsi="宋体" w:cs="宋体"/>
                <w:color w:val="000000"/>
                <w:kern w:val="0"/>
                <w:sz w:val="21"/>
                <w:szCs w:val="21"/>
                <w:highlight w:val="none"/>
                <w:lang w:val="en-US" w:eastAsia="zh-CN"/>
              </w:rPr>
              <w:t>18.</w:t>
            </w:r>
            <w:r>
              <w:rPr>
                <w:rFonts w:hAnsi="宋体" w:cs="宋体"/>
                <w:color w:val="000000"/>
                <w:kern w:val="0"/>
                <w:sz w:val="21"/>
                <w:szCs w:val="21"/>
                <w:highlight w:val="none"/>
              </w:rPr>
              <w:t>能够在拓扑图上选取设备查看其基本状态信息、设备型号、所处位置、子节点、路由表、ARP表等信息；支持在界面上提供对该网络设备进行TELNET、SSH等管理；能够在网络拓扑图上由用户自定义显示的节点类型，方便用户通过不同方式查看拓扑连接。</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64F1727B">
            <w:pPr>
              <w:widowControl/>
              <w:spacing w:line="240" w:lineRule="auto"/>
              <w:jc w:val="left"/>
              <w:rPr>
                <w:rFonts w:hAnsi="宋体" w:cs="宋体"/>
                <w:color w:val="000000"/>
                <w:kern w:val="0"/>
                <w:highlight w:val="none"/>
              </w:rPr>
            </w:pPr>
          </w:p>
        </w:tc>
      </w:tr>
      <w:tr w14:paraId="21D8AF3D">
        <w:tblPrEx>
          <w:tblCellMar>
            <w:top w:w="0" w:type="dxa"/>
            <w:left w:w="108" w:type="dxa"/>
            <w:bottom w:w="0" w:type="dxa"/>
            <w:right w:w="108" w:type="dxa"/>
          </w:tblCellMar>
        </w:tblPrEx>
        <w:trPr>
          <w:trHeight w:val="126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2D7B62C4">
            <w:pPr>
              <w:widowControl/>
              <w:spacing w:line="240" w:lineRule="auto"/>
              <w:jc w:val="center"/>
              <w:rPr>
                <w:rFonts w:hint="default" w:hAnsi="宋体" w:eastAsia="宋体" w:cs="宋体"/>
                <w:color w:val="000000"/>
                <w:kern w:val="0"/>
                <w:sz w:val="22"/>
                <w:szCs w:val="22"/>
                <w:highlight w:val="none"/>
                <w:lang w:val="en-US" w:eastAsia="zh-CN"/>
              </w:rPr>
            </w:pPr>
            <w:r>
              <w:rPr>
                <w:rFonts w:hint="eastAsia" w:hAnsi="宋体" w:cs="宋体"/>
                <w:color w:val="000000"/>
                <w:kern w:val="0"/>
                <w:sz w:val="22"/>
                <w:szCs w:val="22"/>
                <w:highlight w:val="none"/>
                <w:lang w:val="en-US" w:eastAsia="zh-CN"/>
              </w:rPr>
              <w:t>19</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7188BA2A">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255AC99B">
            <w:pPr>
              <w:widowControl/>
              <w:spacing w:line="240" w:lineRule="auto"/>
              <w:jc w:val="left"/>
              <w:rPr>
                <w:rFonts w:hAnsi="宋体" w:cs="宋体"/>
                <w:color w:val="000000"/>
                <w:kern w:val="0"/>
                <w:sz w:val="21"/>
                <w:szCs w:val="21"/>
                <w:highlight w:val="none"/>
              </w:rPr>
            </w:pPr>
            <w:r>
              <w:rPr>
                <w:rFonts w:hint="eastAsia" w:hAnsi="宋体" w:cs="宋体"/>
                <w:color w:val="000000"/>
                <w:kern w:val="0"/>
                <w:sz w:val="21"/>
                <w:szCs w:val="21"/>
                <w:highlight w:val="none"/>
                <w:lang w:val="en-US" w:eastAsia="zh-CN"/>
              </w:rPr>
              <w:t>19.</w:t>
            </w:r>
            <w:r>
              <w:rPr>
                <w:rFonts w:hAnsi="宋体" w:cs="宋体"/>
                <w:color w:val="000000"/>
                <w:kern w:val="0"/>
                <w:sz w:val="21"/>
                <w:szCs w:val="21"/>
                <w:highlight w:val="none"/>
              </w:rPr>
              <w:t>支持对可网管型交换机面板图形化展现各接口状态（类型、up、down、trunk、VLAN、状态、单/多MAC等），以及各接口下联的终端详细信息（IP、地址、MAC地址等）。</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26F50BF6">
            <w:pPr>
              <w:widowControl/>
              <w:spacing w:line="240" w:lineRule="auto"/>
              <w:jc w:val="left"/>
              <w:rPr>
                <w:rFonts w:hAnsi="宋体" w:cs="宋体"/>
                <w:color w:val="000000"/>
                <w:kern w:val="0"/>
                <w:highlight w:val="none"/>
              </w:rPr>
            </w:pPr>
          </w:p>
        </w:tc>
      </w:tr>
    </w:tbl>
    <w:p w14:paraId="611632D4">
      <w:pPr>
        <w:widowControl/>
        <w:spacing w:line="240" w:lineRule="auto"/>
        <w:jc w:val="center"/>
        <w:rPr>
          <w:rFonts w:hAnsi="宋体" w:cs="宋体"/>
          <w:color w:val="000000"/>
          <w:kern w:val="0"/>
          <w:sz w:val="22"/>
          <w:szCs w:val="22"/>
          <w:highlight w:val="none"/>
        </w:rPr>
      </w:pPr>
      <w:r>
        <w:rPr>
          <w:rFonts w:hAnsi="宋体" w:cs="宋体"/>
          <w:color w:val="000000"/>
          <w:kern w:val="0"/>
          <w:sz w:val="22"/>
          <w:szCs w:val="22"/>
          <w:highlight w:val="none"/>
        </w:rPr>
        <w:br w:type="page"/>
      </w:r>
    </w:p>
    <w:tbl>
      <w:tblPr>
        <w:tblStyle w:val="25"/>
        <w:tblW w:w="5000" w:type="pct"/>
        <w:jc w:val="center"/>
        <w:tblLayout w:type="autofit"/>
        <w:tblCellMar>
          <w:top w:w="0" w:type="dxa"/>
          <w:left w:w="108" w:type="dxa"/>
          <w:bottom w:w="0" w:type="dxa"/>
          <w:right w:w="108" w:type="dxa"/>
        </w:tblCellMar>
      </w:tblPr>
      <w:tblGrid>
        <w:gridCol w:w="624"/>
        <w:gridCol w:w="653"/>
        <w:gridCol w:w="5205"/>
        <w:gridCol w:w="2040"/>
      </w:tblGrid>
      <w:tr w14:paraId="58AB41C5">
        <w:tblPrEx>
          <w:tblCellMar>
            <w:top w:w="0" w:type="dxa"/>
            <w:left w:w="108" w:type="dxa"/>
            <w:bottom w:w="0" w:type="dxa"/>
            <w:right w:w="108" w:type="dxa"/>
          </w:tblCellMar>
        </w:tblPrEx>
        <w:trPr>
          <w:trHeight w:val="157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10C78CF5">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2</w:t>
            </w:r>
            <w:r>
              <w:rPr>
                <w:rFonts w:hint="eastAsia" w:hAnsi="宋体" w:cs="宋体"/>
                <w:color w:val="000000"/>
                <w:kern w:val="0"/>
                <w:sz w:val="22"/>
                <w:szCs w:val="22"/>
                <w:highlight w:val="none"/>
                <w:lang w:val="en-US" w:eastAsia="zh-CN"/>
              </w:rPr>
              <w:t>0</w:t>
            </w:r>
          </w:p>
        </w:tc>
        <w:tc>
          <w:tcPr>
            <w:tcW w:w="383" w:type="pct"/>
            <w:vMerge w:val="restart"/>
            <w:tcBorders>
              <w:top w:val="single" w:color="000000" w:sz="4" w:space="0"/>
              <w:left w:val="single" w:color="000000" w:sz="4" w:space="0"/>
              <w:right w:val="single" w:color="000000" w:sz="4" w:space="0"/>
            </w:tcBorders>
            <w:vAlign w:val="center"/>
          </w:tcPr>
          <w:p w14:paraId="527745A8">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4DEC0566">
            <w:pPr>
              <w:widowControl/>
              <w:numPr>
                <w:ilvl w:val="0"/>
                <w:numId w:val="0"/>
              </w:numPr>
              <w:spacing w:line="240" w:lineRule="auto"/>
              <w:jc w:val="left"/>
              <w:rPr>
                <w:rFonts w:hAnsi="宋体" w:cs="宋体"/>
                <w:color w:val="000000"/>
                <w:kern w:val="0"/>
                <w:sz w:val="21"/>
                <w:szCs w:val="21"/>
                <w:highlight w:val="none"/>
              </w:rPr>
            </w:pPr>
            <w:r>
              <w:rPr>
                <w:rFonts w:hint="eastAsia" w:hAnsi="宋体" w:cs="宋体"/>
                <w:color w:val="000000"/>
                <w:kern w:val="0"/>
                <w:sz w:val="21"/>
                <w:szCs w:val="21"/>
                <w:highlight w:val="none"/>
                <w:lang w:val="en-US" w:eastAsia="zh-CN"/>
              </w:rPr>
              <w:t>20.</w:t>
            </w:r>
            <w:r>
              <w:rPr>
                <w:rFonts w:hAnsi="宋体"/>
                <w:szCs w:val="21"/>
                <w:highlight w:val="none"/>
              </w:rPr>
              <w:t>▲</w:t>
            </w:r>
            <w:r>
              <w:rPr>
                <w:rFonts w:hAnsi="宋体" w:cs="宋体"/>
                <w:color w:val="000000"/>
                <w:kern w:val="0"/>
                <w:sz w:val="21"/>
                <w:szCs w:val="21"/>
                <w:highlight w:val="none"/>
              </w:rPr>
              <w:t>平台</w:t>
            </w:r>
            <w:r>
              <w:rPr>
                <w:rFonts w:hint="eastAsia" w:hAnsi="宋体" w:cs="宋体"/>
                <w:color w:val="000000"/>
                <w:kern w:val="0"/>
                <w:sz w:val="21"/>
                <w:szCs w:val="21"/>
                <w:highlight w:val="none"/>
                <w:lang w:val="en-US" w:eastAsia="zh-CN"/>
              </w:rPr>
              <w:t>支持</w:t>
            </w:r>
            <w:r>
              <w:rPr>
                <w:rFonts w:hAnsi="宋体" w:cs="宋体"/>
                <w:color w:val="000000"/>
                <w:kern w:val="0"/>
                <w:sz w:val="21"/>
                <w:szCs w:val="21"/>
                <w:highlight w:val="none"/>
              </w:rPr>
              <w:t>自身安全防护</w:t>
            </w:r>
            <w:r>
              <w:rPr>
                <w:rFonts w:hint="eastAsia" w:hAnsi="宋体" w:cs="宋体"/>
                <w:color w:val="000000"/>
                <w:kern w:val="0"/>
                <w:sz w:val="21"/>
                <w:szCs w:val="21"/>
                <w:highlight w:val="none"/>
                <w:lang w:val="en-US" w:eastAsia="zh-CN"/>
              </w:rPr>
              <w:t>能力</w:t>
            </w:r>
            <w:r>
              <w:rPr>
                <w:rFonts w:hint="eastAsia" w:hAnsi="宋体" w:cs="宋体"/>
                <w:color w:val="000000"/>
                <w:kern w:val="0"/>
                <w:sz w:val="21"/>
                <w:szCs w:val="21"/>
                <w:highlight w:val="none"/>
                <w:lang w:eastAsia="zh-CN"/>
              </w:rPr>
              <w:t>：</w:t>
            </w:r>
          </w:p>
          <w:p w14:paraId="22AE0319">
            <w:pPr>
              <w:widowControl/>
              <w:numPr>
                <w:ilvl w:val="0"/>
                <w:numId w:val="3"/>
              </w:numPr>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对用户身份进行标识和鉴别,身份标识具有唯一性;</w:t>
            </w:r>
          </w:p>
          <w:p w14:paraId="6FDDD70E">
            <w:pPr>
              <w:widowControl/>
              <w:numPr>
                <w:ilvl w:val="0"/>
                <w:numId w:val="3"/>
              </w:numPr>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保障身份鉴别信息在传输和存储过程中的保密性和完整性;</w:t>
            </w:r>
          </w:p>
          <w:p w14:paraId="44B80FC7">
            <w:pPr>
              <w:widowControl/>
              <w:numPr>
                <w:ilvl w:val="0"/>
                <w:numId w:val="3"/>
              </w:numPr>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使用口令鉴别方式时，提供身份鉴别信息复杂度验证功能和定期更换设置功能，并支持首次管理产品时强制修改默认口令或设置口</w:t>
            </w:r>
            <w:r>
              <w:rPr>
                <w:rFonts w:hint="eastAsia" w:hAnsi="宋体" w:cs="宋体"/>
                <w:color w:val="000000"/>
                <w:kern w:val="0"/>
                <w:sz w:val="21"/>
                <w:szCs w:val="21"/>
                <w:highlight w:val="none"/>
                <w:lang w:val="en-US" w:eastAsia="zh-CN"/>
              </w:rPr>
              <w:t>令</w:t>
            </w:r>
            <w:r>
              <w:rPr>
                <w:rFonts w:hint="eastAsia" w:hAnsi="宋体" w:cs="宋体"/>
                <w:color w:val="000000"/>
                <w:kern w:val="0"/>
                <w:sz w:val="21"/>
                <w:szCs w:val="21"/>
                <w:highlight w:val="none"/>
                <w:lang w:eastAsia="zh-CN"/>
              </w:rPr>
              <w:t>。</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644225A6">
            <w:pPr>
              <w:widowControl/>
              <w:spacing w:line="240" w:lineRule="auto"/>
              <w:jc w:val="left"/>
              <w:rPr>
                <w:rFonts w:hAnsi="宋体" w:cs="宋体"/>
                <w:color w:val="000000"/>
                <w:kern w:val="0"/>
                <w:highlight w:val="none"/>
              </w:rPr>
            </w:pPr>
          </w:p>
        </w:tc>
      </w:tr>
      <w:tr w14:paraId="5E908477">
        <w:tblPrEx>
          <w:tblCellMar>
            <w:top w:w="0" w:type="dxa"/>
            <w:left w:w="108" w:type="dxa"/>
            <w:bottom w:w="0" w:type="dxa"/>
            <w:right w:w="108" w:type="dxa"/>
          </w:tblCellMar>
        </w:tblPrEx>
        <w:trPr>
          <w:trHeight w:val="157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0E4F1684">
            <w:pPr>
              <w:widowControl/>
              <w:spacing w:line="240" w:lineRule="auto"/>
              <w:jc w:val="center"/>
              <w:rPr>
                <w:rFonts w:hint="default" w:hAnsi="宋体" w:eastAsia="宋体" w:cs="宋体"/>
                <w:color w:val="000000"/>
                <w:kern w:val="0"/>
                <w:sz w:val="22"/>
                <w:szCs w:val="22"/>
                <w:highlight w:val="none"/>
                <w:lang w:val="en-US" w:eastAsia="zh-CN"/>
              </w:rPr>
            </w:pPr>
            <w:r>
              <w:rPr>
                <w:rFonts w:hint="eastAsia" w:hAnsi="宋体" w:cs="宋体"/>
                <w:color w:val="000000"/>
                <w:kern w:val="0"/>
                <w:sz w:val="22"/>
                <w:szCs w:val="22"/>
                <w:highlight w:val="none"/>
                <w:lang w:val="en-US" w:eastAsia="zh-CN"/>
              </w:rPr>
              <w:t>21</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4C3837C2">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27FFCF64">
            <w:pPr>
              <w:widowControl/>
              <w:numPr>
                <w:ilvl w:val="0"/>
                <w:numId w:val="0"/>
              </w:numPr>
              <w:spacing w:line="240" w:lineRule="auto"/>
              <w:jc w:val="left"/>
              <w:rPr>
                <w:rFonts w:hAnsi="宋体" w:cs="宋体"/>
                <w:color w:val="000000"/>
                <w:kern w:val="0"/>
                <w:sz w:val="21"/>
                <w:szCs w:val="21"/>
                <w:highlight w:val="none"/>
              </w:rPr>
            </w:pPr>
            <w:r>
              <w:rPr>
                <w:rFonts w:hint="eastAsia" w:hAnsi="宋体" w:cs="宋体"/>
                <w:color w:val="000000"/>
                <w:kern w:val="0"/>
                <w:sz w:val="21"/>
                <w:szCs w:val="21"/>
                <w:highlight w:val="none"/>
                <w:lang w:val="en-US" w:eastAsia="zh-CN"/>
              </w:rPr>
              <w:t>21.支持</w:t>
            </w:r>
            <w:r>
              <w:rPr>
                <w:rFonts w:hAnsi="宋体" w:cs="宋体"/>
                <w:color w:val="000000"/>
                <w:kern w:val="0"/>
                <w:sz w:val="21"/>
                <w:szCs w:val="21"/>
                <w:highlight w:val="none"/>
              </w:rPr>
              <w:t>防范针对默认系统端口的恶意暴力登录，支持自定义web业务服务端口、数据库服务端口、SSH服务端口；支持管理员登录安全设置SSH登录范围、SNMP管理范围、服务器登录范围</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361C71BA">
            <w:pPr>
              <w:widowControl/>
              <w:spacing w:line="240" w:lineRule="auto"/>
              <w:jc w:val="left"/>
              <w:rPr>
                <w:rFonts w:hAnsi="宋体" w:cs="宋体"/>
                <w:color w:val="000000"/>
                <w:kern w:val="0"/>
                <w:highlight w:val="none"/>
              </w:rPr>
            </w:pPr>
          </w:p>
        </w:tc>
      </w:tr>
      <w:tr w14:paraId="484B0014">
        <w:tblPrEx>
          <w:tblCellMar>
            <w:top w:w="0" w:type="dxa"/>
            <w:left w:w="108" w:type="dxa"/>
            <w:bottom w:w="0" w:type="dxa"/>
            <w:right w:w="108" w:type="dxa"/>
          </w:tblCellMar>
        </w:tblPrEx>
        <w:trPr>
          <w:trHeight w:val="94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3D07150F">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2</w:t>
            </w:r>
            <w:r>
              <w:rPr>
                <w:rFonts w:hint="eastAsia" w:hAnsi="宋体" w:cs="宋体"/>
                <w:color w:val="000000"/>
                <w:kern w:val="0"/>
                <w:sz w:val="22"/>
                <w:szCs w:val="22"/>
                <w:highlight w:val="none"/>
                <w:lang w:val="en-US" w:eastAsia="zh-CN"/>
              </w:rPr>
              <w:t>2</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53BFA8E7">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7ABF988E">
            <w:pPr>
              <w:widowControl/>
              <w:spacing w:line="240" w:lineRule="auto"/>
              <w:rPr>
                <w:rFonts w:hAnsi="宋体" w:cs="宋体"/>
                <w:color w:val="000000"/>
                <w:kern w:val="0"/>
                <w:sz w:val="21"/>
                <w:szCs w:val="21"/>
                <w:highlight w:val="none"/>
              </w:rPr>
            </w:pPr>
            <w:r>
              <w:rPr>
                <w:rFonts w:hAnsi="宋体" w:cs="宋体"/>
                <w:color w:val="000000"/>
                <w:kern w:val="0"/>
                <w:sz w:val="21"/>
                <w:szCs w:val="21"/>
                <w:highlight w:val="none"/>
              </w:rPr>
              <w:t>2</w:t>
            </w:r>
            <w:r>
              <w:rPr>
                <w:rFonts w:hint="eastAsia" w:hAnsi="宋体" w:cs="宋体"/>
                <w:color w:val="000000"/>
                <w:kern w:val="0"/>
                <w:sz w:val="21"/>
                <w:szCs w:val="21"/>
                <w:highlight w:val="none"/>
                <w:lang w:val="en-US" w:eastAsia="zh-CN"/>
              </w:rPr>
              <w:t>2.</w:t>
            </w:r>
            <w:r>
              <w:rPr>
                <w:rFonts w:hAnsi="宋体" w:cs="宋体"/>
                <w:color w:val="000000"/>
                <w:kern w:val="0"/>
                <w:sz w:val="21"/>
                <w:szCs w:val="21"/>
                <w:highlight w:val="none"/>
              </w:rPr>
              <w:t>提供网络诊断工具，支持通过Web管理界面进行ping、抓包、traceroute、nslookup等。</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234C7C58">
            <w:pPr>
              <w:widowControl/>
              <w:spacing w:line="240" w:lineRule="auto"/>
              <w:rPr>
                <w:rFonts w:hAnsi="宋体" w:cs="宋体"/>
                <w:color w:val="000000"/>
                <w:kern w:val="0"/>
                <w:highlight w:val="none"/>
              </w:rPr>
            </w:pPr>
          </w:p>
        </w:tc>
      </w:tr>
      <w:tr w14:paraId="4EE545F1">
        <w:tblPrEx>
          <w:tblCellMar>
            <w:top w:w="0" w:type="dxa"/>
            <w:left w:w="108" w:type="dxa"/>
            <w:bottom w:w="0" w:type="dxa"/>
            <w:right w:w="108" w:type="dxa"/>
          </w:tblCellMar>
        </w:tblPrEx>
        <w:trPr>
          <w:trHeight w:val="157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004EDD61">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2</w:t>
            </w:r>
            <w:r>
              <w:rPr>
                <w:rFonts w:hint="eastAsia" w:hAnsi="宋体" w:cs="宋体"/>
                <w:color w:val="000000"/>
                <w:kern w:val="0"/>
                <w:sz w:val="22"/>
                <w:szCs w:val="22"/>
                <w:highlight w:val="none"/>
                <w:lang w:val="en-US" w:eastAsia="zh-CN"/>
              </w:rPr>
              <w:t>3</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6C8F8B1B">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59D885D7">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2</w:t>
            </w:r>
            <w:r>
              <w:rPr>
                <w:rFonts w:hint="eastAsia" w:hAnsi="宋体" w:cs="宋体"/>
                <w:color w:val="000000"/>
                <w:kern w:val="0"/>
                <w:sz w:val="21"/>
                <w:szCs w:val="21"/>
                <w:highlight w:val="none"/>
                <w:lang w:val="en-US" w:eastAsia="zh-CN"/>
              </w:rPr>
              <w:t>3.</w:t>
            </w:r>
            <w:r>
              <w:rPr>
                <w:rFonts w:hAnsi="宋体" w:cs="宋体"/>
                <w:color w:val="000000"/>
                <w:kern w:val="0"/>
                <w:sz w:val="21"/>
                <w:szCs w:val="21"/>
                <w:highlight w:val="none"/>
              </w:rPr>
              <w:t>支持快照或列表方式显示以下内容，包括但不限于视频终端、IP话机等终端设备的上线时间、阻断或放通、IP地址、认证时间、认证账户、安检规范及结果、下线时间等终端准入状态信息。</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62937B12">
            <w:pPr>
              <w:widowControl/>
              <w:spacing w:line="240" w:lineRule="auto"/>
              <w:jc w:val="left"/>
              <w:rPr>
                <w:rFonts w:hAnsi="宋体" w:cs="宋体"/>
                <w:color w:val="000000"/>
                <w:kern w:val="0"/>
                <w:highlight w:val="none"/>
              </w:rPr>
            </w:pPr>
          </w:p>
        </w:tc>
      </w:tr>
      <w:tr w14:paraId="1C72E37D">
        <w:tblPrEx>
          <w:tblCellMar>
            <w:top w:w="0" w:type="dxa"/>
            <w:left w:w="108" w:type="dxa"/>
            <w:bottom w:w="0" w:type="dxa"/>
            <w:right w:w="108" w:type="dxa"/>
          </w:tblCellMar>
        </w:tblPrEx>
        <w:trPr>
          <w:trHeight w:val="126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4CB917AD">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2</w:t>
            </w:r>
            <w:r>
              <w:rPr>
                <w:rFonts w:hint="eastAsia" w:hAnsi="宋体" w:cs="宋体"/>
                <w:color w:val="000000"/>
                <w:kern w:val="0"/>
                <w:sz w:val="22"/>
                <w:szCs w:val="22"/>
                <w:highlight w:val="none"/>
                <w:lang w:val="en-US" w:eastAsia="zh-CN"/>
              </w:rPr>
              <w:t>4</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73CE1B9D">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45065916">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2</w:t>
            </w:r>
            <w:r>
              <w:rPr>
                <w:rFonts w:hint="eastAsia" w:hAnsi="宋体" w:cs="宋体"/>
                <w:color w:val="000000"/>
                <w:kern w:val="0"/>
                <w:sz w:val="21"/>
                <w:szCs w:val="21"/>
                <w:highlight w:val="none"/>
                <w:lang w:val="en-US" w:eastAsia="zh-CN"/>
              </w:rPr>
              <w:t>4.</w:t>
            </w:r>
            <w:r>
              <w:rPr>
                <w:rFonts w:hAnsi="宋体" w:cs="宋体"/>
                <w:color w:val="000000"/>
                <w:kern w:val="0"/>
                <w:sz w:val="21"/>
                <w:szCs w:val="21"/>
                <w:highlight w:val="none"/>
              </w:rPr>
              <w:t>支持实时检测并发现接入深圳供电局现有的不同品牌的视频会议终端（现有品牌为</w:t>
            </w:r>
            <w:r>
              <w:rPr>
                <w:rFonts w:hint="eastAsia" w:hAnsi="宋体" w:cs="宋体"/>
                <w:color w:val="000000"/>
                <w:kern w:val="0"/>
                <w:sz w:val="21"/>
                <w:szCs w:val="21"/>
                <w:highlight w:val="none"/>
              </w:rPr>
              <w:t>华为</w:t>
            </w:r>
            <w:r>
              <w:rPr>
                <w:rFonts w:hAnsi="宋体" w:cs="宋体"/>
                <w:color w:val="000000"/>
                <w:kern w:val="0"/>
                <w:sz w:val="21"/>
                <w:szCs w:val="21"/>
                <w:highlight w:val="none"/>
              </w:rPr>
              <w:t>、宝利通、科达）和IP话机（现有品牌为</w:t>
            </w:r>
            <w:r>
              <w:rPr>
                <w:rFonts w:hint="eastAsia" w:hAnsi="宋体" w:cs="宋体"/>
                <w:color w:val="000000"/>
                <w:kern w:val="0"/>
                <w:sz w:val="21"/>
                <w:szCs w:val="21"/>
                <w:highlight w:val="none"/>
              </w:rPr>
              <w:t>华为、</w:t>
            </w:r>
            <w:r>
              <w:rPr>
                <w:rFonts w:hAnsi="宋体" w:cs="宋体"/>
                <w:color w:val="000000"/>
                <w:kern w:val="0"/>
                <w:sz w:val="21"/>
                <w:szCs w:val="21"/>
                <w:highlight w:val="none"/>
              </w:rPr>
              <w:t>亿联），并同时对这些终端设备进行入网管控。</w:t>
            </w:r>
            <w:r>
              <w:rPr>
                <w:rFonts w:hint="eastAsia" w:ascii="宋体" w:hAnsi="宋体" w:cs="宋体"/>
                <w:i w:val="0"/>
                <w:iCs w:val="0"/>
                <w:color w:val="000000"/>
                <w:kern w:val="0"/>
                <w:sz w:val="21"/>
                <w:szCs w:val="21"/>
                <w:highlight w:val="none"/>
                <w:u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提供加盖原厂公章的承诺函）</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1F946EFF">
            <w:pPr>
              <w:widowControl/>
              <w:spacing w:line="240" w:lineRule="auto"/>
              <w:jc w:val="left"/>
              <w:rPr>
                <w:rFonts w:hAnsi="宋体" w:cs="宋体"/>
                <w:color w:val="000000"/>
                <w:kern w:val="0"/>
                <w:highlight w:val="none"/>
              </w:rPr>
            </w:pPr>
          </w:p>
        </w:tc>
      </w:tr>
      <w:tr w14:paraId="5787526C">
        <w:tblPrEx>
          <w:tblCellMar>
            <w:top w:w="0" w:type="dxa"/>
            <w:left w:w="108" w:type="dxa"/>
            <w:bottom w:w="0" w:type="dxa"/>
            <w:right w:w="108" w:type="dxa"/>
          </w:tblCellMar>
        </w:tblPrEx>
        <w:trPr>
          <w:trHeight w:val="94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7E8DE462">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2</w:t>
            </w:r>
            <w:r>
              <w:rPr>
                <w:rFonts w:hint="eastAsia" w:hAnsi="宋体" w:cs="宋体"/>
                <w:color w:val="000000"/>
                <w:kern w:val="0"/>
                <w:sz w:val="22"/>
                <w:szCs w:val="22"/>
                <w:highlight w:val="none"/>
                <w:lang w:val="en-US" w:eastAsia="zh-CN"/>
              </w:rPr>
              <w:t>5</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247F89BA">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4BD35D71">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2</w:t>
            </w:r>
            <w:r>
              <w:rPr>
                <w:rFonts w:hint="eastAsia" w:hAnsi="宋体" w:cs="宋体"/>
                <w:color w:val="000000"/>
                <w:kern w:val="0"/>
                <w:sz w:val="21"/>
                <w:szCs w:val="21"/>
                <w:highlight w:val="none"/>
                <w:lang w:val="en-US" w:eastAsia="zh-CN"/>
              </w:rPr>
              <w:t>5.</w:t>
            </w:r>
            <w:r>
              <w:rPr>
                <w:rFonts w:hAnsi="宋体" w:cs="宋体"/>
                <w:color w:val="000000"/>
                <w:kern w:val="0"/>
                <w:sz w:val="21"/>
                <w:szCs w:val="21"/>
                <w:highlight w:val="none"/>
              </w:rPr>
              <w:t>支持自定义设备指纹规则，根据设备类型可自定义的信息至少包括：IP地址、MAC地址、操作系统等。</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06B48CB9">
            <w:pPr>
              <w:widowControl/>
              <w:spacing w:line="240" w:lineRule="auto"/>
              <w:jc w:val="left"/>
              <w:rPr>
                <w:rFonts w:hAnsi="宋体" w:cs="宋体"/>
                <w:color w:val="000000"/>
                <w:kern w:val="0"/>
                <w:highlight w:val="none"/>
              </w:rPr>
            </w:pPr>
          </w:p>
        </w:tc>
      </w:tr>
      <w:tr w14:paraId="472126BF">
        <w:tblPrEx>
          <w:tblCellMar>
            <w:top w:w="0" w:type="dxa"/>
            <w:left w:w="108" w:type="dxa"/>
            <w:bottom w:w="0" w:type="dxa"/>
            <w:right w:w="108" w:type="dxa"/>
          </w:tblCellMar>
        </w:tblPrEx>
        <w:trPr>
          <w:trHeight w:val="630"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7D71E26E">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2</w:t>
            </w:r>
            <w:r>
              <w:rPr>
                <w:rFonts w:hint="eastAsia" w:hAnsi="宋体" w:cs="宋体"/>
                <w:color w:val="000000"/>
                <w:kern w:val="0"/>
                <w:sz w:val="22"/>
                <w:szCs w:val="22"/>
                <w:highlight w:val="none"/>
                <w:lang w:val="en-US" w:eastAsia="zh-CN"/>
              </w:rPr>
              <w:t>6</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15089711">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05981975">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2</w:t>
            </w:r>
            <w:r>
              <w:rPr>
                <w:rFonts w:hint="eastAsia" w:hAnsi="宋体" w:cs="宋体"/>
                <w:color w:val="000000"/>
                <w:kern w:val="0"/>
                <w:sz w:val="21"/>
                <w:szCs w:val="21"/>
                <w:highlight w:val="none"/>
                <w:lang w:val="en-US" w:eastAsia="zh-CN"/>
              </w:rPr>
              <w:t>6.</w:t>
            </w:r>
            <w:r>
              <w:rPr>
                <w:rFonts w:hAnsi="宋体" w:cs="宋体"/>
                <w:color w:val="000000"/>
                <w:kern w:val="0"/>
                <w:sz w:val="21"/>
                <w:szCs w:val="21"/>
                <w:highlight w:val="none"/>
              </w:rPr>
              <w:t>支持系统告警、网络告警、终端告警等告警类型。</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37154C69">
            <w:pPr>
              <w:widowControl/>
              <w:spacing w:line="240" w:lineRule="auto"/>
              <w:jc w:val="left"/>
              <w:rPr>
                <w:rFonts w:hAnsi="宋体" w:cs="宋体"/>
                <w:color w:val="000000"/>
                <w:kern w:val="0"/>
                <w:highlight w:val="none"/>
              </w:rPr>
            </w:pPr>
          </w:p>
        </w:tc>
      </w:tr>
      <w:tr w14:paraId="21291756">
        <w:tblPrEx>
          <w:tblCellMar>
            <w:top w:w="0" w:type="dxa"/>
            <w:left w:w="108" w:type="dxa"/>
            <w:bottom w:w="0" w:type="dxa"/>
            <w:right w:w="108" w:type="dxa"/>
          </w:tblCellMar>
        </w:tblPrEx>
        <w:trPr>
          <w:trHeight w:val="742"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5DD8359E">
            <w:pPr>
              <w:widowControl/>
              <w:spacing w:line="240" w:lineRule="auto"/>
              <w:jc w:val="center"/>
              <w:rPr>
                <w:rFonts w:hint="eastAsia" w:hAnsi="宋体" w:eastAsia="宋体" w:cs="宋体"/>
                <w:color w:val="000000"/>
                <w:kern w:val="0"/>
                <w:sz w:val="22"/>
                <w:szCs w:val="22"/>
                <w:highlight w:val="none"/>
                <w:lang w:val="en-US" w:eastAsia="zh-CN"/>
              </w:rPr>
            </w:pPr>
            <w:r>
              <w:rPr>
                <w:rFonts w:hAnsi="宋体" w:cs="宋体"/>
                <w:color w:val="000000"/>
                <w:kern w:val="0"/>
                <w:sz w:val="22"/>
                <w:szCs w:val="22"/>
                <w:highlight w:val="none"/>
              </w:rPr>
              <w:t>2</w:t>
            </w:r>
            <w:r>
              <w:rPr>
                <w:rFonts w:hint="eastAsia" w:hAnsi="宋体" w:cs="宋体"/>
                <w:color w:val="000000"/>
                <w:kern w:val="0"/>
                <w:sz w:val="22"/>
                <w:szCs w:val="22"/>
                <w:highlight w:val="none"/>
                <w:lang w:val="en-US" w:eastAsia="zh-CN"/>
              </w:rPr>
              <w:t>7</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4A8DCC22">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3CDD171C">
            <w:pPr>
              <w:widowControl/>
              <w:spacing w:line="240" w:lineRule="auto"/>
              <w:jc w:val="left"/>
              <w:rPr>
                <w:rFonts w:hAnsi="宋体" w:cs="宋体"/>
                <w:color w:val="000000"/>
                <w:kern w:val="0"/>
                <w:sz w:val="21"/>
                <w:szCs w:val="21"/>
                <w:highlight w:val="none"/>
              </w:rPr>
            </w:pPr>
            <w:r>
              <w:rPr>
                <w:rFonts w:hint="eastAsia" w:hAnsi="宋体" w:cs="宋体"/>
                <w:color w:val="000000"/>
                <w:kern w:val="0"/>
                <w:sz w:val="21"/>
                <w:szCs w:val="21"/>
                <w:highlight w:val="none"/>
                <w:lang w:val="en-US" w:eastAsia="zh-CN"/>
              </w:rPr>
              <w:t>27.</w:t>
            </w:r>
            <w:r>
              <w:rPr>
                <w:rFonts w:hAnsi="宋体" w:cs="宋体"/>
                <w:color w:val="000000"/>
                <w:kern w:val="0"/>
                <w:sz w:val="21"/>
                <w:szCs w:val="21"/>
                <w:highlight w:val="none"/>
              </w:rPr>
              <w:t>设备可安装于标准19英寸机柜内。</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08CC5016">
            <w:pPr>
              <w:widowControl/>
              <w:spacing w:line="240" w:lineRule="auto"/>
              <w:jc w:val="left"/>
              <w:rPr>
                <w:rFonts w:hAnsi="宋体" w:cs="宋体"/>
                <w:color w:val="000000"/>
                <w:kern w:val="0"/>
                <w:highlight w:val="none"/>
              </w:rPr>
            </w:pPr>
          </w:p>
        </w:tc>
      </w:tr>
      <w:tr w14:paraId="653CD846">
        <w:tblPrEx>
          <w:tblCellMar>
            <w:top w:w="0" w:type="dxa"/>
            <w:left w:w="108" w:type="dxa"/>
            <w:bottom w:w="0" w:type="dxa"/>
            <w:right w:w="108" w:type="dxa"/>
          </w:tblCellMar>
        </w:tblPrEx>
        <w:trPr>
          <w:trHeight w:val="315" w:hRule="atLeast"/>
          <w:jc w:val="center"/>
        </w:trPr>
        <w:tc>
          <w:tcPr>
            <w:tcW w:w="366" w:type="pct"/>
            <w:tcBorders>
              <w:top w:val="single" w:color="000000" w:sz="4" w:space="0"/>
              <w:left w:val="single" w:color="000000" w:sz="4" w:space="0"/>
              <w:bottom w:val="single" w:color="000000" w:sz="4" w:space="0"/>
              <w:right w:val="single" w:color="000000" w:sz="4" w:space="0"/>
            </w:tcBorders>
            <w:noWrap/>
            <w:vAlign w:val="center"/>
          </w:tcPr>
          <w:p w14:paraId="407112B0">
            <w:pPr>
              <w:widowControl/>
              <w:spacing w:line="240" w:lineRule="auto"/>
              <w:jc w:val="center"/>
              <w:rPr>
                <w:rFonts w:hint="default" w:hAnsi="宋体" w:eastAsia="宋体" w:cs="宋体"/>
                <w:color w:val="000000"/>
                <w:kern w:val="0"/>
                <w:sz w:val="22"/>
                <w:szCs w:val="22"/>
                <w:highlight w:val="none"/>
                <w:lang w:val="en-US" w:eastAsia="zh-CN"/>
              </w:rPr>
            </w:pPr>
            <w:r>
              <w:rPr>
                <w:rFonts w:hint="eastAsia" w:hAnsi="宋体" w:cs="宋体"/>
                <w:color w:val="000000"/>
                <w:kern w:val="0"/>
                <w:sz w:val="22"/>
                <w:szCs w:val="22"/>
                <w:highlight w:val="none"/>
                <w:lang w:val="en-US" w:eastAsia="zh-CN"/>
              </w:rPr>
              <w:t>28</w:t>
            </w:r>
          </w:p>
        </w:tc>
        <w:tc>
          <w:tcPr>
            <w:tcW w:w="383" w:type="pct"/>
            <w:vMerge w:val="continue"/>
            <w:tcBorders>
              <w:top w:val="single" w:color="000000" w:sz="4" w:space="0"/>
              <w:left w:val="single" w:color="000000" w:sz="4" w:space="0"/>
              <w:bottom w:val="single" w:color="000000" w:sz="4" w:space="0"/>
              <w:right w:val="single" w:color="000000" w:sz="4" w:space="0"/>
            </w:tcBorders>
            <w:vAlign w:val="center"/>
          </w:tcPr>
          <w:p w14:paraId="4CE6B89D">
            <w:pPr>
              <w:widowControl/>
              <w:spacing w:line="240" w:lineRule="auto"/>
              <w:jc w:val="left"/>
              <w:rPr>
                <w:rFonts w:hAnsi="宋体" w:cs="宋体"/>
                <w:color w:val="000000"/>
                <w:kern w:val="0"/>
                <w:sz w:val="22"/>
                <w:szCs w:val="22"/>
                <w:highlight w:val="none"/>
              </w:rPr>
            </w:pPr>
          </w:p>
        </w:tc>
        <w:tc>
          <w:tcPr>
            <w:tcW w:w="3053" w:type="pct"/>
            <w:tcBorders>
              <w:top w:val="single" w:color="000000" w:sz="4" w:space="0"/>
              <w:left w:val="single" w:color="000000" w:sz="4" w:space="0"/>
              <w:bottom w:val="single" w:color="000000" w:sz="4" w:space="0"/>
              <w:right w:val="single" w:color="000000" w:sz="4" w:space="0"/>
            </w:tcBorders>
            <w:vAlign w:val="center"/>
          </w:tcPr>
          <w:p w14:paraId="4A452E3C">
            <w:pPr>
              <w:widowControl/>
              <w:spacing w:line="240" w:lineRule="auto"/>
              <w:jc w:val="left"/>
              <w:rPr>
                <w:rFonts w:hAnsi="宋体" w:cs="宋体"/>
                <w:color w:val="000000"/>
                <w:kern w:val="0"/>
                <w:sz w:val="21"/>
                <w:szCs w:val="21"/>
                <w:highlight w:val="none"/>
              </w:rPr>
            </w:pPr>
            <w:r>
              <w:rPr>
                <w:rFonts w:hAnsi="宋体" w:cs="宋体"/>
                <w:color w:val="000000"/>
                <w:kern w:val="0"/>
                <w:sz w:val="21"/>
                <w:szCs w:val="21"/>
                <w:highlight w:val="none"/>
              </w:rPr>
              <w:t>2</w:t>
            </w:r>
            <w:r>
              <w:rPr>
                <w:rFonts w:hint="eastAsia" w:hAnsi="宋体" w:cs="宋体"/>
                <w:color w:val="000000"/>
                <w:kern w:val="0"/>
                <w:sz w:val="21"/>
                <w:szCs w:val="21"/>
                <w:highlight w:val="none"/>
                <w:lang w:val="en-US" w:eastAsia="zh-CN"/>
              </w:rPr>
              <w:t>8.</w:t>
            </w:r>
            <w:r>
              <w:rPr>
                <w:rFonts w:hint="eastAsia" w:ascii="宋体" w:hAnsi="宋体" w:eastAsia="宋体" w:cs="宋体"/>
                <w:i w:val="0"/>
                <w:iCs w:val="0"/>
                <w:color w:val="000000"/>
                <w:kern w:val="0"/>
                <w:sz w:val="21"/>
                <w:szCs w:val="21"/>
                <w:highlight w:val="none"/>
                <w:u w:val="none"/>
                <w:lang w:val="en-US" w:eastAsia="zh-CN" w:bidi="ar"/>
              </w:rPr>
              <w:t>提供</w:t>
            </w:r>
            <w:r>
              <w:rPr>
                <w:rFonts w:hint="eastAsia" w:ascii="宋体" w:hAnsi="宋体" w:cs="宋体"/>
                <w:i w:val="0"/>
                <w:iCs w:val="0"/>
                <w:color w:val="000000"/>
                <w:kern w:val="0"/>
                <w:sz w:val="21"/>
                <w:szCs w:val="21"/>
                <w:highlight w:val="none"/>
                <w:u w:val="none"/>
                <w:lang w:val="en-US" w:eastAsia="zh-CN" w:bidi="ar"/>
              </w:rPr>
              <w:t>不少于</w:t>
            </w:r>
            <w:r>
              <w:rPr>
                <w:rFonts w:hint="eastAsia" w:hAnsi="宋体" w:cs="宋体"/>
                <w:i w:val="0"/>
                <w:iCs w:val="0"/>
                <w:color w:val="000000"/>
                <w:kern w:val="0"/>
                <w:sz w:val="21"/>
                <w:szCs w:val="21"/>
                <w:highlight w:val="none"/>
                <w:u w:val="none"/>
                <w:lang w:val="en-US" w:eastAsia="zh-CN" w:bidi="ar"/>
              </w:rPr>
              <w:t>5</w:t>
            </w:r>
            <w:r>
              <w:rPr>
                <w:rFonts w:hint="eastAsia" w:ascii="宋体" w:hAnsi="宋体" w:eastAsia="宋体" w:cs="宋体"/>
                <w:i w:val="0"/>
                <w:iCs w:val="0"/>
                <w:color w:val="000000"/>
                <w:kern w:val="0"/>
                <w:sz w:val="21"/>
                <w:szCs w:val="21"/>
                <w:highlight w:val="none"/>
                <w:u w:val="none"/>
                <w:lang w:val="en-US" w:eastAsia="zh-CN" w:bidi="ar"/>
              </w:rPr>
              <w:t>年</w:t>
            </w:r>
            <w:r>
              <w:rPr>
                <w:rFonts w:hint="eastAsia" w:ascii="宋体" w:hAnsi="宋体" w:cs="宋体"/>
                <w:i w:val="0"/>
                <w:iCs w:val="0"/>
                <w:color w:val="000000"/>
                <w:kern w:val="0"/>
                <w:sz w:val="21"/>
                <w:szCs w:val="21"/>
                <w:highlight w:val="none"/>
                <w:u w:val="none"/>
                <w:lang w:val="en-US" w:eastAsia="zh-CN" w:bidi="ar"/>
              </w:rPr>
              <w:t>质保期，质保期内</w:t>
            </w:r>
            <w:r>
              <w:rPr>
                <w:rFonts w:hint="eastAsia" w:ascii="宋体" w:hAnsi="宋体" w:eastAsia="宋体" w:cs="宋体"/>
                <w:i w:val="0"/>
                <w:iCs w:val="0"/>
                <w:color w:val="000000"/>
                <w:kern w:val="0"/>
                <w:sz w:val="21"/>
                <w:szCs w:val="21"/>
                <w:highlight w:val="none"/>
                <w:u w:val="none"/>
                <w:lang w:val="en-US" w:eastAsia="zh-CN" w:bidi="ar"/>
              </w:rPr>
              <w:t>免费软硬件原厂维护、软件升级维护及技术支持服务（含规则库、许可等各种软件限制性的授权服务）。</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（涉及原厂的要求由原厂提供加盖公章的技术服务承诺函，其他的要求由投标人提供加盖公章的技术服务承诺函）</w:t>
            </w:r>
          </w:p>
        </w:tc>
        <w:tc>
          <w:tcPr>
            <w:tcW w:w="1196" w:type="pct"/>
            <w:tcBorders>
              <w:top w:val="single" w:color="000000" w:sz="4" w:space="0"/>
              <w:left w:val="single" w:color="000000" w:sz="4" w:space="0"/>
              <w:bottom w:val="single" w:color="000000" w:sz="4" w:space="0"/>
              <w:right w:val="single" w:color="000000" w:sz="4" w:space="0"/>
            </w:tcBorders>
            <w:noWrap/>
            <w:vAlign w:val="center"/>
          </w:tcPr>
          <w:p w14:paraId="5B0B8D69">
            <w:pPr>
              <w:widowControl/>
              <w:spacing w:line="240" w:lineRule="auto"/>
              <w:jc w:val="left"/>
              <w:rPr>
                <w:rFonts w:hAnsi="宋体" w:cs="宋体"/>
                <w:color w:val="000000"/>
                <w:kern w:val="0"/>
                <w:highlight w:val="none"/>
              </w:rPr>
            </w:pPr>
          </w:p>
        </w:tc>
      </w:tr>
    </w:tbl>
    <w:p w14:paraId="767C08B7">
      <w:pPr>
        <w:sectPr>
          <w:headerReference r:id="rId8" w:type="default"/>
          <w:footerReference r:id="rId9" w:type="default"/>
          <w:pgSz w:w="11906" w:h="16838"/>
          <w:pgMar w:top="1440" w:right="1800" w:bottom="1440" w:left="1800" w:header="851" w:footer="992" w:gutter="0"/>
          <w:pgNumType w:start="1"/>
          <w:cols w:space="720" w:num="1"/>
          <w:docGrid w:type="lines" w:linePitch="312" w:charSpace="0"/>
        </w:sectPr>
      </w:pPr>
    </w:p>
    <w:p w14:paraId="7B82672C">
      <w:pPr>
        <w:pStyle w:val="3"/>
      </w:pPr>
      <w:bookmarkStart w:id="7" w:name="_Toc235809215"/>
      <w:r>
        <w:rPr>
          <w:rFonts w:hint="eastAsia"/>
        </w:rPr>
        <w:t>安全要求</w:t>
      </w:r>
      <w:bookmarkEnd w:id="7"/>
    </w:p>
    <w:p w14:paraId="54BCFFAA">
      <w:pPr>
        <w:pStyle w:val="45"/>
        <w:keepNext w:val="0"/>
        <w:keepLines w:val="0"/>
        <w:rPr>
          <w:rFonts w:hint="eastAsia" w:hAnsi="Arial"/>
        </w:rPr>
      </w:pPr>
      <w:r>
        <w:rPr>
          <w:rFonts w:hint="eastAsia" w:hAnsi="Arial"/>
        </w:rPr>
        <w:t>本项目采购产品使用的CPU和数据库等关键产品须通过中国信息安全测评中心（www.itsec.gov.cn）/国家保密科技测评中心（www.nsstec.org.cn）的安全可靠测评（相关产品在中国信息安全测评中心/国家保密科技测评中心官方网站公布的《安全可靠测评结果公告》清单中可查）；</w:t>
      </w:r>
    </w:p>
    <w:p w14:paraId="71A9002F">
      <w:pPr>
        <w:pStyle w:val="45"/>
        <w:keepNext w:val="0"/>
        <w:keepLines w:val="0"/>
        <w:rPr>
          <w:rFonts w:hint="eastAsia" w:hAnsi="Arial"/>
        </w:rPr>
      </w:pPr>
      <w:r>
        <w:rPr>
          <w:rFonts w:hint="eastAsia" w:hAnsi="Arial"/>
        </w:rPr>
        <w:t>本项目采购产品中的硬件部分，包括硬件产品所使用的CPU、内存颗粒、硬盘颗粒、网卡芯片、电源管理芯片或带外管理芯片（BMC）等各类元器件，均须满足自主可控要求；</w:t>
      </w:r>
    </w:p>
    <w:p w14:paraId="7B790CB2">
      <w:pPr>
        <w:pStyle w:val="45"/>
        <w:keepNext w:val="0"/>
        <w:keepLines w:val="0"/>
        <w:rPr>
          <w:rFonts w:hint="eastAsia" w:hAnsi="Arial"/>
        </w:rPr>
      </w:pPr>
      <w:r>
        <w:rPr>
          <w:rFonts w:hint="eastAsia" w:hAnsi="Arial"/>
        </w:rPr>
        <w:t>如涉及通用服务器采购，则要求符合《通用服务器政府采购需求标准》（最新版）；</w:t>
      </w:r>
    </w:p>
    <w:p w14:paraId="6DE91228">
      <w:pPr>
        <w:pStyle w:val="45"/>
        <w:keepNext w:val="0"/>
        <w:keepLines w:val="0"/>
        <w:rPr>
          <w:rFonts w:hint="eastAsia" w:hAnsi="Arial"/>
        </w:rPr>
      </w:pPr>
      <w:r>
        <w:rPr>
          <w:rFonts w:hint="eastAsia" w:hAnsi="Arial"/>
        </w:rPr>
        <w:t>如涉及数据库采购，则要求符合《数据库政府采购需求标准》（最新版）；</w:t>
      </w:r>
    </w:p>
    <w:p w14:paraId="216A6E5C">
      <w:pPr>
        <w:pStyle w:val="45"/>
        <w:keepNext w:val="0"/>
        <w:keepLines w:val="0"/>
        <w:rPr>
          <w:rFonts w:hint="eastAsia" w:hAnsi="Arial"/>
        </w:rPr>
      </w:pPr>
      <w:r>
        <w:rPr>
          <w:rFonts w:hint="eastAsia" w:hAnsi="Arial"/>
        </w:rPr>
        <w:t>如涉及操作系统采购，则要求符合《操作系统政府采购需求标准》（最新版）；</w:t>
      </w:r>
    </w:p>
    <w:p w14:paraId="2060E9CB">
      <w:pPr>
        <w:pStyle w:val="45"/>
        <w:keepNext w:val="0"/>
        <w:keepLines w:val="0"/>
        <w:rPr>
          <w:rFonts w:hint="eastAsia" w:hAnsi="Arial"/>
        </w:rPr>
      </w:pPr>
      <w:r>
        <w:rPr>
          <w:rFonts w:hint="eastAsia" w:hAnsi="Arial"/>
        </w:rPr>
        <w:t>注：政府采购需求标准查询：http://gks.mof.gov.cn/guizhangzhidu</w:t>
      </w:r>
      <w:r>
        <w:rPr>
          <w:rFonts w:hint="eastAsia"/>
          <w:lang w:eastAsia="zh-CN"/>
        </w:rPr>
        <w:t>；</w:t>
      </w:r>
      <w:r>
        <w:rPr>
          <w:rFonts w:hint="eastAsia" w:hAnsi="Arial"/>
        </w:rPr>
        <w:t>国家安全可靠测评公告查询：中国信息安全测评中心www.itsec.gov.cn；国家保密科技测评中心</w:t>
      </w:r>
      <w:r>
        <w:rPr>
          <w:rFonts w:hint="eastAsia" w:hAnsi="Arial"/>
        </w:rPr>
        <w:fldChar w:fldCharType="begin"/>
      </w:r>
      <w:r>
        <w:rPr>
          <w:rFonts w:hint="eastAsia" w:hAnsi="Arial"/>
        </w:rPr>
        <w:instrText xml:space="preserve"> HYPERLINK "http://www.nsstec.org.cn" </w:instrText>
      </w:r>
      <w:r>
        <w:rPr>
          <w:rFonts w:hint="eastAsia" w:hAnsi="Arial"/>
        </w:rPr>
        <w:fldChar w:fldCharType="separate"/>
      </w:r>
      <w:r>
        <w:rPr>
          <w:rFonts w:hint="eastAsia" w:hAnsi="Arial"/>
        </w:rPr>
        <w:t>www.nsstec.org.cn</w:t>
      </w:r>
      <w:r>
        <w:rPr>
          <w:rFonts w:hint="eastAsia" w:hAnsi="Arial"/>
        </w:rPr>
        <w:fldChar w:fldCharType="end"/>
      </w:r>
    </w:p>
    <w:p w14:paraId="40F5C280">
      <w:pPr>
        <w:pStyle w:val="2"/>
        <w:ind w:left="480"/>
      </w:pPr>
    </w:p>
    <w:p w14:paraId="2F33735B">
      <w:pPr>
        <w:pStyle w:val="3"/>
      </w:pPr>
      <w:bookmarkStart w:id="8" w:name="_Toc235809216"/>
      <w:r>
        <w:rPr>
          <w:rFonts w:hint="eastAsia"/>
        </w:rPr>
        <w:t>技术文件要求</w:t>
      </w:r>
      <w:bookmarkEnd w:id="8"/>
    </w:p>
    <w:p w14:paraId="63DD2F24">
      <w:pPr>
        <w:pStyle w:val="4"/>
      </w:pPr>
      <w:r>
        <w:rPr>
          <w:rFonts w:hint="eastAsia"/>
        </w:rPr>
        <w:t>技术文件范围</w:t>
      </w:r>
    </w:p>
    <w:p w14:paraId="3766640D">
      <w:pPr>
        <w:pStyle w:val="42"/>
        <w:numPr>
          <w:ilvl w:val="3"/>
          <w:numId w:val="0"/>
        </w:numPr>
      </w:pPr>
      <w:r>
        <w:rPr>
          <w:rFonts w:hint="eastAsia"/>
        </w:rPr>
        <w:t>投标方提供的技术文件包括：</w:t>
      </w:r>
    </w:p>
    <w:p w14:paraId="6E1916BE">
      <w:pPr>
        <w:pStyle w:val="43"/>
      </w:pPr>
      <w:r>
        <w:rPr>
          <w:rFonts w:hint="eastAsia"/>
        </w:rPr>
        <w:t>设备操作维护手册。</w:t>
      </w:r>
    </w:p>
    <w:p w14:paraId="538A76ED">
      <w:pPr>
        <w:pStyle w:val="43"/>
      </w:pPr>
      <w:r>
        <w:rPr>
          <w:rFonts w:hint="eastAsia"/>
        </w:rPr>
        <w:t>每次维护（包括硬件及软件）的维护报告及技术文档。</w:t>
      </w:r>
    </w:p>
    <w:p w14:paraId="02013E57">
      <w:pPr>
        <w:pStyle w:val="43"/>
      </w:pPr>
      <w:r>
        <w:rPr>
          <w:rFonts w:hint="eastAsia"/>
        </w:rPr>
        <w:t>投标方采购供货的第三方设备的技术手册及相关资料。</w:t>
      </w:r>
    </w:p>
    <w:p w14:paraId="04C133BA">
      <w:pPr>
        <w:pStyle w:val="45"/>
      </w:pPr>
      <w:r>
        <w:rPr>
          <w:rFonts w:hint="eastAsia"/>
        </w:rPr>
        <w:t>投标方应对其所提供的全部文档的准确性和完整性负责。所有由投标方采购供货的第三方设备的技术手册的准确性由投标方负责。</w:t>
      </w:r>
    </w:p>
    <w:p w14:paraId="02EA08D2">
      <w:pPr>
        <w:pStyle w:val="45"/>
      </w:pPr>
      <w:r>
        <w:rPr>
          <w:rFonts w:hint="eastAsia"/>
        </w:rPr>
        <w:t>设备应附有完整的、装订好的安装图和说明手册，随设备装箱一起运至现场。</w:t>
      </w:r>
    </w:p>
    <w:p w14:paraId="676104C5"/>
    <w:p w14:paraId="1000D5C3">
      <w:pPr>
        <w:pStyle w:val="3"/>
        <w:keepNext w:val="0"/>
        <w:keepLines w:val="0"/>
      </w:pPr>
      <w:bookmarkStart w:id="9" w:name="_Toc235809217"/>
      <w:r>
        <w:rPr>
          <w:rFonts w:hint="eastAsia"/>
        </w:rPr>
        <w:t>监造、包装、运输、安装及质量保证</w:t>
      </w:r>
      <w:bookmarkEnd w:id="9"/>
    </w:p>
    <w:p w14:paraId="0B155569">
      <w:pPr>
        <w:pStyle w:val="45"/>
        <w:keepNext w:val="0"/>
        <w:keepLines w:val="0"/>
      </w:pPr>
      <w:bookmarkStart w:id="10" w:name="_Toc296359235"/>
      <w:bookmarkStart w:id="11" w:name="_Toc296359234"/>
      <w:bookmarkStart w:id="12" w:name="_Toc296962416"/>
      <w:bookmarkStart w:id="13" w:name="_Toc240452888"/>
      <w:bookmarkStart w:id="14" w:name="_Toc296962415"/>
      <w:bookmarkStart w:id="15" w:name="_Toc289089107"/>
      <w:r>
        <w:rPr>
          <w:rFonts w:hint="eastAsia"/>
        </w:rPr>
        <w:t>设备制造完成并通过试验后应及时包装, 否则应得到切实保护, 确保其不受污损。</w:t>
      </w:r>
    </w:p>
    <w:p w14:paraId="4C7A6021">
      <w:pPr>
        <w:pStyle w:val="45"/>
        <w:keepNext w:val="0"/>
        <w:keepLines w:val="0"/>
      </w:pPr>
      <w:r>
        <w:rPr>
          <w:rFonts w:hint="eastAsia"/>
        </w:rPr>
        <w:t>所有部件经妥善包装或装箱后, 在运输过程中还应采取其他防护措施, 以免散失、损坏或被盗。</w:t>
      </w:r>
    </w:p>
    <w:p w14:paraId="0DC6BAAB">
      <w:pPr>
        <w:pStyle w:val="45"/>
        <w:keepNext w:val="0"/>
        <w:keepLines w:val="0"/>
      </w:pPr>
      <w:r>
        <w:rPr>
          <w:rFonts w:hint="eastAsia"/>
        </w:rPr>
        <w:t>在包装箱外应标明需方的订货号、发货号。</w:t>
      </w:r>
    </w:p>
    <w:p w14:paraId="1BF3DC15">
      <w:pPr>
        <w:pStyle w:val="45"/>
        <w:keepNext w:val="0"/>
        <w:keepLines w:val="0"/>
      </w:pPr>
      <w:r>
        <w:rPr>
          <w:rFonts w:hint="eastAsia"/>
        </w:rPr>
        <w:t>各种包装应能确保各零部件在运输过程中不致损坏、丢失、变形、受潮或腐蚀。</w:t>
      </w:r>
    </w:p>
    <w:p w14:paraId="754EE0AD">
      <w:pPr>
        <w:pStyle w:val="45"/>
        <w:keepNext w:val="0"/>
        <w:keepLines w:val="0"/>
      </w:pPr>
      <w:r>
        <w:rPr>
          <w:rFonts w:hint="eastAsia"/>
        </w:rPr>
        <w:t>包装箱上应有明显的包装储运图示标志(按GB/T 191-2008)。</w:t>
      </w:r>
    </w:p>
    <w:p w14:paraId="6E0E3EE3">
      <w:pPr>
        <w:pStyle w:val="45"/>
        <w:keepNext w:val="0"/>
        <w:keepLines w:val="0"/>
      </w:pPr>
      <w:r>
        <w:rPr>
          <w:rFonts w:hint="eastAsia"/>
        </w:rPr>
        <w:t>整体产品或分别运输的部件都要适合运输和装载的要求。</w:t>
      </w:r>
    </w:p>
    <w:p w14:paraId="338F75FD">
      <w:pPr>
        <w:pStyle w:val="45"/>
        <w:keepNext w:val="0"/>
        <w:keepLines w:val="0"/>
      </w:pPr>
      <w:r>
        <w:rPr>
          <w:rFonts w:hint="eastAsia"/>
        </w:rPr>
        <w:t>随产品提供的技术资料应完整无缺。</w:t>
      </w:r>
    </w:p>
    <w:p w14:paraId="21AE3790">
      <w:pPr>
        <w:pStyle w:val="45"/>
        <w:keepNext w:val="0"/>
        <w:keepLines w:val="0"/>
      </w:pPr>
      <w:r>
        <w:rPr>
          <w:rFonts w:hint="eastAsia"/>
        </w:rPr>
        <w:t>订购的新型产品除应满足本技术规范书外， 投标方还应提供产品的鉴定证书。</w:t>
      </w:r>
    </w:p>
    <w:p w14:paraId="3396622F">
      <w:pPr>
        <w:pStyle w:val="45"/>
        <w:keepNext w:val="0"/>
        <w:keepLines w:val="0"/>
      </w:pPr>
      <w:r>
        <w:rPr>
          <w:rFonts w:hint="eastAsia"/>
        </w:rPr>
        <w:t>投标方应保证制造过程中的所有工艺、材料等（包括投标方的外购件在内）均符合本技术规范书的规定。若招标方根据运行经验指定投标方提供某种外购零部件，投标方应积极配合。</w:t>
      </w:r>
    </w:p>
    <w:p w14:paraId="2B417ADE">
      <w:pPr>
        <w:pStyle w:val="45"/>
        <w:keepNext w:val="0"/>
        <w:keepLines w:val="0"/>
      </w:pPr>
      <w:r>
        <w:rPr>
          <w:rFonts w:hint="eastAsia"/>
        </w:rPr>
        <w:t>投标方应遵守本技术规范书中各条款和工作项目，并建立ISO9000、GB/T19000质量保证体系，该体系已经过国家认证并正常运转。</w:t>
      </w:r>
    </w:p>
    <w:p w14:paraId="0A136FAB">
      <w:pPr>
        <w:pStyle w:val="45"/>
        <w:keepNext w:val="0"/>
        <w:keepLines w:val="0"/>
      </w:pPr>
      <w:r>
        <w:rPr>
          <w:rFonts w:hint="eastAsia"/>
        </w:rPr>
        <w:t>柜内的各种元件应选择具有生产许可证的专业制造厂家的产品。</w:t>
      </w:r>
    </w:p>
    <w:p w14:paraId="26AF9E82">
      <w:pPr>
        <w:pStyle w:val="45"/>
        <w:keepNext w:val="0"/>
        <w:keepLines w:val="0"/>
      </w:pPr>
      <w:r>
        <w:rPr>
          <w:rFonts w:hint="eastAsia"/>
        </w:rPr>
        <w:t>质量保证期：投标方在本设备相关项目验收后，提供不低于</w:t>
      </w:r>
      <w:r>
        <w:rPr>
          <w:rFonts w:hint="eastAsia"/>
          <w:lang w:val="en-US" w:eastAsia="zh-CN"/>
        </w:rPr>
        <w:t>5年</w:t>
      </w:r>
      <w:r>
        <w:rPr>
          <w:rFonts w:hint="eastAsia"/>
        </w:rPr>
        <w:t>的质量保证期。</w:t>
      </w:r>
    </w:p>
    <w:p w14:paraId="3A609B39">
      <w:pPr>
        <w:pStyle w:val="2"/>
        <w:ind w:left="480"/>
      </w:pPr>
    </w:p>
    <w:bookmarkEnd w:id="10"/>
    <w:bookmarkEnd w:id="11"/>
    <w:bookmarkEnd w:id="12"/>
    <w:bookmarkEnd w:id="13"/>
    <w:bookmarkEnd w:id="14"/>
    <w:bookmarkEnd w:id="15"/>
    <w:p w14:paraId="272FA3D0">
      <w:pPr>
        <w:pStyle w:val="3"/>
      </w:pPr>
      <w:bookmarkStart w:id="16" w:name="_Toc235809218"/>
      <w:r>
        <w:rPr>
          <w:rFonts w:hint="eastAsia"/>
        </w:rPr>
        <w:t>双方工作安排</w:t>
      </w:r>
      <w:bookmarkEnd w:id="16"/>
    </w:p>
    <w:p w14:paraId="69AC2EB0">
      <w:pPr>
        <w:pStyle w:val="4"/>
      </w:pPr>
      <w:r>
        <w:rPr>
          <w:rFonts w:hint="eastAsia"/>
        </w:rPr>
        <w:t>招标方职责</w:t>
      </w:r>
    </w:p>
    <w:p w14:paraId="0D8804C3">
      <w:pPr>
        <w:pStyle w:val="43"/>
      </w:pPr>
      <w:r>
        <w:rPr>
          <w:rFonts w:hint="eastAsia"/>
        </w:rPr>
        <w:t>负责对本招标书进行解释。</w:t>
      </w:r>
    </w:p>
    <w:p w14:paraId="362B52C1">
      <w:pPr>
        <w:pStyle w:val="43"/>
      </w:pPr>
      <w:r>
        <w:rPr>
          <w:rFonts w:hint="eastAsia"/>
        </w:rPr>
        <w:t>招标方保留对本招标书增删、修改的权利。</w:t>
      </w:r>
    </w:p>
    <w:p w14:paraId="37128C82">
      <w:pPr>
        <w:pStyle w:val="43"/>
      </w:pPr>
      <w:r>
        <w:rPr>
          <w:rFonts w:hint="eastAsia"/>
        </w:rPr>
        <w:t>招标方有权对投标方的技术建议书的内容进行取舍。</w:t>
      </w:r>
    </w:p>
    <w:p w14:paraId="5DA51B43">
      <w:pPr>
        <w:pStyle w:val="43"/>
      </w:pPr>
      <w:r>
        <w:rPr>
          <w:rFonts w:hint="eastAsia"/>
        </w:rPr>
        <w:t>授予合同前，招标方有权要求投标方提供产品功能演示，以验证投标方投标产品满足功能要求。</w:t>
      </w:r>
    </w:p>
    <w:p w14:paraId="2213B07C">
      <w:pPr>
        <w:pStyle w:val="43"/>
      </w:pPr>
      <w:r>
        <w:rPr>
          <w:rFonts w:hint="eastAsia"/>
        </w:rPr>
        <w:t>协助投标方开展现场相关工作。</w:t>
      </w:r>
    </w:p>
    <w:p w14:paraId="68664209">
      <w:pPr>
        <w:pStyle w:val="43"/>
      </w:pPr>
      <w:r>
        <w:rPr>
          <w:rFonts w:hint="eastAsia"/>
        </w:rPr>
        <w:t>确认投标方提供的相关资料和文件。</w:t>
      </w:r>
    </w:p>
    <w:p w14:paraId="36004DEE">
      <w:pPr>
        <w:pStyle w:val="43"/>
      </w:pPr>
      <w:r>
        <w:rPr>
          <w:rFonts w:hint="eastAsia"/>
        </w:rPr>
        <w:t>负责提供现场安装的条件及必要的支持。</w:t>
      </w:r>
    </w:p>
    <w:p w14:paraId="44BA6433">
      <w:pPr>
        <w:pStyle w:val="43"/>
      </w:pPr>
      <w:r>
        <w:rPr>
          <w:rFonts w:hint="eastAsia"/>
        </w:rPr>
        <w:t>协助现场设备布置。</w:t>
      </w:r>
    </w:p>
    <w:p w14:paraId="3DA2CFF8">
      <w:pPr>
        <w:pStyle w:val="43"/>
      </w:pPr>
      <w:r>
        <w:rPr>
          <w:rFonts w:hint="eastAsia"/>
        </w:rPr>
        <w:t>组织现场验收。</w:t>
      </w:r>
    </w:p>
    <w:p w14:paraId="2A1135F6">
      <w:pPr>
        <w:pStyle w:val="4"/>
      </w:pPr>
      <w:r>
        <w:rPr>
          <w:rFonts w:hint="eastAsia"/>
        </w:rPr>
        <w:t>投标方职责</w:t>
      </w:r>
    </w:p>
    <w:p w14:paraId="714FE22D">
      <w:pPr>
        <w:pStyle w:val="43"/>
      </w:pPr>
      <w:r>
        <w:rPr>
          <w:rFonts w:hint="eastAsia"/>
        </w:rPr>
        <w:t>投标方负责提供投标范围内所有硬件设备以及这些设备之间的连接电缆和配件，并保证所提供的所有设备的质量、性能均满足要求。</w:t>
      </w:r>
    </w:p>
    <w:p w14:paraId="20A4C0F3">
      <w:pPr>
        <w:pStyle w:val="43"/>
      </w:pPr>
      <w:r>
        <w:rPr>
          <w:rFonts w:hint="eastAsia"/>
        </w:rPr>
        <w:t>提供投标设备（包括软硬件），包括设备的采购运输、验收测试、项目培训、技术支持和售后服务等相关工作内容。</w:t>
      </w:r>
    </w:p>
    <w:p w14:paraId="6B8AF3A1">
      <w:pPr>
        <w:pStyle w:val="43"/>
      </w:pPr>
      <w:r>
        <w:rPr>
          <w:rFonts w:hint="eastAsia"/>
        </w:rPr>
        <w:t>提供设备自项目现场验收后、质量保证期内的免费修理和维护服务。投标方应积极配合集成商处理现场故障。</w:t>
      </w:r>
    </w:p>
    <w:p w14:paraId="4CB16106">
      <w:pPr>
        <w:pStyle w:val="43"/>
      </w:pPr>
      <w:r>
        <w:rPr>
          <w:rFonts w:hint="eastAsia"/>
        </w:rPr>
        <w:t>提供完整的设备文档（包括硬件和软件的文档）。投标方必须对最终提供的全部技术资料的准确性负责。</w:t>
      </w:r>
    </w:p>
    <w:p w14:paraId="4BE3EEA2">
      <w:pPr>
        <w:pStyle w:val="43"/>
      </w:pPr>
      <w:r>
        <w:rPr>
          <w:rFonts w:hint="eastAsia"/>
        </w:rPr>
        <w:t>在现场验收前，投标方应负责提供本项目实施相关的稳定运行最新版本的软件，并在现场验收后的质量保证期内免费负责这些软件版本的更新。</w:t>
      </w:r>
    </w:p>
    <w:p w14:paraId="02469353">
      <w:pPr>
        <w:pStyle w:val="43"/>
      </w:pPr>
      <w:r>
        <w:rPr>
          <w:rFonts w:hint="eastAsia"/>
        </w:rPr>
        <w:t>负责承担现场验收相关事宜，编写相关验收大纲。</w:t>
      </w:r>
    </w:p>
    <w:p w14:paraId="688E7BCA">
      <w:pPr>
        <w:pStyle w:val="43"/>
      </w:pPr>
      <w:r>
        <w:rPr>
          <w:rFonts w:hint="eastAsia"/>
        </w:rPr>
        <w:t>负责招标方相关人员的现场培训工作。</w:t>
      </w:r>
    </w:p>
    <w:p w14:paraId="3D2FEDC5">
      <w:pPr>
        <w:pStyle w:val="43"/>
      </w:pPr>
      <w:r>
        <w:rPr>
          <w:rFonts w:hint="eastAsia"/>
        </w:rPr>
        <w:t>负责招标方有关人员在投标方所在地的设计联络会、培训及验收工作。</w:t>
      </w:r>
    </w:p>
    <w:p w14:paraId="72C172EF">
      <w:pPr>
        <w:pStyle w:val="4"/>
      </w:pPr>
      <w:r>
        <w:rPr>
          <w:rFonts w:hint="eastAsia"/>
        </w:rPr>
        <w:t>项目管理</w:t>
      </w:r>
    </w:p>
    <w:p w14:paraId="026328E6">
      <w:pPr>
        <w:ind w:firstLine="480" w:firstLineChars="200"/>
      </w:pPr>
      <w:r>
        <w:rPr>
          <w:rFonts w:hint="eastAsia"/>
        </w:rPr>
        <w:t>合同签订后，投标方应指定项目经理，负责协调投标方在工程全过程的各项工作，如工程进度、设计制造、图纸文件、制造确认、包装运输、现场安装、调试验收等。</w:t>
      </w:r>
    </w:p>
    <w:p w14:paraId="3124AC96">
      <w:pPr>
        <w:pStyle w:val="4"/>
      </w:pPr>
      <w:r>
        <w:rPr>
          <w:rFonts w:hint="eastAsia"/>
        </w:rPr>
        <w:t>设计联络与培训</w:t>
      </w:r>
    </w:p>
    <w:p w14:paraId="66FDD6B3">
      <w:pPr>
        <w:pStyle w:val="43"/>
      </w:pPr>
      <w:r>
        <w:rPr>
          <w:rFonts w:hint="eastAsia"/>
        </w:rPr>
        <w:t>设计联络</w:t>
      </w:r>
    </w:p>
    <w:p w14:paraId="33228A90">
      <w:pPr>
        <w:pStyle w:val="42"/>
      </w:pPr>
      <w:r>
        <w:rPr>
          <w:rFonts w:hint="eastAsia"/>
        </w:rPr>
        <w:t>为审查和确认相关系统的设计方案，确定各互联系统软硬件接口界面，交换必需的设计配合资料，协调工程进度，便于合同按期执行，在系统建设过程中招标方需召开多次设计联络会进行设计确认。计划在投标方所在地召开1次，在招标方所在地根据需要可进行多次。</w:t>
      </w:r>
    </w:p>
    <w:p w14:paraId="4F2A819D">
      <w:pPr>
        <w:pStyle w:val="42"/>
      </w:pPr>
      <w:r>
        <w:rPr>
          <w:rFonts w:hint="eastAsia"/>
        </w:rPr>
        <w:t>设计联络会的内容如下：</w:t>
      </w:r>
    </w:p>
    <w:p w14:paraId="2CBB52EE">
      <w:pPr>
        <w:ind w:firstLine="480" w:firstLineChars="200"/>
      </w:pPr>
      <w:r>
        <w:rPr>
          <w:rFonts w:hint="eastAsia"/>
        </w:rPr>
        <w:t>讨论确定相关系统的具体功能规范。</w:t>
      </w:r>
    </w:p>
    <w:p w14:paraId="296947B5">
      <w:pPr>
        <w:ind w:firstLine="480" w:firstLineChars="200"/>
      </w:pPr>
      <w:r>
        <w:rPr>
          <w:rFonts w:hint="eastAsia"/>
        </w:rPr>
        <w:t>讨论确定相关系统建设的实施方案和安装调试、验收进度计划。</w:t>
      </w:r>
    </w:p>
    <w:p w14:paraId="46F0BD06">
      <w:pPr>
        <w:ind w:firstLine="480" w:firstLineChars="200"/>
      </w:pPr>
      <w:r>
        <w:rPr>
          <w:rFonts w:hint="eastAsia"/>
        </w:rPr>
        <w:t>讨论确定设备现场安装要求和现场验收（SAT）细则。</w:t>
      </w:r>
    </w:p>
    <w:p w14:paraId="1C9079F4">
      <w:pPr>
        <w:ind w:firstLine="480" w:firstLineChars="200"/>
      </w:pPr>
      <w:r>
        <w:rPr>
          <w:rFonts w:hint="eastAsia"/>
        </w:rPr>
        <w:t>检查、确认投标方提供的技术资料和图纸。</w:t>
      </w:r>
    </w:p>
    <w:p w14:paraId="6DA35942">
      <w:pPr>
        <w:ind w:firstLine="480" w:firstLineChars="200"/>
      </w:pPr>
      <w:r>
        <w:rPr>
          <w:rFonts w:hint="eastAsia"/>
        </w:rPr>
        <w:t>讨论、确定培训计划（包括课程安排、教材、进度）。</w:t>
      </w:r>
    </w:p>
    <w:p w14:paraId="2EA42E17">
      <w:pPr>
        <w:ind w:firstLine="480" w:firstLineChars="200"/>
      </w:pPr>
      <w:r>
        <w:rPr>
          <w:rFonts w:hint="eastAsia"/>
        </w:rPr>
        <w:t>其他有关事项。</w:t>
      </w:r>
    </w:p>
    <w:p w14:paraId="6B88FE98">
      <w:pPr>
        <w:pStyle w:val="42"/>
      </w:pPr>
      <w:r>
        <w:rPr>
          <w:rFonts w:hint="eastAsia"/>
        </w:rPr>
        <w:t>投标方应在设计联络会召开前2周，向招标方提交需要确认的技术资料和图纸。</w:t>
      </w:r>
    </w:p>
    <w:p w14:paraId="019C100C">
      <w:pPr>
        <w:pStyle w:val="43"/>
      </w:pPr>
      <w:r>
        <w:rPr>
          <w:rFonts w:hint="eastAsia"/>
        </w:rPr>
        <w:t>培训</w:t>
      </w:r>
    </w:p>
    <w:p w14:paraId="5B205587">
      <w:pPr>
        <w:pStyle w:val="42"/>
      </w:pPr>
      <w:r>
        <w:rPr>
          <w:rFonts w:hint="eastAsia"/>
        </w:rPr>
        <w:t>投标方应由资深设备专家为招标方的技术人员开设现场培训课程。招标方的技术人员应在设备安装调试、运行维护等各方面得到培训，熟悉和掌握运行、检查、修理和维护相关设备并掌握软件开发工具。</w:t>
      </w:r>
    </w:p>
    <w:p w14:paraId="027E0C97">
      <w:pPr>
        <w:pStyle w:val="42"/>
      </w:pPr>
      <w:r>
        <w:rPr>
          <w:rFonts w:hint="eastAsia"/>
        </w:rPr>
        <w:t>投标方应向受训人员提供技术资料、图纸、参考材料、培训手册等；还应提供测试设备、工具和安全设备，以及其它必需品和工作场地。</w:t>
      </w:r>
    </w:p>
    <w:p w14:paraId="38B5B50D">
      <w:pPr>
        <w:pStyle w:val="42"/>
      </w:pPr>
      <w:r>
        <w:rPr>
          <w:rFonts w:hint="eastAsia"/>
        </w:rPr>
        <w:t>投标方应提出对受训者最为有利的培训计划（包括培训时间、地点、内容）。</w:t>
      </w:r>
    </w:p>
    <w:p w14:paraId="2DEF9668">
      <w:pPr>
        <w:pStyle w:val="42"/>
      </w:pPr>
      <w:r>
        <w:rPr>
          <w:rFonts w:hint="eastAsia"/>
        </w:rPr>
        <w:t>投标方应向招标方提交培训时间表和课程表，并制定培训大纲，培训大纲和计划应提交招标方确认，并根据招标方实际运行需求进行修改。</w:t>
      </w:r>
    </w:p>
    <w:p w14:paraId="5B69E6BA">
      <w:pPr>
        <w:pStyle w:val="4"/>
      </w:pPr>
      <w:r>
        <w:rPr>
          <w:rFonts w:hint="eastAsia"/>
        </w:rPr>
        <w:t>现场服务及售后服务</w:t>
      </w:r>
    </w:p>
    <w:p w14:paraId="08C54A56">
      <w:pPr>
        <w:pStyle w:val="43"/>
      </w:pPr>
      <w:r>
        <w:rPr>
          <w:rFonts w:hint="eastAsia"/>
        </w:rPr>
        <w:t>投标方应派代表到现场指导安装、调试和运行，并负责解决合同设备制造及性能等方面的有关问题，详细解答合同范围内招标方提出的问题。</w:t>
      </w:r>
    </w:p>
    <w:p w14:paraId="13C173C7">
      <w:pPr>
        <w:pStyle w:val="43"/>
      </w:pPr>
      <w:r>
        <w:rPr>
          <w:rFonts w:hint="eastAsia"/>
        </w:rPr>
        <w:t>在产品质保期内，因制造质量</w:t>
      </w:r>
      <w:r>
        <w:rPr>
          <w:rFonts w:hint="eastAsia"/>
          <w:lang w:val="en-US" w:eastAsia="zh-CN"/>
        </w:rPr>
        <w:t>出现</w:t>
      </w:r>
      <w:r>
        <w:rPr>
          <w:rFonts w:hint="eastAsia"/>
        </w:rPr>
        <w:t>问题的设备，由投标方负责修理或更换。对非投标方责任造成的设备损坏，投标方有优先提供配件和修理的义务。</w:t>
      </w:r>
    </w:p>
    <w:p w14:paraId="7F83450C">
      <w:pPr>
        <w:pStyle w:val="43"/>
      </w:pPr>
      <w:r>
        <w:rPr>
          <w:rFonts w:hint="eastAsia"/>
        </w:rPr>
        <w:t>对招标方选购的与本合同设备有关的配套设备，投标方有提供技术配合的义务，并不由此而增加任何费用。</w:t>
      </w:r>
    </w:p>
    <w:p w14:paraId="69FCE08E">
      <w:pPr>
        <w:pStyle w:val="43"/>
      </w:pPr>
      <w:r>
        <w:rPr>
          <w:rFonts w:hint="eastAsia"/>
        </w:rPr>
        <w:t>售后服务要求</w:t>
      </w:r>
    </w:p>
    <w:p w14:paraId="253FA9E3">
      <w:pPr>
        <w:ind w:firstLine="480" w:firstLineChars="200"/>
        <w:rPr>
          <w:rFonts w:hint="eastAsia"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提供不少于5年质保期，质保期内免费软硬件原厂维护、软件升级维护及技术支持服务（含规则库、许可等各种软件限制性的授权服务）。</w:t>
      </w:r>
    </w:p>
    <w:p w14:paraId="16653E70">
      <w:pPr>
        <w:ind w:firstLine="480" w:firstLineChars="200"/>
        <w:rPr>
          <w:rFonts w:hint="eastAsia"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在承诺的质量保证期内，投标方应提供7×24小时的技术支持服务，制定相对固定的技术负责人及联络电话、传真号码、e-mail地址等。</w:t>
      </w:r>
    </w:p>
    <w:p w14:paraId="4519016A">
      <w:pPr>
        <w:ind w:firstLine="480" w:firstLineChars="200"/>
        <w:rPr>
          <w:rFonts w:hint="eastAsia"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质保期内软硬件故障时，投标方必须在用户提出维护要求的4小时内作出响应，所提供的替代硬件设备的性能应等于或高于原产品的性能，48小时内故障应得到解决。</w:t>
      </w:r>
    </w:p>
    <w:p w14:paraId="6B581838">
      <w:pPr>
        <w:pStyle w:val="3"/>
      </w:pPr>
      <w:bookmarkStart w:id="17" w:name="_Toc235809219"/>
      <w:r>
        <w:rPr>
          <w:rFonts w:hint="eastAsia"/>
        </w:rPr>
        <w:t>备品备件及主要工器具</w:t>
      </w:r>
      <w:bookmarkEnd w:id="17"/>
    </w:p>
    <w:p w14:paraId="2DA61EF2">
      <w:pPr>
        <w:ind w:firstLine="480" w:firstLineChars="200"/>
      </w:pPr>
      <w:r>
        <w:rPr>
          <w:rFonts w:hint="eastAsia"/>
        </w:rPr>
        <w:t>投标方应根据自身设备情况，向招标方提供必要的备品备件和安装、运行、检修所需的专用工具，包括专用调试、测试仪表等设备，供招标方选择。</w:t>
      </w:r>
    </w:p>
    <w:p w14:paraId="58FDF477">
      <w:pPr>
        <w:pStyle w:val="4"/>
      </w:pPr>
      <w:r>
        <w:rPr>
          <w:rFonts w:hint="eastAsia"/>
        </w:rPr>
        <w:t>备品备件</w:t>
      </w:r>
    </w:p>
    <w:p w14:paraId="21986F2B">
      <w:pPr>
        <w:pStyle w:val="43"/>
      </w:pPr>
      <w:r>
        <w:rPr>
          <w:rFonts w:hint="eastAsia"/>
        </w:rPr>
        <w:t>投标方应保证备品备件长期稳定的供货。对主要备品备件及与其兼容的插件替代品，其供货期至少为设备验收后五年或该设备在市场停销后五年。当投标方决定中断生产某些组件或设备时，应预先告知招标方，以便招标方增加这些设备的备品备件。投标方应在该期限内向招标方提供最优惠的价格，以满足招标方的购买要求。</w:t>
      </w:r>
    </w:p>
    <w:p w14:paraId="6FED9AB6">
      <w:pPr>
        <w:pStyle w:val="43"/>
      </w:pPr>
      <w:r>
        <w:rPr>
          <w:rFonts w:hint="eastAsia"/>
        </w:rPr>
        <w:t>投标方应对所提供设备联调及运维所必须的备品备件提出建议和报价。</w:t>
      </w:r>
    </w:p>
    <w:p w14:paraId="09552D02">
      <w:pPr>
        <w:pStyle w:val="43"/>
      </w:pPr>
      <w:r>
        <w:rPr>
          <w:rFonts w:hint="eastAsia"/>
        </w:rPr>
        <w:t>投标方应提供有关备品备件的保管储藏资料，如存放期限、所需的干燥器等。</w:t>
      </w:r>
    </w:p>
    <w:p w14:paraId="23AC66FE">
      <w:pPr>
        <w:pStyle w:val="43"/>
      </w:pPr>
      <w:r>
        <w:rPr>
          <w:rFonts w:hint="eastAsia"/>
        </w:rPr>
        <w:t>所有备品备件中的主要部件（如印刷电路板）在发运前都应逐一进行测试，以保证在系统中正常运行。</w:t>
      </w:r>
    </w:p>
    <w:p w14:paraId="27F7D9C5">
      <w:pPr>
        <w:pStyle w:val="43"/>
      </w:pPr>
      <w:r>
        <w:rPr>
          <w:rFonts w:hint="eastAsia"/>
        </w:rPr>
        <w:t>备品备件应是新品，与设备同型号、同工艺。</w:t>
      </w:r>
    </w:p>
    <w:p w14:paraId="6A6A1695">
      <w:pPr>
        <w:pStyle w:val="4"/>
      </w:pPr>
      <w:r>
        <w:rPr>
          <w:rFonts w:hint="eastAsia"/>
        </w:rPr>
        <w:t>专用工具</w:t>
      </w:r>
    </w:p>
    <w:p w14:paraId="02F13EEE">
      <w:pPr>
        <w:pStyle w:val="43"/>
      </w:pPr>
      <w:r>
        <w:rPr>
          <w:rFonts w:hint="eastAsia"/>
        </w:rPr>
        <w:t>投标方应提供所有便于维修和安装设备所用的专用工具，而且这些工具用户难以从电气和电子市场买到，专用工具至少应包括下列项目：</w:t>
      </w:r>
    </w:p>
    <w:p w14:paraId="7C07DA0B">
      <w:pPr>
        <w:pStyle w:val="43"/>
      </w:pPr>
      <w:r>
        <w:rPr>
          <w:rFonts w:hint="eastAsia"/>
        </w:rPr>
        <w:t>专用测试设备</w:t>
      </w:r>
    </w:p>
    <w:p w14:paraId="5444D0EF">
      <w:pPr>
        <w:pStyle w:val="43"/>
      </w:pPr>
      <w:r>
        <w:rPr>
          <w:rFonts w:hint="eastAsia"/>
        </w:rPr>
        <w:t>专用工具、夹具、卡具</w:t>
      </w:r>
    </w:p>
    <w:p w14:paraId="6F1031D2">
      <w:pPr>
        <w:pStyle w:val="43"/>
      </w:pPr>
      <w:r>
        <w:rPr>
          <w:rFonts w:hint="eastAsia"/>
        </w:rPr>
        <w:t>除专用工具外，投标方还应向招标方提供一份推荐的维修测试人员必备的标准工具清单。</w:t>
      </w:r>
    </w:p>
    <w:p w14:paraId="5B542CB0">
      <w:pPr>
        <w:pStyle w:val="4"/>
      </w:pPr>
      <w:r>
        <w:rPr>
          <w:rFonts w:hint="eastAsia"/>
        </w:rPr>
        <w:t>备品备件和专用工具报价表</w:t>
      </w:r>
    </w:p>
    <w:p w14:paraId="47434F41">
      <w:pPr>
        <w:pStyle w:val="43"/>
      </w:pPr>
      <w:r>
        <w:rPr>
          <w:rFonts w:hint="eastAsia"/>
        </w:rPr>
        <w:t>投标方可将所需的备品备件、必需维护工具和仪器在本表中列出，不计入投标总价。</w:t>
      </w:r>
    </w:p>
    <w:p w14:paraId="7C4438FE">
      <w:pPr>
        <w:pStyle w:val="43"/>
      </w:pPr>
      <w:r>
        <w:rPr>
          <w:rFonts w:hint="eastAsia"/>
        </w:rPr>
        <w:t>设备主要部件（电源模块、显示模块、插板等）的报价总和不得高于设备价格。</w:t>
      </w:r>
    </w:p>
    <w:p w14:paraId="604B53F2">
      <w:pPr>
        <w:jc w:val="center"/>
        <w:rPr>
          <w:rFonts w:cs="宋体"/>
          <w:szCs w:val="21"/>
        </w:rPr>
      </w:pPr>
      <w:r>
        <w:rPr>
          <w:rFonts w:hint="eastAsia" w:cs="宋体"/>
          <w:szCs w:val="21"/>
        </w:rPr>
        <w:t>表10  备品备件和专用工具报价表 （投标方填写）</w:t>
      </w:r>
    </w:p>
    <w:tbl>
      <w:tblPr>
        <w:tblStyle w:val="25"/>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861"/>
        <w:gridCol w:w="862"/>
        <w:gridCol w:w="862"/>
        <w:gridCol w:w="800"/>
        <w:gridCol w:w="862"/>
        <w:gridCol w:w="862"/>
        <w:gridCol w:w="829"/>
        <w:gridCol w:w="1248"/>
        <w:gridCol w:w="862"/>
      </w:tblGrid>
      <w:tr w14:paraId="737F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tcBorders>
              <w:top w:val="single" w:color="auto" w:sz="4" w:space="0"/>
              <w:left w:val="single" w:color="auto" w:sz="4" w:space="0"/>
              <w:bottom w:val="single" w:color="auto" w:sz="4" w:space="0"/>
              <w:right w:val="single" w:color="auto" w:sz="4" w:space="0"/>
            </w:tcBorders>
            <w:vAlign w:val="center"/>
          </w:tcPr>
          <w:p w14:paraId="44E04581">
            <w:r>
              <w:rPr>
                <w:rFonts w:hint="eastAsia"/>
              </w:rPr>
              <w:t>序号</w:t>
            </w:r>
          </w:p>
        </w:tc>
        <w:tc>
          <w:tcPr>
            <w:tcW w:w="861" w:type="dxa"/>
            <w:tcBorders>
              <w:top w:val="single" w:color="auto" w:sz="4" w:space="0"/>
              <w:left w:val="single" w:color="auto" w:sz="4" w:space="0"/>
              <w:bottom w:val="single" w:color="auto" w:sz="4" w:space="0"/>
              <w:right w:val="single" w:color="auto" w:sz="4" w:space="0"/>
            </w:tcBorders>
            <w:vAlign w:val="center"/>
          </w:tcPr>
          <w:p w14:paraId="6AD7307D">
            <w:r>
              <w:rPr>
                <w:rFonts w:hint="eastAsia"/>
              </w:rPr>
              <w:t>设备名称</w:t>
            </w:r>
          </w:p>
        </w:tc>
        <w:tc>
          <w:tcPr>
            <w:tcW w:w="862" w:type="dxa"/>
            <w:tcBorders>
              <w:top w:val="single" w:color="auto" w:sz="4" w:space="0"/>
              <w:left w:val="single" w:color="auto" w:sz="4" w:space="0"/>
              <w:bottom w:val="single" w:color="auto" w:sz="4" w:space="0"/>
              <w:right w:val="single" w:color="auto" w:sz="4" w:space="0"/>
            </w:tcBorders>
            <w:vAlign w:val="center"/>
          </w:tcPr>
          <w:p w14:paraId="5C6C2850">
            <w:r>
              <w:rPr>
                <w:rFonts w:hint="eastAsia"/>
              </w:rPr>
              <w:t>型号规格</w:t>
            </w:r>
          </w:p>
        </w:tc>
        <w:tc>
          <w:tcPr>
            <w:tcW w:w="862" w:type="dxa"/>
            <w:tcBorders>
              <w:top w:val="single" w:color="auto" w:sz="4" w:space="0"/>
              <w:left w:val="single" w:color="auto" w:sz="4" w:space="0"/>
              <w:bottom w:val="single" w:color="auto" w:sz="4" w:space="0"/>
              <w:right w:val="single" w:color="auto" w:sz="4" w:space="0"/>
            </w:tcBorders>
            <w:vAlign w:val="center"/>
          </w:tcPr>
          <w:p w14:paraId="3C537D79">
            <w:r>
              <w:rPr>
                <w:rFonts w:hint="eastAsia"/>
              </w:rPr>
              <w:t>技术说明</w:t>
            </w:r>
          </w:p>
        </w:tc>
        <w:tc>
          <w:tcPr>
            <w:tcW w:w="800" w:type="dxa"/>
            <w:tcBorders>
              <w:top w:val="single" w:color="auto" w:sz="4" w:space="0"/>
              <w:left w:val="single" w:color="auto" w:sz="4" w:space="0"/>
              <w:bottom w:val="single" w:color="auto" w:sz="4" w:space="0"/>
              <w:right w:val="single" w:color="auto" w:sz="4" w:space="0"/>
            </w:tcBorders>
            <w:vAlign w:val="center"/>
          </w:tcPr>
          <w:p w14:paraId="6A0160D3">
            <w:r>
              <w:rPr>
                <w:rFonts w:hint="eastAsia"/>
              </w:rPr>
              <w:t>单位</w:t>
            </w:r>
          </w:p>
        </w:tc>
        <w:tc>
          <w:tcPr>
            <w:tcW w:w="862" w:type="dxa"/>
            <w:tcBorders>
              <w:top w:val="single" w:color="auto" w:sz="4" w:space="0"/>
              <w:left w:val="single" w:color="auto" w:sz="4" w:space="0"/>
              <w:bottom w:val="single" w:color="auto" w:sz="4" w:space="0"/>
              <w:right w:val="single" w:color="auto" w:sz="4" w:space="0"/>
            </w:tcBorders>
            <w:vAlign w:val="center"/>
          </w:tcPr>
          <w:p w14:paraId="51EC5EA2">
            <w:r>
              <w:rPr>
                <w:rFonts w:hint="eastAsia"/>
              </w:rPr>
              <w:t>单价</w:t>
            </w:r>
          </w:p>
        </w:tc>
        <w:tc>
          <w:tcPr>
            <w:tcW w:w="862" w:type="dxa"/>
            <w:tcBorders>
              <w:top w:val="single" w:color="auto" w:sz="4" w:space="0"/>
              <w:left w:val="single" w:color="auto" w:sz="4" w:space="0"/>
              <w:bottom w:val="single" w:color="auto" w:sz="4" w:space="0"/>
              <w:right w:val="single" w:color="auto" w:sz="4" w:space="0"/>
            </w:tcBorders>
            <w:vAlign w:val="center"/>
          </w:tcPr>
          <w:p w14:paraId="73F760D6">
            <w:r>
              <w:rPr>
                <w:rFonts w:hint="eastAsia"/>
              </w:rPr>
              <w:t>数量</w:t>
            </w:r>
          </w:p>
        </w:tc>
        <w:tc>
          <w:tcPr>
            <w:tcW w:w="829" w:type="dxa"/>
            <w:tcBorders>
              <w:top w:val="single" w:color="auto" w:sz="4" w:space="0"/>
              <w:left w:val="single" w:color="auto" w:sz="4" w:space="0"/>
              <w:bottom w:val="single" w:color="auto" w:sz="4" w:space="0"/>
              <w:right w:val="single" w:color="auto" w:sz="4" w:space="0"/>
            </w:tcBorders>
            <w:vAlign w:val="center"/>
          </w:tcPr>
          <w:p w14:paraId="744AF8D6">
            <w:r>
              <w:rPr>
                <w:rFonts w:hint="eastAsia"/>
              </w:rPr>
              <w:t>价格</w:t>
            </w:r>
          </w:p>
          <w:p w14:paraId="7B3916C2">
            <w:r>
              <w:rPr>
                <w:rFonts w:hint="eastAsia"/>
              </w:rPr>
              <w:t>合计</w:t>
            </w:r>
          </w:p>
        </w:tc>
        <w:tc>
          <w:tcPr>
            <w:tcW w:w="1248" w:type="dxa"/>
            <w:tcBorders>
              <w:top w:val="single" w:color="auto" w:sz="4" w:space="0"/>
              <w:left w:val="single" w:color="auto" w:sz="4" w:space="0"/>
              <w:bottom w:val="single" w:color="auto" w:sz="4" w:space="0"/>
              <w:right w:val="single" w:color="auto" w:sz="4" w:space="0"/>
            </w:tcBorders>
            <w:vAlign w:val="center"/>
          </w:tcPr>
          <w:p w14:paraId="582B1BC4">
            <w:r>
              <w:rPr>
                <w:rFonts w:hint="eastAsia"/>
              </w:rPr>
              <w:t>生产厂家及产地</w:t>
            </w:r>
          </w:p>
        </w:tc>
        <w:tc>
          <w:tcPr>
            <w:tcW w:w="862" w:type="dxa"/>
            <w:tcBorders>
              <w:top w:val="single" w:color="auto" w:sz="4" w:space="0"/>
              <w:left w:val="single" w:color="auto" w:sz="4" w:space="0"/>
              <w:bottom w:val="single" w:color="auto" w:sz="4" w:space="0"/>
              <w:right w:val="single" w:color="auto" w:sz="4" w:space="0"/>
            </w:tcBorders>
            <w:vAlign w:val="center"/>
          </w:tcPr>
          <w:p w14:paraId="08D521D2">
            <w:r>
              <w:rPr>
                <w:rFonts w:hint="eastAsia"/>
              </w:rPr>
              <w:t>备注</w:t>
            </w:r>
          </w:p>
        </w:tc>
      </w:tr>
      <w:tr w14:paraId="445A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tcBorders>
              <w:top w:val="single" w:color="auto" w:sz="4" w:space="0"/>
              <w:left w:val="single" w:color="auto" w:sz="4" w:space="0"/>
              <w:bottom w:val="single" w:color="auto" w:sz="4" w:space="0"/>
              <w:right w:val="single" w:color="auto" w:sz="4" w:space="0"/>
            </w:tcBorders>
          </w:tcPr>
          <w:p w14:paraId="71DB46E5"/>
        </w:tc>
        <w:tc>
          <w:tcPr>
            <w:tcW w:w="861" w:type="dxa"/>
            <w:tcBorders>
              <w:top w:val="single" w:color="auto" w:sz="4" w:space="0"/>
              <w:left w:val="single" w:color="auto" w:sz="4" w:space="0"/>
              <w:bottom w:val="single" w:color="auto" w:sz="4" w:space="0"/>
              <w:right w:val="single" w:color="auto" w:sz="4" w:space="0"/>
            </w:tcBorders>
            <w:vAlign w:val="center"/>
          </w:tcPr>
          <w:p w14:paraId="043BC1A5"/>
        </w:tc>
        <w:tc>
          <w:tcPr>
            <w:tcW w:w="862" w:type="dxa"/>
            <w:tcBorders>
              <w:top w:val="single" w:color="auto" w:sz="4" w:space="0"/>
              <w:left w:val="single" w:color="auto" w:sz="4" w:space="0"/>
              <w:bottom w:val="single" w:color="auto" w:sz="4" w:space="0"/>
              <w:right w:val="single" w:color="auto" w:sz="4" w:space="0"/>
            </w:tcBorders>
            <w:vAlign w:val="center"/>
          </w:tcPr>
          <w:p w14:paraId="03809390"/>
        </w:tc>
        <w:tc>
          <w:tcPr>
            <w:tcW w:w="862" w:type="dxa"/>
            <w:tcBorders>
              <w:top w:val="single" w:color="auto" w:sz="4" w:space="0"/>
              <w:left w:val="single" w:color="auto" w:sz="4" w:space="0"/>
              <w:bottom w:val="single" w:color="auto" w:sz="4" w:space="0"/>
              <w:right w:val="single" w:color="auto" w:sz="4" w:space="0"/>
            </w:tcBorders>
            <w:vAlign w:val="center"/>
          </w:tcPr>
          <w:p w14:paraId="76A9ACC3"/>
        </w:tc>
        <w:tc>
          <w:tcPr>
            <w:tcW w:w="800" w:type="dxa"/>
            <w:tcBorders>
              <w:top w:val="single" w:color="auto" w:sz="4" w:space="0"/>
              <w:left w:val="single" w:color="auto" w:sz="4" w:space="0"/>
              <w:bottom w:val="single" w:color="auto" w:sz="4" w:space="0"/>
              <w:right w:val="single" w:color="auto" w:sz="4" w:space="0"/>
            </w:tcBorders>
          </w:tcPr>
          <w:p w14:paraId="6655B08B"/>
        </w:tc>
        <w:tc>
          <w:tcPr>
            <w:tcW w:w="862" w:type="dxa"/>
            <w:tcBorders>
              <w:top w:val="single" w:color="auto" w:sz="4" w:space="0"/>
              <w:left w:val="single" w:color="auto" w:sz="4" w:space="0"/>
              <w:bottom w:val="single" w:color="auto" w:sz="4" w:space="0"/>
              <w:right w:val="single" w:color="auto" w:sz="4" w:space="0"/>
            </w:tcBorders>
            <w:vAlign w:val="center"/>
          </w:tcPr>
          <w:p w14:paraId="0062C082"/>
        </w:tc>
        <w:tc>
          <w:tcPr>
            <w:tcW w:w="862" w:type="dxa"/>
            <w:tcBorders>
              <w:top w:val="single" w:color="auto" w:sz="4" w:space="0"/>
              <w:left w:val="single" w:color="auto" w:sz="4" w:space="0"/>
              <w:bottom w:val="single" w:color="auto" w:sz="4" w:space="0"/>
              <w:right w:val="single" w:color="auto" w:sz="4" w:space="0"/>
            </w:tcBorders>
            <w:vAlign w:val="center"/>
          </w:tcPr>
          <w:p w14:paraId="677FDFF0"/>
        </w:tc>
        <w:tc>
          <w:tcPr>
            <w:tcW w:w="829" w:type="dxa"/>
            <w:tcBorders>
              <w:top w:val="single" w:color="auto" w:sz="4" w:space="0"/>
              <w:left w:val="single" w:color="auto" w:sz="4" w:space="0"/>
              <w:bottom w:val="single" w:color="auto" w:sz="4" w:space="0"/>
              <w:right w:val="single" w:color="auto" w:sz="4" w:space="0"/>
            </w:tcBorders>
          </w:tcPr>
          <w:p w14:paraId="2FBEFA8B"/>
        </w:tc>
        <w:tc>
          <w:tcPr>
            <w:tcW w:w="1248" w:type="dxa"/>
            <w:tcBorders>
              <w:top w:val="single" w:color="auto" w:sz="4" w:space="0"/>
              <w:left w:val="single" w:color="auto" w:sz="4" w:space="0"/>
              <w:bottom w:val="single" w:color="auto" w:sz="4" w:space="0"/>
              <w:right w:val="single" w:color="auto" w:sz="4" w:space="0"/>
            </w:tcBorders>
            <w:vAlign w:val="center"/>
          </w:tcPr>
          <w:p w14:paraId="4C9E6E21"/>
        </w:tc>
        <w:tc>
          <w:tcPr>
            <w:tcW w:w="862" w:type="dxa"/>
            <w:tcBorders>
              <w:top w:val="single" w:color="auto" w:sz="4" w:space="0"/>
              <w:left w:val="single" w:color="auto" w:sz="4" w:space="0"/>
              <w:bottom w:val="single" w:color="auto" w:sz="4" w:space="0"/>
              <w:right w:val="single" w:color="auto" w:sz="4" w:space="0"/>
            </w:tcBorders>
          </w:tcPr>
          <w:p w14:paraId="74F3B456"/>
        </w:tc>
      </w:tr>
      <w:tr w14:paraId="2EC5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 w:type="dxa"/>
            <w:tcBorders>
              <w:top w:val="single" w:color="auto" w:sz="4" w:space="0"/>
              <w:left w:val="single" w:color="auto" w:sz="4" w:space="0"/>
              <w:bottom w:val="single" w:color="auto" w:sz="4" w:space="0"/>
              <w:right w:val="single" w:color="auto" w:sz="4" w:space="0"/>
            </w:tcBorders>
          </w:tcPr>
          <w:p w14:paraId="56FACC28"/>
        </w:tc>
        <w:tc>
          <w:tcPr>
            <w:tcW w:w="861" w:type="dxa"/>
            <w:tcBorders>
              <w:top w:val="single" w:color="auto" w:sz="4" w:space="0"/>
              <w:left w:val="single" w:color="auto" w:sz="4" w:space="0"/>
              <w:bottom w:val="single" w:color="auto" w:sz="4" w:space="0"/>
              <w:right w:val="single" w:color="auto" w:sz="4" w:space="0"/>
            </w:tcBorders>
          </w:tcPr>
          <w:p w14:paraId="6E76FFFB"/>
        </w:tc>
        <w:tc>
          <w:tcPr>
            <w:tcW w:w="862" w:type="dxa"/>
            <w:tcBorders>
              <w:top w:val="single" w:color="auto" w:sz="4" w:space="0"/>
              <w:left w:val="single" w:color="auto" w:sz="4" w:space="0"/>
              <w:bottom w:val="single" w:color="auto" w:sz="4" w:space="0"/>
              <w:right w:val="single" w:color="auto" w:sz="4" w:space="0"/>
            </w:tcBorders>
          </w:tcPr>
          <w:p w14:paraId="66473E23"/>
        </w:tc>
        <w:tc>
          <w:tcPr>
            <w:tcW w:w="862" w:type="dxa"/>
            <w:tcBorders>
              <w:top w:val="single" w:color="auto" w:sz="4" w:space="0"/>
              <w:left w:val="single" w:color="auto" w:sz="4" w:space="0"/>
              <w:bottom w:val="single" w:color="auto" w:sz="4" w:space="0"/>
              <w:right w:val="single" w:color="auto" w:sz="4" w:space="0"/>
            </w:tcBorders>
          </w:tcPr>
          <w:p w14:paraId="5627AB97"/>
        </w:tc>
        <w:tc>
          <w:tcPr>
            <w:tcW w:w="800" w:type="dxa"/>
            <w:tcBorders>
              <w:top w:val="single" w:color="auto" w:sz="4" w:space="0"/>
              <w:left w:val="single" w:color="auto" w:sz="4" w:space="0"/>
              <w:bottom w:val="single" w:color="auto" w:sz="4" w:space="0"/>
              <w:right w:val="single" w:color="auto" w:sz="4" w:space="0"/>
            </w:tcBorders>
          </w:tcPr>
          <w:p w14:paraId="4AEEA8C1"/>
        </w:tc>
        <w:tc>
          <w:tcPr>
            <w:tcW w:w="862" w:type="dxa"/>
            <w:tcBorders>
              <w:top w:val="single" w:color="auto" w:sz="4" w:space="0"/>
              <w:left w:val="single" w:color="auto" w:sz="4" w:space="0"/>
              <w:bottom w:val="single" w:color="auto" w:sz="4" w:space="0"/>
              <w:right w:val="single" w:color="auto" w:sz="4" w:space="0"/>
            </w:tcBorders>
          </w:tcPr>
          <w:p w14:paraId="40CCD957"/>
        </w:tc>
        <w:tc>
          <w:tcPr>
            <w:tcW w:w="862" w:type="dxa"/>
            <w:tcBorders>
              <w:top w:val="single" w:color="auto" w:sz="4" w:space="0"/>
              <w:left w:val="single" w:color="auto" w:sz="4" w:space="0"/>
              <w:bottom w:val="single" w:color="auto" w:sz="4" w:space="0"/>
              <w:right w:val="single" w:color="auto" w:sz="4" w:space="0"/>
            </w:tcBorders>
          </w:tcPr>
          <w:p w14:paraId="0DBAC7A9"/>
        </w:tc>
        <w:tc>
          <w:tcPr>
            <w:tcW w:w="829" w:type="dxa"/>
            <w:tcBorders>
              <w:top w:val="single" w:color="auto" w:sz="4" w:space="0"/>
              <w:left w:val="single" w:color="auto" w:sz="4" w:space="0"/>
              <w:bottom w:val="single" w:color="auto" w:sz="4" w:space="0"/>
              <w:right w:val="single" w:color="auto" w:sz="4" w:space="0"/>
            </w:tcBorders>
          </w:tcPr>
          <w:p w14:paraId="518A44D5"/>
        </w:tc>
        <w:tc>
          <w:tcPr>
            <w:tcW w:w="1248" w:type="dxa"/>
            <w:tcBorders>
              <w:top w:val="single" w:color="auto" w:sz="4" w:space="0"/>
              <w:left w:val="single" w:color="auto" w:sz="4" w:space="0"/>
              <w:bottom w:val="single" w:color="auto" w:sz="4" w:space="0"/>
              <w:right w:val="single" w:color="auto" w:sz="4" w:space="0"/>
            </w:tcBorders>
          </w:tcPr>
          <w:p w14:paraId="407F8030"/>
        </w:tc>
        <w:tc>
          <w:tcPr>
            <w:tcW w:w="862" w:type="dxa"/>
            <w:tcBorders>
              <w:top w:val="single" w:color="auto" w:sz="4" w:space="0"/>
              <w:left w:val="single" w:color="auto" w:sz="4" w:space="0"/>
              <w:bottom w:val="single" w:color="auto" w:sz="4" w:space="0"/>
              <w:right w:val="single" w:color="auto" w:sz="4" w:space="0"/>
            </w:tcBorders>
          </w:tcPr>
          <w:p w14:paraId="76657EFC"/>
        </w:tc>
      </w:tr>
    </w:tbl>
    <w:p w14:paraId="6B3F7CB3"/>
    <w:p w14:paraId="7D9FCA79">
      <w:pPr>
        <w:pStyle w:val="3"/>
      </w:pPr>
      <w:bookmarkStart w:id="18" w:name="_Toc235809220"/>
      <w:r>
        <w:rPr>
          <w:rFonts w:hint="eastAsia"/>
        </w:rPr>
        <w:t>技术差异表</w:t>
      </w:r>
      <w:bookmarkEnd w:id="18"/>
    </w:p>
    <w:p w14:paraId="76277013">
      <w:pPr>
        <w:pStyle w:val="46"/>
        <w:adjustRightInd w:val="0"/>
        <w:snapToGrid w:val="0"/>
        <w:spacing w:line="360" w:lineRule="auto"/>
        <w:ind w:firstLine="480"/>
        <w:rPr>
          <w:rFonts w:eastAsia="宋体"/>
          <w:szCs w:val="21"/>
        </w:rPr>
      </w:pPr>
      <w:bookmarkStart w:id="19" w:name="_Toc226362579"/>
      <w:r>
        <w:rPr>
          <w:rFonts w:hint="eastAsia" w:eastAsia="宋体"/>
          <w:szCs w:val="21"/>
        </w:rPr>
        <w:t>投标方应将所供设备与本招标书技术文件有差异之处，无论优于或劣于本招标书技术文件要求，均汇总至表11。</w:t>
      </w:r>
    </w:p>
    <w:p w14:paraId="62038D4D">
      <w:pPr>
        <w:jc w:val="center"/>
      </w:pPr>
      <w:r>
        <w:rPr>
          <w:rFonts w:hint="eastAsia" w:cs="宋体"/>
          <w:szCs w:val="21"/>
        </w:rPr>
        <w:t>表11  技术差异表</w:t>
      </w:r>
      <w:bookmarkEnd w:id="19"/>
      <w:r>
        <w:rPr>
          <w:rFonts w:hint="eastAsia" w:cs="宋体"/>
          <w:szCs w:val="21"/>
        </w:rPr>
        <w:t xml:space="preserve"> （投标方填写）</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14:paraId="1BAB3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14:paraId="3D509B50">
            <w:pPr>
              <w:autoSpaceDE w:val="0"/>
              <w:autoSpaceDN w:val="0"/>
              <w:jc w:val="center"/>
              <w:textAlignment w:val="bottom"/>
              <w:rPr>
                <w:rFonts w:cs="宋体"/>
                <w:szCs w:val="21"/>
              </w:rPr>
            </w:pPr>
            <w:r>
              <w:rPr>
                <w:rFonts w:hint="eastAsia" w:cs="宋体"/>
                <w:szCs w:val="21"/>
              </w:rPr>
              <w:t>序</w:t>
            </w:r>
          </w:p>
          <w:p w14:paraId="58632BD2">
            <w:pPr>
              <w:autoSpaceDE w:val="0"/>
              <w:autoSpaceDN w:val="0"/>
              <w:jc w:val="center"/>
              <w:textAlignment w:val="bottom"/>
              <w:rPr>
                <w:rFonts w:cs="宋体"/>
                <w:szCs w:val="21"/>
              </w:rPr>
            </w:pPr>
            <w:r>
              <w:rPr>
                <w:rFonts w:hint="eastAsia" w:cs="宋体"/>
                <w:szCs w:val="21"/>
              </w:rPr>
              <w:t>号</w:t>
            </w:r>
          </w:p>
        </w:tc>
        <w:tc>
          <w:tcPr>
            <w:tcW w:w="3876" w:type="dxa"/>
            <w:gridSpan w:val="2"/>
            <w:vAlign w:val="center"/>
          </w:tcPr>
          <w:p w14:paraId="6F94F65F">
            <w:pPr>
              <w:autoSpaceDE w:val="0"/>
              <w:autoSpaceDN w:val="0"/>
              <w:jc w:val="center"/>
              <w:textAlignment w:val="bottom"/>
              <w:rPr>
                <w:rFonts w:cs="宋体"/>
                <w:szCs w:val="21"/>
              </w:rPr>
            </w:pPr>
            <w:r>
              <w:rPr>
                <w:rFonts w:hint="eastAsia" w:cs="宋体"/>
                <w:szCs w:val="21"/>
              </w:rPr>
              <w:t>招 标 文 件</w:t>
            </w:r>
          </w:p>
        </w:tc>
        <w:tc>
          <w:tcPr>
            <w:tcW w:w="3833" w:type="dxa"/>
            <w:gridSpan w:val="2"/>
            <w:vAlign w:val="center"/>
          </w:tcPr>
          <w:p w14:paraId="40BC879C">
            <w:pPr>
              <w:autoSpaceDE w:val="0"/>
              <w:autoSpaceDN w:val="0"/>
              <w:jc w:val="center"/>
              <w:textAlignment w:val="bottom"/>
              <w:rPr>
                <w:rFonts w:cs="宋体"/>
                <w:szCs w:val="21"/>
              </w:rPr>
            </w:pPr>
            <w:r>
              <w:rPr>
                <w:rFonts w:hint="eastAsia" w:cs="宋体"/>
                <w:szCs w:val="21"/>
              </w:rPr>
              <w:t>投  标  文  件</w:t>
            </w:r>
          </w:p>
        </w:tc>
      </w:tr>
      <w:tr w14:paraId="430A18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14:paraId="1188A771"/>
        </w:tc>
        <w:tc>
          <w:tcPr>
            <w:tcW w:w="1163" w:type="dxa"/>
            <w:vAlign w:val="center"/>
          </w:tcPr>
          <w:p w14:paraId="428C5578">
            <w:pPr>
              <w:autoSpaceDE w:val="0"/>
              <w:autoSpaceDN w:val="0"/>
              <w:jc w:val="center"/>
              <w:textAlignment w:val="bottom"/>
              <w:rPr>
                <w:rFonts w:cs="宋体"/>
                <w:szCs w:val="21"/>
              </w:rPr>
            </w:pPr>
            <w:r>
              <w:rPr>
                <w:rFonts w:hint="eastAsia" w:cs="宋体"/>
                <w:szCs w:val="21"/>
              </w:rPr>
              <w:t>条  目</w:t>
            </w:r>
          </w:p>
        </w:tc>
        <w:tc>
          <w:tcPr>
            <w:tcW w:w="2713" w:type="dxa"/>
            <w:vAlign w:val="center"/>
          </w:tcPr>
          <w:p w14:paraId="1CB7B802">
            <w:pPr>
              <w:autoSpaceDE w:val="0"/>
              <w:autoSpaceDN w:val="0"/>
              <w:jc w:val="center"/>
              <w:textAlignment w:val="bottom"/>
              <w:rPr>
                <w:rFonts w:cs="宋体"/>
                <w:szCs w:val="21"/>
              </w:rPr>
            </w:pPr>
            <w:r>
              <w:rPr>
                <w:rFonts w:hint="eastAsia" w:cs="宋体"/>
                <w:szCs w:val="21"/>
              </w:rPr>
              <w:t>简  要  内  容</w:t>
            </w:r>
          </w:p>
        </w:tc>
        <w:tc>
          <w:tcPr>
            <w:tcW w:w="1258" w:type="dxa"/>
            <w:vAlign w:val="center"/>
          </w:tcPr>
          <w:p w14:paraId="4F1AEF48">
            <w:pPr>
              <w:autoSpaceDE w:val="0"/>
              <w:autoSpaceDN w:val="0"/>
              <w:jc w:val="center"/>
              <w:textAlignment w:val="bottom"/>
              <w:rPr>
                <w:rFonts w:cs="宋体"/>
                <w:szCs w:val="21"/>
              </w:rPr>
            </w:pPr>
            <w:r>
              <w:rPr>
                <w:rFonts w:hint="eastAsia" w:cs="宋体"/>
                <w:szCs w:val="21"/>
              </w:rPr>
              <w:t>条  目</w:t>
            </w:r>
          </w:p>
        </w:tc>
        <w:tc>
          <w:tcPr>
            <w:tcW w:w="2575" w:type="dxa"/>
            <w:vAlign w:val="center"/>
          </w:tcPr>
          <w:p w14:paraId="575A6CBB">
            <w:pPr>
              <w:autoSpaceDE w:val="0"/>
              <w:autoSpaceDN w:val="0"/>
              <w:jc w:val="center"/>
              <w:textAlignment w:val="bottom"/>
              <w:rPr>
                <w:rFonts w:cs="宋体"/>
                <w:szCs w:val="21"/>
              </w:rPr>
            </w:pPr>
            <w:r>
              <w:rPr>
                <w:rFonts w:hint="eastAsia" w:cs="宋体"/>
                <w:szCs w:val="21"/>
              </w:rPr>
              <w:t>简  要  内  容</w:t>
            </w:r>
          </w:p>
        </w:tc>
      </w:tr>
      <w:tr w14:paraId="0BC3D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75489311">
            <w:pPr>
              <w:autoSpaceDE w:val="0"/>
              <w:autoSpaceDN w:val="0"/>
              <w:jc w:val="center"/>
              <w:textAlignment w:val="bottom"/>
              <w:rPr>
                <w:rFonts w:cs="宋体"/>
                <w:szCs w:val="21"/>
              </w:rPr>
            </w:pPr>
          </w:p>
        </w:tc>
        <w:tc>
          <w:tcPr>
            <w:tcW w:w="1163" w:type="dxa"/>
            <w:vAlign w:val="center"/>
          </w:tcPr>
          <w:p w14:paraId="7C3EDACC">
            <w:pPr>
              <w:autoSpaceDE w:val="0"/>
              <w:autoSpaceDN w:val="0"/>
              <w:jc w:val="center"/>
              <w:textAlignment w:val="bottom"/>
              <w:rPr>
                <w:rFonts w:cs="宋体"/>
                <w:szCs w:val="21"/>
              </w:rPr>
            </w:pPr>
          </w:p>
        </w:tc>
        <w:tc>
          <w:tcPr>
            <w:tcW w:w="2713" w:type="dxa"/>
            <w:vAlign w:val="center"/>
          </w:tcPr>
          <w:p w14:paraId="125CCC68">
            <w:pPr>
              <w:autoSpaceDE w:val="0"/>
              <w:autoSpaceDN w:val="0"/>
              <w:jc w:val="center"/>
              <w:textAlignment w:val="bottom"/>
              <w:rPr>
                <w:rFonts w:cs="宋体"/>
                <w:szCs w:val="21"/>
              </w:rPr>
            </w:pPr>
          </w:p>
        </w:tc>
        <w:tc>
          <w:tcPr>
            <w:tcW w:w="1258" w:type="dxa"/>
            <w:vAlign w:val="center"/>
          </w:tcPr>
          <w:p w14:paraId="0D1A74D8">
            <w:pPr>
              <w:autoSpaceDE w:val="0"/>
              <w:autoSpaceDN w:val="0"/>
              <w:jc w:val="center"/>
              <w:textAlignment w:val="bottom"/>
              <w:rPr>
                <w:rFonts w:cs="宋体"/>
                <w:szCs w:val="21"/>
              </w:rPr>
            </w:pPr>
          </w:p>
        </w:tc>
        <w:tc>
          <w:tcPr>
            <w:tcW w:w="2575" w:type="dxa"/>
            <w:vAlign w:val="center"/>
          </w:tcPr>
          <w:p w14:paraId="4B014BC0">
            <w:pPr>
              <w:autoSpaceDE w:val="0"/>
              <w:autoSpaceDN w:val="0"/>
              <w:jc w:val="center"/>
              <w:textAlignment w:val="bottom"/>
              <w:rPr>
                <w:rFonts w:cs="宋体"/>
                <w:szCs w:val="21"/>
              </w:rPr>
            </w:pPr>
          </w:p>
        </w:tc>
      </w:tr>
      <w:tr w14:paraId="71CD2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7233F010">
            <w:pPr>
              <w:autoSpaceDE w:val="0"/>
              <w:autoSpaceDN w:val="0"/>
              <w:jc w:val="center"/>
              <w:textAlignment w:val="bottom"/>
              <w:rPr>
                <w:rFonts w:cs="宋体"/>
                <w:szCs w:val="21"/>
              </w:rPr>
            </w:pPr>
          </w:p>
        </w:tc>
        <w:tc>
          <w:tcPr>
            <w:tcW w:w="1163" w:type="dxa"/>
            <w:vAlign w:val="center"/>
          </w:tcPr>
          <w:p w14:paraId="4D8D8455">
            <w:pPr>
              <w:autoSpaceDE w:val="0"/>
              <w:autoSpaceDN w:val="0"/>
              <w:jc w:val="center"/>
              <w:textAlignment w:val="bottom"/>
              <w:rPr>
                <w:rFonts w:cs="宋体"/>
                <w:szCs w:val="21"/>
              </w:rPr>
            </w:pPr>
          </w:p>
        </w:tc>
        <w:tc>
          <w:tcPr>
            <w:tcW w:w="2713" w:type="dxa"/>
            <w:vAlign w:val="center"/>
          </w:tcPr>
          <w:p w14:paraId="491A87B8">
            <w:pPr>
              <w:autoSpaceDE w:val="0"/>
              <w:autoSpaceDN w:val="0"/>
              <w:jc w:val="center"/>
              <w:textAlignment w:val="bottom"/>
              <w:rPr>
                <w:rFonts w:cs="宋体"/>
                <w:szCs w:val="21"/>
              </w:rPr>
            </w:pPr>
          </w:p>
        </w:tc>
        <w:tc>
          <w:tcPr>
            <w:tcW w:w="1258" w:type="dxa"/>
            <w:vAlign w:val="center"/>
          </w:tcPr>
          <w:p w14:paraId="19D58BB1">
            <w:pPr>
              <w:autoSpaceDE w:val="0"/>
              <w:autoSpaceDN w:val="0"/>
              <w:jc w:val="center"/>
              <w:textAlignment w:val="bottom"/>
              <w:rPr>
                <w:rFonts w:cs="宋体"/>
                <w:szCs w:val="21"/>
              </w:rPr>
            </w:pPr>
          </w:p>
        </w:tc>
        <w:tc>
          <w:tcPr>
            <w:tcW w:w="2575" w:type="dxa"/>
            <w:vAlign w:val="center"/>
          </w:tcPr>
          <w:p w14:paraId="305CC3B8">
            <w:pPr>
              <w:autoSpaceDE w:val="0"/>
              <w:autoSpaceDN w:val="0"/>
              <w:jc w:val="center"/>
              <w:textAlignment w:val="bottom"/>
              <w:rPr>
                <w:rFonts w:cs="宋体"/>
                <w:szCs w:val="21"/>
              </w:rPr>
            </w:pPr>
          </w:p>
        </w:tc>
      </w:tr>
      <w:tr w14:paraId="06A234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679" w:type="dxa"/>
            <w:vAlign w:val="center"/>
          </w:tcPr>
          <w:p w14:paraId="66ADF028">
            <w:pPr>
              <w:autoSpaceDE w:val="0"/>
              <w:autoSpaceDN w:val="0"/>
              <w:jc w:val="center"/>
              <w:textAlignment w:val="bottom"/>
              <w:rPr>
                <w:rFonts w:cs="宋体"/>
                <w:szCs w:val="21"/>
              </w:rPr>
            </w:pPr>
          </w:p>
        </w:tc>
        <w:tc>
          <w:tcPr>
            <w:tcW w:w="1163" w:type="dxa"/>
            <w:vAlign w:val="center"/>
          </w:tcPr>
          <w:p w14:paraId="39E30D2B">
            <w:pPr>
              <w:autoSpaceDE w:val="0"/>
              <w:autoSpaceDN w:val="0"/>
              <w:jc w:val="center"/>
              <w:textAlignment w:val="bottom"/>
              <w:rPr>
                <w:rFonts w:cs="宋体"/>
                <w:szCs w:val="21"/>
              </w:rPr>
            </w:pPr>
          </w:p>
        </w:tc>
        <w:tc>
          <w:tcPr>
            <w:tcW w:w="2713" w:type="dxa"/>
            <w:vAlign w:val="center"/>
          </w:tcPr>
          <w:p w14:paraId="567CEDE8">
            <w:pPr>
              <w:autoSpaceDE w:val="0"/>
              <w:autoSpaceDN w:val="0"/>
              <w:jc w:val="center"/>
              <w:textAlignment w:val="bottom"/>
              <w:rPr>
                <w:rFonts w:cs="宋体"/>
                <w:szCs w:val="21"/>
              </w:rPr>
            </w:pPr>
          </w:p>
        </w:tc>
        <w:tc>
          <w:tcPr>
            <w:tcW w:w="1258" w:type="dxa"/>
            <w:vAlign w:val="center"/>
          </w:tcPr>
          <w:p w14:paraId="11BFBB78">
            <w:pPr>
              <w:autoSpaceDE w:val="0"/>
              <w:autoSpaceDN w:val="0"/>
              <w:jc w:val="center"/>
              <w:textAlignment w:val="bottom"/>
              <w:rPr>
                <w:rFonts w:cs="宋体"/>
                <w:szCs w:val="21"/>
              </w:rPr>
            </w:pPr>
          </w:p>
        </w:tc>
        <w:tc>
          <w:tcPr>
            <w:tcW w:w="2575" w:type="dxa"/>
            <w:vAlign w:val="center"/>
          </w:tcPr>
          <w:p w14:paraId="0387AA70">
            <w:pPr>
              <w:autoSpaceDE w:val="0"/>
              <w:autoSpaceDN w:val="0"/>
              <w:jc w:val="center"/>
              <w:textAlignment w:val="bottom"/>
              <w:rPr>
                <w:rFonts w:cs="宋体"/>
                <w:szCs w:val="21"/>
              </w:rPr>
            </w:pPr>
          </w:p>
        </w:tc>
      </w:tr>
    </w:tbl>
    <w:p w14:paraId="17D332F8">
      <w:pPr>
        <w:pStyle w:val="17"/>
        <w:adjustRightInd w:val="0"/>
        <w:snapToGrid w:val="0"/>
        <w:rPr>
          <w:rFonts w:cs="宋体"/>
          <w:szCs w:val="21"/>
        </w:rPr>
      </w:pPr>
      <w:r>
        <w:rPr>
          <w:rFonts w:hint="eastAsia" w:cs="宋体"/>
          <w:szCs w:val="21"/>
        </w:rPr>
        <w:t xml:space="preserve">                                     </w:t>
      </w:r>
    </w:p>
    <w:p w14:paraId="1C571369">
      <w:pPr>
        <w:pStyle w:val="17"/>
        <w:adjustRightInd w:val="0"/>
        <w:snapToGrid w:val="0"/>
        <w:rPr>
          <w:rFonts w:cs="宋体"/>
          <w:szCs w:val="21"/>
        </w:rPr>
      </w:pPr>
      <w:r>
        <w:rPr>
          <w:rFonts w:hint="eastAsia" w:cs="宋体"/>
          <w:szCs w:val="21"/>
        </w:rPr>
        <w:t xml:space="preserve">                                    投标方：</w:t>
      </w:r>
      <w:r>
        <w:rPr>
          <w:rFonts w:hint="eastAsia" w:cs="宋体"/>
          <w:szCs w:val="21"/>
          <w:u w:val="single"/>
        </w:rPr>
        <w:t xml:space="preserve">             </w:t>
      </w:r>
      <w:r>
        <w:rPr>
          <w:rFonts w:hint="eastAsia" w:cs="宋体"/>
          <w:szCs w:val="21"/>
        </w:rPr>
        <w:t xml:space="preserve">   盖章：</w:t>
      </w:r>
    </w:p>
    <w:p w14:paraId="53906947"/>
    <w:p w14:paraId="6623A33B">
      <w:pPr>
        <w:pStyle w:val="3"/>
      </w:pPr>
      <w:bookmarkStart w:id="20" w:name="_Toc235809221"/>
      <w:r>
        <w:rPr>
          <w:rFonts w:hint="eastAsia"/>
        </w:rPr>
        <w:t>投标方需要说明的其它问题</w:t>
      </w:r>
      <w:bookmarkEnd w:id="20"/>
    </w:p>
    <w:sectPr>
      <w:footerReference r:id="rId10" w:type="default"/>
      <w:pgSz w:w="11906" w:h="16838"/>
      <w:pgMar w:top="1440" w:right="1800" w:bottom="1440" w:left="1800" w:header="851" w:footer="992" w:gutter="0"/>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书宋简体">
    <w:altName w:val="宋体"/>
    <w:panose1 w:val="00000000000000000000"/>
    <w:charset w:val="00"/>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8EFC6">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B8952">
    <w:pPr>
      <w:framePr w:wrap="around" w:vAnchor="text" w:hAnchor="margin" w:xAlign="center" w:y="1"/>
    </w:pPr>
    <w:r>
      <w:fldChar w:fldCharType="begin"/>
    </w:r>
    <w:r>
      <w:instrText xml:space="preserve">PAGE  </w:instrText>
    </w:r>
    <w:r>
      <w:fldChar w:fldCharType="end"/>
    </w:r>
  </w:p>
  <w:p w14:paraId="216FD30D">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3436F">
    <w:pPr>
      <w:pStyle w:val="20"/>
      <w:jc w:val="center"/>
    </w:pPr>
    <w:r>
      <w:fldChar w:fldCharType="begin"/>
    </w:r>
    <w:r>
      <w:instrText xml:space="preserve">PAGE   \* MERGEFORMAT</w:instrText>
    </w:r>
    <w:r>
      <w:fldChar w:fldCharType="separate"/>
    </w:r>
    <w:r>
      <w:rPr>
        <w:lang w:val="zh-CN"/>
      </w:rPr>
      <w:t>7</w:t>
    </w:r>
    <w:r>
      <w:fldChar w:fldCharType="end"/>
    </w:r>
  </w:p>
  <w:p w14:paraId="370EB18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4A1F1">
    <w:pPr>
      <w:pStyle w:val="20"/>
      <w:jc w:val="center"/>
    </w:pPr>
    <w:r>
      <w:fldChar w:fldCharType="begin"/>
    </w:r>
    <w:r>
      <w:instrText xml:space="preserve">PAGE   \* MERGEFORMAT</w:instrText>
    </w:r>
    <w:r>
      <w:fldChar w:fldCharType="separate"/>
    </w:r>
    <w:r>
      <w:rPr>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46D0E">
    <w:pPr>
      <w:pStyle w:val="21"/>
    </w:pPr>
    <w:r>
      <w:t>深圳供电局有限公司</w:t>
    </w:r>
    <w:r>
      <w:rPr>
        <w:rFonts w:hint="eastAsia" w:hAnsi="宋体"/>
        <w:lang w:eastAsia="zh-CN"/>
      </w:rPr>
      <w:t>语音视频网网络安全准入设备</w:t>
    </w:r>
    <w: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7B6DD">
    <w:pPr>
      <w:pStyle w:val="21"/>
      <w:jc w:val="left"/>
    </w:pPr>
    <w:r>
      <w:drawing>
        <wp:inline distT="0" distB="0" distL="0" distR="0">
          <wp:extent cx="1554480" cy="274320"/>
          <wp:effectExtent l="0" t="0" r="0" b="0"/>
          <wp:docPr id="1" name="Picture 1" descr="tt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tt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4480" cy="274320"/>
                  </a:xfrm>
                  <a:prstGeom prst="rect">
                    <a:avLst/>
                  </a:prstGeom>
                  <a:noFill/>
                  <a:ln>
                    <a:noFill/>
                  </a:ln>
                </pic:spPr>
              </pic:pic>
            </a:graphicData>
          </a:graphic>
        </wp:inline>
      </w:drawing>
    </w:r>
    <w:r>
      <w:t>深圳供电局有限公司</w:t>
    </w:r>
    <w:r>
      <w:rPr>
        <w:rFonts w:hint="eastAsia" w:hAnsi="宋体"/>
        <w:lang w:eastAsia="zh-CN"/>
      </w:rPr>
      <w:t>语音视频网网络安全准入设备</w:t>
    </w:r>
    <w: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9DCE2"/>
    <w:multiLevelType w:val="singleLevel"/>
    <w:tmpl w:val="8109DCE2"/>
    <w:lvl w:ilvl="0" w:tentative="0">
      <w:start w:val="1"/>
      <w:numFmt w:val="lowerLetter"/>
      <w:lvlText w:val="%1)"/>
      <w:lvlJc w:val="left"/>
      <w:pPr>
        <w:tabs>
          <w:tab w:val="left" w:pos="312"/>
        </w:tabs>
      </w:pPr>
    </w:lvl>
  </w:abstractNum>
  <w:abstractNum w:abstractNumId="1">
    <w:nsid w:val="0146068D"/>
    <w:multiLevelType w:val="multilevel"/>
    <w:tmpl w:val="0146068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95501A"/>
    <w:multiLevelType w:val="multilevel"/>
    <w:tmpl w:val="0595501A"/>
    <w:lvl w:ilvl="0" w:tentative="0">
      <w:start w:val="1"/>
      <w:numFmt w:val="decimal"/>
      <w:pStyle w:val="3"/>
      <w:suff w:val="space"/>
      <w:lvlText w:val="%1."/>
      <w:lvlJc w:val="left"/>
      <w:pPr>
        <w:ind w:left="0" w:firstLine="0"/>
      </w:pPr>
      <w:rPr>
        <w:rFonts w:hint="eastAsia"/>
      </w:rPr>
    </w:lvl>
    <w:lvl w:ilvl="1" w:tentative="0">
      <w:start w:val="1"/>
      <w:numFmt w:val="decimal"/>
      <w:pStyle w:val="4"/>
      <w:isLgl/>
      <w:suff w:val="space"/>
      <w:lvlText w:val="%1.%2"/>
      <w:lvlJc w:val="left"/>
      <w:pPr>
        <w:ind w:left="0" w:firstLine="0"/>
      </w:pPr>
      <w:rPr>
        <w:rFonts w:hint="eastAsia"/>
      </w:rPr>
    </w:lvl>
    <w:lvl w:ilvl="2" w:tentative="0">
      <w:start w:val="1"/>
      <w:numFmt w:val="decimal"/>
      <w:pStyle w:val="43"/>
      <w:isLgl/>
      <w:suff w:val="space"/>
      <w:lvlText w:val="%1.%2.%3"/>
      <w:lvlJc w:val="left"/>
      <w:pPr>
        <w:ind w:left="0" w:firstLine="0"/>
      </w:pPr>
      <w:rPr>
        <w:rFonts w:hint="eastAsia"/>
        <w:b w:val="0"/>
        <w:i w:val="0"/>
      </w:rPr>
    </w:lvl>
    <w:lvl w:ilvl="3" w:tentative="0">
      <w:start w:val="1"/>
      <w:numFmt w:val="decimal"/>
      <w:pStyle w:val="42"/>
      <w:isLgl/>
      <w:suff w:val="space"/>
      <w:lvlText w:val="%1.%2.%3.%4"/>
      <w:lvlJc w:val="left"/>
      <w:pPr>
        <w:ind w:left="0" w:firstLine="0"/>
      </w:pPr>
      <w:rPr>
        <w:rFonts w:hint="eastAsia"/>
      </w:rPr>
    </w:lvl>
    <w:lvl w:ilvl="4" w:tentative="0">
      <w:start w:val="1"/>
      <w:numFmt w:val="decimal"/>
      <w:isLgl/>
      <w:lvlText w:val="%1.%2.%3.%4.%5"/>
      <w:lvlJc w:val="left"/>
      <w:pPr>
        <w:tabs>
          <w:tab w:val="left" w:pos="0"/>
        </w:tabs>
        <w:ind w:left="0"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DNmZWRmZDMyYzFiMGRjZjcyYjU4MmVhN2VhYzMifQ=="/>
  </w:docVars>
  <w:rsids>
    <w:rsidRoot w:val="007C0AE4"/>
    <w:rsid w:val="00014981"/>
    <w:rsid w:val="00046ED7"/>
    <w:rsid w:val="000B3F5E"/>
    <w:rsid w:val="000C32D4"/>
    <w:rsid w:val="000C5EE7"/>
    <w:rsid w:val="000E38BD"/>
    <w:rsid w:val="00193A21"/>
    <w:rsid w:val="001B2FF4"/>
    <w:rsid w:val="001B309F"/>
    <w:rsid w:val="001C4913"/>
    <w:rsid w:val="00213899"/>
    <w:rsid w:val="002338E1"/>
    <w:rsid w:val="00261015"/>
    <w:rsid w:val="002867D0"/>
    <w:rsid w:val="002A01AE"/>
    <w:rsid w:val="002F18F6"/>
    <w:rsid w:val="002F54C0"/>
    <w:rsid w:val="0030289B"/>
    <w:rsid w:val="003122A8"/>
    <w:rsid w:val="003226C0"/>
    <w:rsid w:val="00346A5E"/>
    <w:rsid w:val="00396698"/>
    <w:rsid w:val="003A1505"/>
    <w:rsid w:val="003D54D6"/>
    <w:rsid w:val="003F7287"/>
    <w:rsid w:val="0042216C"/>
    <w:rsid w:val="004D2F8D"/>
    <w:rsid w:val="00516DA5"/>
    <w:rsid w:val="00565B3F"/>
    <w:rsid w:val="00577A74"/>
    <w:rsid w:val="00593B11"/>
    <w:rsid w:val="005A4C18"/>
    <w:rsid w:val="005D2F30"/>
    <w:rsid w:val="005D3475"/>
    <w:rsid w:val="00644461"/>
    <w:rsid w:val="00651570"/>
    <w:rsid w:val="006634A8"/>
    <w:rsid w:val="00665847"/>
    <w:rsid w:val="006759C2"/>
    <w:rsid w:val="00727DD0"/>
    <w:rsid w:val="00773033"/>
    <w:rsid w:val="00774FF0"/>
    <w:rsid w:val="00775291"/>
    <w:rsid w:val="00783FBB"/>
    <w:rsid w:val="00794ACC"/>
    <w:rsid w:val="007A5863"/>
    <w:rsid w:val="007C0AE4"/>
    <w:rsid w:val="007C36E9"/>
    <w:rsid w:val="007C69F2"/>
    <w:rsid w:val="007D4CB9"/>
    <w:rsid w:val="007D5BC0"/>
    <w:rsid w:val="007F2845"/>
    <w:rsid w:val="00832B98"/>
    <w:rsid w:val="0089234D"/>
    <w:rsid w:val="008F080D"/>
    <w:rsid w:val="009036A6"/>
    <w:rsid w:val="0098228E"/>
    <w:rsid w:val="00985A90"/>
    <w:rsid w:val="00986454"/>
    <w:rsid w:val="009E4612"/>
    <w:rsid w:val="009F03F2"/>
    <w:rsid w:val="00B17DDE"/>
    <w:rsid w:val="00BA0969"/>
    <w:rsid w:val="00BC70D3"/>
    <w:rsid w:val="00BF04ED"/>
    <w:rsid w:val="00BF4375"/>
    <w:rsid w:val="00C36CBC"/>
    <w:rsid w:val="00C411A3"/>
    <w:rsid w:val="00C50890"/>
    <w:rsid w:val="00C9489D"/>
    <w:rsid w:val="00C950EE"/>
    <w:rsid w:val="00CA665B"/>
    <w:rsid w:val="00CC2DC7"/>
    <w:rsid w:val="00D469AF"/>
    <w:rsid w:val="00DB62D0"/>
    <w:rsid w:val="00DD5D77"/>
    <w:rsid w:val="00E03071"/>
    <w:rsid w:val="00E60323"/>
    <w:rsid w:val="00E9413F"/>
    <w:rsid w:val="00EB2178"/>
    <w:rsid w:val="00F10CDE"/>
    <w:rsid w:val="00F804AA"/>
    <w:rsid w:val="00FB502B"/>
    <w:rsid w:val="02D56EFC"/>
    <w:rsid w:val="06D04461"/>
    <w:rsid w:val="07A8338A"/>
    <w:rsid w:val="07B40C3E"/>
    <w:rsid w:val="09E449E9"/>
    <w:rsid w:val="0B4D4BA0"/>
    <w:rsid w:val="0CF03BB1"/>
    <w:rsid w:val="10450824"/>
    <w:rsid w:val="124E2B19"/>
    <w:rsid w:val="142422F7"/>
    <w:rsid w:val="15C604B8"/>
    <w:rsid w:val="17732C01"/>
    <w:rsid w:val="178E254E"/>
    <w:rsid w:val="193F5DFB"/>
    <w:rsid w:val="1C0F7FCE"/>
    <w:rsid w:val="1CA51C0B"/>
    <w:rsid w:val="1D365F3F"/>
    <w:rsid w:val="1E1F4F52"/>
    <w:rsid w:val="21C503B7"/>
    <w:rsid w:val="23157033"/>
    <w:rsid w:val="24DB17F5"/>
    <w:rsid w:val="280A57FC"/>
    <w:rsid w:val="2A903960"/>
    <w:rsid w:val="2C5C0232"/>
    <w:rsid w:val="2EAC37A0"/>
    <w:rsid w:val="35156511"/>
    <w:rsid w:val="37C10D78"/>
    <w:rsid w:val="37CE553B"/>
    <w:rsid w:val="3CC37ABC"/>
    <w:rsid w:val="3D99601D"/>
    <w:rsid w:val="3F495D63"/>
    <w:rsid w:val="3FDA6D18"/>
    <w:rsid w:val="40FF70E5"/>
    <w:rsid w:val="4608432D"/>
    <w:rsid w:val="4AA956E4"/>
    <w:rsid w:val="4B28675E"/>
    <w:rsid w:val="4D0E7878"/>
    <w:rsid w:val="4EC81466"/>
    <w:rsid w:val="4F0C67C4"/>
    <w:rsid w:val="4F572BB2"/>
    <w:rsid w:val="5108493A"/>
    <w:rsid w:val="5109165A"/>
    <w:rsid w:val="567350EF"/>
    <w:rsid w:val="668038A3"/>
    <w:rsid w:val="66B06521"/>
    <w:rsid w:val="678D4899"/>
    <w:rsid w:val="67CA0921"/>
    <w:rsid w:val="6CCE6625"/>
    <w:rsid w:val="6F8C2E28"/>
    <w:rsid w:val="73D20B92"/>
    <w:rsid w:val="740C41EF"/>
    <w:rsid w:val="74CE7DAD"/>
    <w:rsid w:val="754C0CDE"/>
    <w:rsid w:val="759F0162"/>
    <w:rsid w:val="7ACE464E"/>
    <w:rsid w:val="7CF81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Times New Roman" w:eastAsia="宋体" w:cs="Times New Roman"/>
      <w:kern w:val="2"/>
      <w:sz w:val="24"/>
      <w:szCs w:val="24"/>
      <w:lang w:val="en-US" w:eastAsia="zh-CN" w:bidi="ar-SA"/>
    </w:rPr>
  </w:style>
  <w:style w:type="paragraph" w:styleId="3">
    <w:name w:val="heading 1"/>
    <w:basedOn w:val="1"/>
    <w:next w:val="1"/>
    <w:qFormat/>
    <w:uiPriority w:val="0"/>
    <w:pPr>
      <w:keepNext/>
      <w:keepLines/>
      <w:numPr>
        <w:ilvl w:val="0"/>
        <w:numId w:val="1"/>
      </w:numPr>
      <w:outlineLvl w:val="0"/>
    </w:pPr>
    <w:rPr>
      <w:b/>
      <w:bCs/>
      <w:kern w:val="44"/>
      <w:szCs w:val="44"/>
    </w:rPr>
  </w:style>
  <w:style w:type="paragraph" w:styleId="4">
    <w:name w:val="heading 2"/>
    <w:basedOn w:val="1"/>
    <w:next w:val="1"/>
    <w:link w:val="32"/>
    <w:qFormat/>
    <w:uiPriority w:val="0"/>
    <w:pPr>
      <w:keepNext/>
      <w:keepLines/>
      <w:numPr>
        <w:ilvl w:val="1"/>
        <w:numId w:val="1"/>
      </w:numPr>
      <w:outlineLvl w:val="1"/>
    </w:pPr>
    <w:rPr>
      <w:rFonts w:hAnsi="Arial"/>
      <w:b/>
      <w:bCs/>
      <w:szCs w:val="32"/>
    </w:rPr>
  </w:style>
  <w:style w:type="paragraph" w:styleId="5">
    <w:name w:val="heading 3"/>
    <w:basedOn w:val="1"/>
    <w:next w:val="1"/>
    <w:link w:val="33"/>
    <w:qFormat/>
    <w:uiPriority w:val="0"/>
    <w:pPr>
      <w:keepNext/>
      <w:keepLines/>
      <w:outlineLvl w:val="2"/>
    </w:pPr>
    <w:rPr>
      <w:b/>
      <w:bCs/>
      <w:szCs w:val="28"/>
    </w:rPr>
  </w:style>
  <w:style w:type="paragraph" w:styleId="6">
    <w:name w:val="heading 4"/>
    <w:basedOn w:val="1"/>
    <w:next w:val="1"/>
    <w:qFormat/>
    <w:uiPriority w:val="0"/>
    <w:pPr>
      <w:keepNext/>
      <w:keepLines/>
      <w:outlineLvl w:val="3"/>
    </w:pPr>
    <w:rPr>
      <w:rFonts w:hAnsi="Arial"/>
      <w:b/>
      <w:bCs/>
      <w:szCs w:val="28"/>
    </w:rPr>
  </w:style>
  <w:style w:type="paragraph" w:styleId="7">
    <w:name w:val="heading 5"/>
    <w:basedOn w:val="1"/>
    <w:next w:val="1"/>
    <w:qFormat/>
    <w:uiPriority w:val="0"/>
    <w:pPr>
      <w:keepNext/>
      <w:keepLines/>
      <w:spacing w:line="240" w:lineRule="auto"/>
      <w:outlineLvl w:val="4"/>
    </w:pPr>
    <w:rPr>
      <w:b/>
      <w:bCs/>
    </w:rPr>
  </w:style>
  <w:style w:type="paragraph" w:styleId="8">
    <w:name w:val="heading 6"/>
    <w:basedOn w:val="1"/>
    <w:next w:val="1"/>
    <w:qFormat/>
    <w:uiPriority w:val="0"/>
    <w:pPr>
      <w:keepNext/>
      <w:keepLines/>
      <w:spacing w:line="240" w:lineRule="auto"/>
      <w:outlineLvl w:val="5"/>
    </w:pPr>
    <w:rPr>
      <w:rFonts w:hAnsi="Arial"/>
      <w:b/>
      <w:bCs/>
    </w:rPr>
  </w:style>
  <w:style w:type="paragraph" w:styleId="9">
    <w:name w:val="heading 7"/>
    <w:basedOn w:val="1"/>
    <w:next w:val="1"/>
    <w:qFormat/>
    <w:uiPriority w:val="0"/>
    <w:pPr>
      <w:keepNext/>
      <w:keepLines/>
      <w:tabs>
        <w:tab w:val="left" w:pos="1296"/>
      </w:tabs>
      <w:spacing w:before="240" w:after="64" w:line="320" w:lineRule="auto"/>
      <w:ind w:left="1296" w:hanging="1296"/>
      <w:outlineLvl w:val="6"/>
    </w:pPr>
    <w:rPr>
      <w:rFonts w:ascii="Times New Roman"/>
      <w:b/>
      <w:szCs w:val="20"/>
    </w:rPr>
  </w:style>
  <w:style w:type="paragraph" w:styleId="10">
    <w:name w:val="heading 8"/>
    <w:basedOn w:val="1"/>
    <w:next w:val="1"/>
    <w:qFormat/>
    <w:uiPriority w:val="0"/>
    <w:pPr>
      <w:keepNext/>
      <w:keepLines/>
      <w:tabs>
        <w:tab w:val="left" w:pos="1440"/>
      </w:tabs>
      <w:spacing w:before="240" w:after="64" w:line="320" w:lineRule="auto"/>
      <w:ind w:left="1440" w:hanging="1440"/>
      <w:outlineLvl w:val="7"/>
    </w:pPr>
    <w:rPr>
      <w:rFonts w:ascii="Arial" w:hAnsi="Arial" w:eastAsia="黑体"/>
      <w:szCs w:val="20"/>
    </w:rPr>
  </w:style>
  <w:style w:type="paragraph" w:styleId="11">
    <w:name w:val="heading 9"/>
    <w:basedOn w:val="1"/>
    <w:next w:val="1"/>
    <w:qFormat/>
    <w:uiPriority w:val="0"/>
    <w:pPr>
      <w:keepNext/>
      <w:keepLines/>
      <w:tabs>
        <w:tab w:val="left" w:pos="1584"/>
      </w:tabs>
      <w:spacing w:before="240" w:after="64" w:line="320" w:lineRule="auto"/>
      <w:ind w:left="1584" w:hanging="1584"/>
      <w:outlineLvl w:val="8"/>
    </w:pPr>
    <w:rPr>
      <w:rFonts w:ascii="Arial" w:hAnsi="Arial" w:eastAsia="黑体"/>
      <w:sz w:val="28"/>
      <w:szCs w:val="20"/>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semiHidden/>
    <w:qFormat/>
    <w:uiPriority w:val="0"/>
    <w:pPr>
      <w:ind w:left="420" w:leftChars="200"/>
    </w:pPr>
  </w:style>
  <w:style w:type="paragraph" w:styleId="12">
    <w:name w:val="Normal Indent"/>
    <w:basedOn w:val="1"/>
    <w:link w:val="34"/>
    <w:qFormat/>
    <w:uiPriority w:val="0"/>
    <w:pPr>
      <w:spacing w:line="240" w:lineRule="auto"/>
      <w:ind w:firstLine="420" w:firstLineChars="200"/>
    </w:pPr>
    <w:rPr>
      <w:rFonts w:ascii="Calibri"/>
      <w:kern w:val="0"/>
      <w:sz w:val="20"/>
    </w:rPr>
  </w:style>
  <w:style w:type="paragraph" w:styleId="13">
    <w:name w:val="Document Map"/>
    <w:basedOn w:val="1"/>
    <w:semiHidden/>
    <w:qFormat/>
    <w:uiPriority w:val="0"/>
    <w:pPr>
      <w:shd w:val="clear" w:color="auto" w:fill="000080"/>
    </w:pPr>
  </w:style>
  <w:style w:type="paragraph" w:styleId="14">
    <w:name w:val="annotation text"/>
    <w:basedOn w:val="1"/>
    <w:link w:val="35"/>
    <w:qFormat/>
    <w:uiPriority w:val="0"/>
    <w:pPr>
      <w:jc w:val="left"/>
    </w:pPr>
  </w:style>
  <w:style w:type="paragraph" w:styleId="15">
    <w:name w:val="Body Text"/>
    <w:basedOn w:val="1"/>
    <w:next w:val="16"/>
    <w:qFormat/>
    <w:uiPriority w:val="99"/>
    <w:pPr>
      <w:spacing w:after="120"/>
    </w:pPr>
  </w:style>
  <w:style w:type="paragraph" w:styleId="16">
    <w:name w:val="Title"/>
    <w:basedOn w:val="1"/>
    <w:next w:val="1"/>
    <w:qFormat/>
    <w:uiPriority w:val="0"/>
    <w:pPr>
      <w:spacing w:before="240" w:after="60"/>
      <w:jc w:val="center"/>
      <w:outlineLvl w:val="0"/>
    </w:pPr>
    <w:rPr>
      <w:rFonts w:ascii="Arial" w:hAnsi="Arial"/>
      <w:b/>
      <w:sz w:val="32"/>
    </w:rPr>
  </w:style>
  <w:style w:type="paragraph" w:styleId="17">
    <w:name w:val="Plain Text"/>
    <w:basedOn w:val="1"/>
    <w:qFormat/>
    <w:uiPriority w:val="0"/>
    <w:rPr>
      <w:rFonts w:hAnsi="Courier New"/>
      <w:szCs w:val="22"/>
    </w:rPr>
  </w:style>
  <w:style w:type="paragraph" w:styleId="18">
    <w:name w:val="Body Text Indent 2"/>
    <w:basedOn w:val="1"/>
    <w:qFormat/>
    <w:uiPriority w:val="0"/>
    <w:pPr>
      <w:ind w:firstLine="480"/>
    </w:pPr>
    <w:rPr>
      <w:rFonts w:ascii="Times New Roman"/>
    </w:rPr>
  </w:style>
  <w:style w:type="paragraph" w:styleId="19">
    <w:name w:val="Balloon Text"/>
    <w:basedOn w:val="1"/>
    <w:link w:val="53"/>
    <w:qFormat/>
    <w:uiPriority w:val="0"/>
    <w:pPr>
      <w:spacing w:line="240" w:lineRule="auto"/>
    </w:pPr>
    <w:rPr>
      <w:sz w:val="18"/>
      <w:szCs w:val="18"/>
    </w:rPr>
  </w:style>
  <w:style w:type="paragraph" w:styleId="20">
    <w:name w:val="footer"/>
    <w:basedOn w:val="1"/>
    <w:link w:val="36"/>
    <w:qFormat/>
    <w:uiPriority w:val="99"/>
    <w:pPr>
      <w:tabs>
        <w:tab w:val="center" w:pos="4153"/>
        <w:tab w:val="right" w:pos="8306"/>
      </w:tabs>
      <w:snapToGrid w:val="0"/>
      <w:spacing w:line="240" w:lineRule="auto"/>
      <w:jc w:val="left"/>
    </w:pPr>
    <w:rPr>
      <w:sz w:val="18"/>
      <w:szCs w:val="18"/>
    </w:rPr>
  </w:style>
  <w:style w:type="paragraph" w:styleId="21">
    <w:name w:val="header"/>
    <w:basedOn w:val="1"/>
    <w:link w:val="3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39"/>
    <w:pPr>
      <w:tabs>
        <w:tab w:val="right" w:leader="dot" w:pos="8296"/>
      </w:tabs>
    </w:pPr>
  </w:style>
  <w:style w:type="paragraph" w:styleId="23">
    <w:name w:val="Normal (Web)"/>
    <w:basedOn w:val="1"/>
    <w:qFormat/>
    <w:uiPriority w:val="99"/>
  </w:style>
  <w:style w:type="paragraph" w:styleId="24">
    <w:name w:val="annotation subject"/>
    <w:basedOn w:val="14"/>
    <w:next w:val="14"/>
    <w:link w:val="38"/>
    <w:qFormat/>
    <w:uiPriority w:val="0"/>
    <w:rPr>
      <w:b/>
      <w:bCs/>
    </w:rPr>
  </w:style>
  <w:style w:type="table" w:styleId="26">
    <w:name w:val="Table Grid"/>
    <w:basedOn w:val="2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page number"/>
    <w:qFormat/>
    <w:uiPriority w:val="0"/>
  </w:style>
  <w:style w:type="character" w:styleId="29">
    <w:name w:val="FollowedHyperlink"/>
    <w:qFormat/>
    <w:uiPriority w:val="0"/>
    <w:rPr>
      <w:color w:val="800080"/>
      <w:u w:val="single"/>
    </w:rPr>
  </w:style>
  <w:style w:type="character" w:styleId="30">
    <w:name w:val="Hyperlink"/>
    <w:qFormat/>
    <w:uiPriority w:val="99"/>
    <w:rPr>
      <w:color w:val="0000FF"/>
      <w:u w:val="single"/>
    </w:rPr>
  </w:style>
  <w:style w:type="character" w:styleId="31">
    <w:name w:val="annotation reference"/>
    <w:qFormat/>
    <w:uiPriority w:val="0"/>
    <w:rPr>
      <w:sz w:val="21"/>
      <w:szCs w:val="21"/>
    </w:rPr>
  </w:style>
  <w:style w:type="character" w:customStyle="1" w:styleId="32">
    <w:name w:val="标题 2 字符"/>
    <w:link w:val="4"/>
    <w:qFormat/>
    <w:uiPriority w:val="0"/>
    <w:rPr>
      <w:rFonts w:ascii="宋体" w:hAnsi="Arial"/>
      <w:b/>
      <w:bCs/>
      <w:kern w:val="2"/>
      <w:sz w:val="24"/>
      <w:szCs w:val="32"/>
    </w:rPr>
  </w:style>
  <w:style w:type="character" w:customStyle="1" w:styleId="33">
    <w:name w:val="标题 3 字符"/>
    <w:link w:val="5"/>
    <w:qFormat/>
    <w:uiPriority w:val="0"/>
    <w:rPr>
      <w:rFonts w:ascii="宋体"/>
      <w:b/>
      <w:bCs/>
      <w:kern w:val="2"/>
      <w:sz w:val="24"/>
      <w:szCs w:val="28"/>
    </w:rPr>
  </w:style>
  <w:style w:type="character" w:customStyle="1" w:styleId="34">
    <w:name w:val="正文缩进 字符"/>
    <w:link w:val="12"/>
    <w:qFormat/>
    <w:uiPriority w:val="0"/>
    <w:rPr>
      <w:szCs w:val="24"/>
    </w:rPr>
  </w:style>
  <w:style w:type="character" w:customStyle="1" w:styleId="35">
    <w:name w:val="批注文字 字符"/>
    <w:link w:val="14"/>
    <w:qFormat/>
    <w:uiPriority w:val="0"/>
    <w:rPr>
      <w:rFonts w:ascii="宋体"/>
      <w:kern w:val="2"/>
      <w:sz w:val="24"/>
      <w:szCs w:val="24"/>
    </w:rPr>
  </w:style>
  <w:style w:type="character" w:customStyle="1" w:styleId="36">
    <w:name w:val="页脚 字符"/>
    <w:link w:val="20"/>
    <w:qFormat/>
    <w:uiPriority w:val="99"/>
    <w:rPr>
      <w:rFonts w:ascii="宋体"/>
      <w:kern w:val="2"/>
      <w:sz w:val="18"/>
      <w:szCs w:val="18"/>
    </w:rPr>
  </w:style>
  <w:style w:type="character" w:customStyle="1" w:styleId="37">
    <w:name w:val="页眉 字符"/>
    <w:link w:val="21"/>
    <w:qFormat/>
    <w:uiPriority w:val="0"/>
    <w:rPr>
      <w:rFonts w:ascii="宋体"/>
      <w:kern w:val="2"/>
      <w:sz w:val="18"/>
      <w:szCs w:val="18"/>
    </w:rPr>
  </w:style>
  <w:style w:type="character" w:customStyle="1" w:styleId="38">
    <w:name w:val="批注主题 字符"/>
    <w:link w:val="24"/>
    <w:qFormat/>
    <w:uiPriority w:val="0"/>
    <w:rPr>
      <w:rFonts w:ascii="宋体"/>
      <w:b/>
      <w:bCs/>
      <w:kern w:val="2"/>
      <w:sz w:val="24"/>
      <w:szCs w:val="24"/>
    </w:rPr>
  </w:style>
  <w:style w:type="character" w:customStyle="1" w:styleId="39">
    <w:name w:val="列表段落 字符"/>
    <w:link w:val="40"/>
    <w:qFormat/>
    <w:uiPriority w:val="34"/>
    <w:rPr>
      <w:rFonts w:ascii="宋体"/>
      <w:kern w:val="2"/>
      <w:sz w:val="24"/>
      <w:szCs w:val="24"/>
    </w:rPr>
  </w:style>
  <w:style w:type="paragraph" w:customStyle="1" w:styleId="40">
    <w:name w:val="列表段落"/>
    <w:basedOn w:val="1"/>
    <w:link w:val="39"/>
    <w:qFormat/>
    <w:uiPriority w:val="34"/>
    <w:pPr>
      <w:ind w:firstLine="420" w:firstLineChars="200"/>
    </w:pPr>
  </w:style>
  <w:style w:type="character" w:customStyle="1" w:styleId="41">
    <w:name w:val="样式2 Char"/>
    <w:link w:val="42"/>
    <w:qFormat/>
    <w:uiPriority w:val="0"/>
    <w:rPr>
      <w:rFonts w:ascii="宋体"/>
      <w:kern w:val="2"/>
      <w:sz w:val="24"/>
      <w:szCs w:val="24"/>
    </w:rPr>
  </w:style>
  <w:style w:type="paragraph" w:customStyle="1" w:styleId="42">
    <w:name w:val="样式2"/>
    <w:basedOn w:val="1"/>
    <w:link w:val="41"/>
    <w:qFormat/>
    <w:uiPriority w:val="0"/>
    <w:pPr>
      <w:numPr>
        <w:ilvl w:val="3"/>
        <w:numId w:val="1"/>
      </w:numPr>
    </w:pPr>
  </w:style>
  <w:style w:type="paragraph" w:customStyle="1" w:styleId="43">
    <w:name w:val="样式1"/>
    <w:basedOn w:val="1"/>
    <w:qFormat/>
    <w:uiPriority w:val="0"/>
    <w:pPr>
      <w:numPr>
        <w:ilvl w:val="2"/>
        <w:numId w:val="1"/>
      </w:numPr>
    </w:pPr>
  </w:style>
  <w:style w:type="paragraph" w:customStyle="1" w:styleId="44">
    <w:name w:val="列出段落3"/>
    <w:basedOn w:val="1"/>
    <w:unhideWhenUsed/>
    <w:qFormat/>
    <w:uiPriority w:val="99"/>
    <w:pPr>
      <w:ind w:firstLine="420" w:firstLineChars="200"/>
    </w:pPr>
  </w:style>
  <w:style w:type="paragraph" w:customStyle="1" w:styleId="45">
    <w:name w:val="样式 标题 2"/>
    <w:basedOn w:val="4"/>
    <w:qFormat/>
    <w:uiPriority w:val="0"/>
    <w:rPr>
      <w:b w:val="0"/>
      <w:bCs w:val="0"/>
    </w:rPr>
  </w:style>
  <w:style w:type="paragraph" w:customStyle="1" w:styleId="46">
    <w:name w:val="首行缩进"/>
    <w:basedOn w:val="1"/>
    <w:qFormat/>
    <w:uiPriority w:val="0"/>
    <w:pPr>
      <w:spacing w:line="300" w:lineRule="auto"/>
      <w:ind w:firstLine="420" w:firstLineChars="200"/>
    </w:pPr>
    <w:rPr>
      <w:rFonts w:eastAsia="方正书宋简体"/>
    </w:rPr>
  </w:style>
  <w:style w:type="paragraph" w:customStyle="1" w:styleId="47">
    <w:name w:val="无间隔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48">
    <w:name w:val="Revision"/>
    <w:hidden/>
    <w:unhideWhenUsed/>
    <w:qFormat/>
    <w:uiPriority w:val="99"/>
    <w:rPr>
      <w:rFonts w:ascii="宋体" w:hAnsi="Times New Roman" w:eastAsia="宋体" w:cs="Times New Roman"/>
      <w:kern w:val="2"/>
      <w:sz w:val="24"/>
      <w:szCs w:val="24"/>
      <w:lang w:val="en-US" w:eastAsia="zh-CN" w:bidi="ar-SA"/>
    </w:rPr>
  </w:style>
  <w:style w:type="paragraph" w:customStyle="1" w:styleId="49">
    <w:name w:val="段"/>
    <w:basedOn w:val="1"/>
    <w:qFormat/>
    <w:uiPriority w:val="0"/>
    <w:pPr>
      <w:widowControl/>
      <w:spacing w:line="240" w:lineRule="auto"/>
      <w:ind w:firstLine="200" w:firstLineChars="200"/>
    </w:pPr>
    <w:rPr>
      <w:kern w:val="0"/>
      <w:sz w:val="21"/>
      <w:szCs w:val="21"/>
    </w:rPr>
  </w:style>
  <w:style w:type="character" w:customStyle="1" w:styleId="50">
    <w:name w:val="未处理的提及"/>
    <w:semiHidden/>
    <w:unhideWhenUsed/>
    <w:qFormat/>
    <w:uiPriority w:val="99"/>
    <w:rPr>
      <w:color w:val="605E5C"/>
      <w:shd w:val="clear" w:color="auto" w:fill="E1DFDD"/>
    </w:rPr>
  </w:style>
  <w:style w:type="character" w:customStyle="1" w:styleId="51">
    <w:name w:val="font41"/>
    <w:qFormat/>
    <w:uiPriority w:val="0"/>
    <w:rPr>
      <w:rFonts w:hint="eastAsia" w:ascii="宋体" w:hAnsi="宋体" w:eastAsia="宋体"/>
      <w:b/>
      <w:bCs/>
      <w:color w:val="000000"/>
      <w:sz w:val="20"/>
      <w:szCs w:val="20"/>
      <w:u w:val="none"/>
    </w:rPr>
  </w:style>
  <w:style w:type="character" w:customStyle="1" w:styleId="52">
    <w:name w:val="font21"/>
    <w:qFormat/>
    <w:uiPriority w:val="0"/>
    <w:rPr>
      <w:rFonts w:hint="eastAsia" w:ascii="宋体" w:hAnsi="宋体" w:eastAsia="宋体"/>
      <w:color w:val="000000"/>
      <w:sz w:val="21"/>
      <w:szCs w:val="21"/>
      <w:u w:val="none"/>
    </w:rPr>
  </w:style>
  <w:style w:type="character" w:customStyle="1" w:styleId="53">
    <w:name w:val="批注框文本 字符"/>
    <w:basedOn w:val="27"/>
    <w:link w:val="19"/>
    <w:qFormat/>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7504</Words>
  <Characters>8062</Characters>
  <Lines>70</Lines>
  <Paragraphs>19</Paragraphs>
  <TotalTime>11</TotalTime>
  <ScaleCrop>false</ScaleCrop>
  <LinksUpToDate>false</LinksUpToDate>
  <CharactersWithSpaces>8252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2026-07-27T09:22:00Z</dcterms:created>
  <dc:creator>ZP</dc:creator>
  <cp:lastModifiedBy>BJ</cp:lastModifiedBy>
  <cp:lastPrinted>2010-05-27T08:16:00Z</cp:lastPrinted>
  <dcterms:modified xsi:type="dcterms:W3CDTF">2026-07-29T11:22:07Z</dcterms:modified>
  <dc:title>第一章</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C3BC1E9082F445A9AD2834BDF0300666_13</vt:lpwstr>
  </property>
  <property fmtid="{D5CDD505-2E9C-101B-9397-08002B2CF9AE}" pid="4" name="KSOTemplateDocerSaveRecord">
    <vt:lpwstr>eyJoZGlkIjoiZWIwZDM4ZmJlMDYwNTc5OTEzMjdjZWIzNGYwNjA2MjkiLCJ1c2VySWQiOiIyMDAwNDUzOTkifQ==</vt:lpwstr>
  </property>
</Properties>
</file>