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jc w:val="left"/>
        <w:rPr>
          <w:rFonts w:hint="eastAsia" w:ascii="黑体" w:hAnsi="黑体" w:eastAsia="黑体" w:cs="黑体"/>
          <w:b w:val="0"/>
          <w:bCs w:val="0"/>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mc:AlternateContent>
          <mc:Choice Requires="wps">
            <w:drawing>
              <wp:anchor distT="0" distB="0" distL="114300" distR="114300" simplePos="0" relativeHeight="251660288" behindDoc="0" locked="0" layoutInCell="1" allowOverlap="1">
                <wp:simplePos x="0" y="0"/>
                <wp:positionH relativeFrom="margin">
                  <wp:posOffset>488950</wp:posOffset>
                </wp:positionH>
                <wp:positionV relativeFrom="paragraph">
                  <wp:posOffset>2568575</wp:posOffset>
                </wp:positionV>
                <wp:extent cx="5438775" cy="2110740"/>
                <wp:effectExtent l="0" t="0" r="0" b="0"/>
                <wp:wrapNone/>
                <wp:docPr id="6" name="文本框 2"/>
                <wp:cNvGraphicFramePr/>
                <a:graphic xmlns:a="http://schemas.openxmlformats.org/drawingml/2006/main">
                  <a:graphicData uri="http://schemas.microsoft.com/office/word/2010/wordprocessingShape">
                    <wps:wsp>
                      <wps:cNvSpPr txBox="1"/>
                      <wps:spPr>
                        <a:xfrm>
                          <a:off x="0" y="0"/>
                          <a:ext cx="5438775" cy="2110740"/>
                        </a:xfrm>
                        <a:prstGeom prst="rect">
                          <a:avLst/>
                        </a:prstGeom>
                        <a:noFill/>
                        <a:ln w="6350">
                          <a:noFill/>
                        </a:ln>
                      </wps:spPr>
                      <wps:txbx>
                        <w:txbxContent>
                          <w:p>
                            <w:pPr>
                              <w:keepNext w:val="0"/>
                              <w:keepLines w:val="0"/>
                              <w:pageBreakBefore w:val="0"/>
                              <w:widowControl w:val="0"/>
                              <w:kinsoku/>
                              <w:wordWrap/>
                              <w:overflowPunct/>
                              <w:topLinePunct w:val="0"/>
                              <w:autoSpaceDE/>
                              <w:autoSpaceDN/>
                              <w:bidi w:val="0"/>
                              <w:adjustRightInd w:val="0"/>
                              <w:snapToGrid w:val="0"/>
                              <w:spacing w:line="560" w:lineRule="exact"/>
                              <w:ind w:firstLine="0" w:firstLineChars="0"/>
                              <w:jc w:val="center"/>
                              <w:textAlignment w:val="auto"/>
                              <w:rPr>
                                <w:rFonts w:hint="eastAsia" w:ascii="方正小标宋_GBK" w:hAnsi="微软雅黑" w:eastAsia="方正小标宋_GBK" w:cs="方正小标宋_GBK"/>
                                <w:b/>
                                <w:bCs/>
                                <w:sz w:val="52"/>
                                <w:szCs w:val="52"/>
                                <w:lang w:val="en-US" w:eastAsia="zh-CN"/>
                              </w:rPr>
                            </w:pPr>
                            <w:r>
                              <w:rPr>
                                <w:rFonts w:hint="eastAsia" w:ascii="方正小标宋_GBK" w:hAnsi="微软雅黑" w:eastAsia="方正小标宋_GBK" w:cs="方正小标宋_GBK"/>
                                <w:b/>
                                <w:bCs/>
                                <w:sz w:val="52"/>
                                <w:szCs w:val="52"/>
                                <w:lang w:val="en-US" w:eastAsia="zh-CN"/>
                              </w:rPr>
                              <w:t>广东电力通信科技有限公司2026年应急侦察与巡察多足机器人套件整部件委托制造框架采购</w:t>
                            </w:r>
                          </w:p>
                          <w:p>
                            <w:pPr>
                              <w:keepNext w:val="0"/>
                              <w:keepLines w:val="0"/>
                              <w:pageBreakBefore w:val="0"/>
                              <w:widowControl w:val="0"/>
                              <w:kinsoku/>
                              <w:wordWrap/>
                              <w:overflowPunct/>
                              <w:topLinePunct w:val="0"/>
                              <w:autoSpaceDE/>
                              <w:autoSpaceDN/>
                              <w:bidi w:val="0"/>
                              <w:adjustRightInd w:val="0"/>
                              <w:snapToGrid w:val="0"/>
                              <w:spacing w:line="560" w:lineRule="exact"/>
                              <w:ind w:firstLine="0" w:firstLineChars="0"/>
                              <w:jc w:val="center"/>
                              <w:textAlignment w:val="auto"/>
                              <w:rPr>
                                <w:rFonts w:hint="default" w:ascii="方正小标宋_GBK" w:hAnsi="微软雅黑" w:eastAsia="方正小标宋_GBK" w:cs="方正小标宋_GBK"/>
                                <w:b/>
                                <w:bCs/>
                                <w:sz w:val="52"/>
                                <w:szCs w:val="52"/>
                                <w:lang w:val="en-US" w:eastAsia="zh-CN"/>
                              </w:rPr>
                            </w:pPr>
                            <w:r>
                              <w:rPr>
                                <w:rFonts w:hint="eastAsia" w:ascii="方正小标宋_GBK" w:hAnsi="微软雅黑" w:eastAsia="方正小标宋_GBK" w:cs="方正小标宋_GBK"/>
                                <w:b/>
                                <w:bCs/>
                                <w:sz w:val="52"/>
                                <w:szCs w:val="52"/>
                                <w:lang w:val="en-US" w:eastAsia="zh-CN"/>
                              </w:rPr>
                              <w:t>技术规范书</w:t>
                            </w:r>
                          </w:p>
                          <w:p>
                            <w:pPr>
                              <w:keepNext w:val="0"/>
                              <w:keepLines w:val="0"/>
                              <w:pageBreakBefore w:val="0"/>
                              <w:widowControl w:val="0"/>
                              <w:kinsoku/>
                              <w:wordWrap/>
                              <w:overflowPunct/>
                              <w:topLinePunct w:val="0"/>
                              <w:autoSpaceDE/>
                              <w:autoSpaceDN/>
                              <w:bidi w:val="0"/>
                              <w:adjustRightInd w:val="0"/>
                              <w:snapToGrid w:val="0"/>
                              <w:spacing w:line="560" w:lineRule="exact"/>
                              <w:ind w:firstLine="0" w:firstLineChars="0"/>
                              <w:jc w:val="right"/>
                              <w:textAlignment w:val="auto"/>
                              <w:rPr>
                                <w:rFonts w:hint="eastAsia" w:ascii="方正小标宋_GBK" w:hAnsi="微软雅黑" w:eastAsia="方正小标宋_GBK" w:cs="方正小标宋_GBK"/>
                                <w:b w:val="0"/>
                                <w:bCs w:val="0"/>
                                <w:sz w:val="52"/>
                                <w:szCs w:val="52"/>
                                <w:lang w:eastAsia="zh-CN"/>
                              </w:rPr>
                            </w:pPr>
                          </w:p>
                          <w:p>
                            <w:pPr>
                              <w:spacing w:line="960" w:lineRule="auto"/>
                              <w:ind w:firstLine="0" w:firstLineChars="0"/>
                              <w:jc w:val="right"/>
                              <w:rPr>
                                <w:rFonts w:ascii="微软雅黑" w:hAnsi="微软雅黑" w:eastAsia="微软雅黑"/>
                                <w:b w:val="0"/>
                                <w:bCs w:val="0"/>
                                <w:sz w:val="52"/>
                                <w:szCs w:val="5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2" o:spid="_x0000_s1026" o:spt="202" type="#_x0000_t202" style="position:absolute;left:0pt;margin-left:38.5pt;margin-top:202.25pt;height:166.2pt;width:428.25pt;mso-position-horizontal-relative:margin;z-index:251660288;mso-width-relative:page;mso-height-relative:page;" filled="f" stroked="f" coordsize="21600,21600" o:gfxdata="UEsDBAoAAAAAAIdO4kAAAAAAAAAAAAAAAAAEAAAAZHJzL1BLAwQUAAAACACHTuJAEOY5RtsAAAAK&#10;AQAADwAAAGRycy9kb3ducmV2LnhtbE2PO0/DQBCEeyT+w2mR6Mg5cZ7G5whZipAQKRLS0K19G9vi&#10;HsZ3ecCvZ6mg29GMZr/J11drxJmG0HmnYDxKQJCrve5co+DwtnlYgggRnUbjHSn4ogDr4vYmx0z7&#10;i9vReR8bwSUuZKigjbHPpAx1SxbDyPfk2Dv6wWJkOTRSD3jhcmvkJEnm0mLn+EOLPZUt1R/7k1Xw&#10;Um62uKsmdvltyufX41P/eXifKXV/N04eQUS6xr8w/OIzOhTMVPmT00EYBYsFT4kKpsl0BoIDqzTl&#10;o2Inna9AFrn8P6H4AVBLAwQUAAAACACHTuJAFTtuDD4CAABnBAAADgAAAGRycy9lMm9Eb2MueG1s&#10;rVTBbhMxEL0j8Q+W73STNCEl6qYKrYqQKlqpIM6O19tdyfYY2+lu+QD4A05cuPNd/Q6evUlaFQ49&#10;cPGOZ8Yz897M7PFJbzS7VT60ZEs+PhhxpqykqrU3Jf/08fzVEWchClsJTVaV/E4FfrJ8+eK4cws1&#10;oYZ0pTxDEBsWnSt5E6NbFEWQjTIiHJBTFsaavBERV39TVF50iG50MRmNXhcd+cp5kioEaM8GI99G&#10;9M8JSHXdSnVGcmOUjUNUr7SIgBSa1gW+zNXWtZLxsq6DikyXHEhjPpEE8jqdxfJYLG68cE0rtyWI&#10;55TwBJMRrUXSfagzEQXb+PavUKaVngLV8UCSKQYgmRGgGI+ecHPdCKcyFlAd3J708P/Cyg+3V561&#10;Vclfc2aFQcPvf3y///n7/tc3Nkn0dC4s4HXt4Bf7t9RjaHb6AGVC3dfepC/wMNhB7t2eXNVHJqGc&#10;TQ+P5vMZZxK2yXg8mk8z/cXDc+dDfKfIsCSU3KN7mVRxexEiSoHrziVls3Teap07qC3rAOFwNsoP&#10;9ha80BYPE4ih2CTFft1vka2pugMwT8NkBCfPWyS/ECFeCY9RABYsS7zEUWtCEtpKnDXkv/5Ln/zR&#10;IVg56zBaJQ9fNsIrzvR7i969GU8BncV8mc7mE1z8Y8v6scVuzClhesdYSyezmPyj3om1J/MZO7VK&#10;WWESViJ3yeNOPI3DwGMnpVqtshOmz4l4Ya+dTKEHOlebSHWbmU40Ddxs2cP85QZsdyUN+ON79nr4&#10;Pyz/A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BDmOUbbAAAACgEAAA8AAAAAAAAAAQAgAAAAIgAA&#10;AGRycy9kb3ducmV2LnhtbFBLAQIUABQAAAAIAIdO4kAVO24MPgIAAGcEAAAOAAAAAAAAAAEAIAAA&#10;ACoBAABkcnMvZTJvRG9jLnhtbFBLBQYAAAAABgAGAFkBAADaBQAAAAA=&#10;">
                <v:fill on="f" focussize="0,0"/>
                <v:stroke on="f" weight="0.5pt"/>
                <v:imagedata o:title=""/>
                <o:lock v:ext="edit" aspectratio="f"/>
                <v:textbox>
                  <w:txbxContent>
                    <w:p>
                      <w:pPr>
                        <w:keepNext w:val="0"/>
                        <w:keepLines w:val="0"/>
                        <w:pageBreakBefore w:val="0"/>
                        <w:widowControl w:val="0"/>
                        <w:kinsoku/>
                        <w:wordWrap/>
                        <w:overflowPunct/>
                        <w:topLinePunct w:val="0"/>
                        <w:autoSpaceDE/>
                        <w:autoSpaceDN/>
                        <w:bidi w:val="0"/>
                        <w:adjustRightInd w:val="0"/>
                        <w:snapToGrid w:val="0"/>
                        <w:spacing w:line="560" w:lineRule="exact"/>
                        <w:ind w:firstLine="0" w:firstLineChars="0"/>
                        <w:jc w:val="center"/>
                        <w:textAlignment w:val="auto"/>
                        <w:rPr>
                          <w:rFonts w:hint="eastAsia" w:ascii="方正小标宋_GBK" w:hAnsi="微软雅黑" w:eastAsia="方正小标宋_GBK" w:cs="方正小标宋_GBK"/>
                          <w:b/>
                          <w:bCs/>
                          <w:sz w:val="52"/>
                          <w:szCs w:val="52"/>
                          <w:lang w:val="en-US" w:eastAsia="zh-CN"/>
                        </w:rPr>
                      </w:pPr>
                      <w:r>
                        <w:rPr>
                          <w:rFonts w:hint="eastAsia" w:ascii="方正小标宋_GBK" w:hAnsi="微软雅黑" w:eastAsia="方正小标宋_GBK" w:cs="方正小标宋_GBK"/>
                          <w:b/>
                          <w:bCs/>
                          <w:sz w:val="52"/>
                          <w:szCs w:val="52"/>
                          <w:lang w:val="en-US" w:eastAsia="zh-CN"/>
                        </w:rPr>
                        <w:t>广东电力通信科技有限公司2026年应急侦察与巡察多足机器人套件整部件委托制造框架采购</w:t>
                      </w:r>
                    </w:p>
                    <w:p>
                      <w:pPr>
                        <w:keepNext w:val="0"/>
                        <w:keepLines w:val="0"/>
                        <w:pageBreakBefore w:val="0"/>
                        <w:widowControl w:val="0"/>
                        <w:kinsoku/>
                        <w:wordWrap/>
                        <w:overflowPunct/>
                        <w:topLinePunct w:val="0"/>
                        <w:autoSpaceDE/>
                        <w:autoSpaceDN/>
                        <w:bidi w:val="0"/>
                        <w:adjustRightInd w:val="0"/>
                        <w:snapToGrid w:val="0"/>
                        <w:spacing w:line="560" w:lineRule="exact"/>
                        <w:ind w:firstLine="0" w:firstLineChars="0"/>
                        <w:jc w:val="center"/>
                        <w:textAlignment w:val="auto"/>
                        <w:rPr>
                          <w:rFonts w:hint="default" w:ascii="方正小标宋_GBK" w:hAnsi="微软雅黑" w:eastAsia="方正小标宋_GBK" w:cs="方正小标宋_GBK"/>
                          <w:b/>
                          <w:bCs/>
                          <w:sz w:val="52"/>
                          <w:szCs w:val="52"/>
                          <w:lang w:val="en-US" w:eastAsia="zh-CN"/>
                        </w:rPr>
                      </w:pPr>
                      <w:r>
                        <w:rPr>
                          <w:rFonts w:hint="eastAsia" w:ascii="方正小标宋_GBK" w:hAnsi="微软雅黑" w:eastAsia="方正小标宋_GBK" w:cs="方正小标宋_GBK"/>
                          <w:b/>
                          <w:bCs/>
                          <w:sz w:val="52"/>
                          <w:szCs w:val="52"/>
                          <w:lang w:val="en-US" w:eastAsia="zh-CN"/>
                        </w:rPr>
                        <w:t>技术规范书</w:t>
                      </w:r>
                    </w:p>
                    <w:p>
                      <w:pPr>
                        <w:keepNext w:val="0"/>
                        <w:keepLines w:val="0"/>
                        <w:pageBreakBefore w:val="0"/>
                        <w:widowControl w:val="0"/>
                        <w:kinsoku/>
                        <w:wordWrap/>
                        <w:overflowPunct/>
                        <w:topLinePunct w:val="0"/>
                        <w:autoSpaceDE/>
                        <w:autoSpaceDN/>
                        <w:bidi w:val="0"/>
                        <w:adjustRightInd w:val="0"/>
                        <w:snapToGrid w:val="0"/>
                        <w:spacing w:line="560" w:lineRule="exact"/>
                        <w:ind w:firstLine="0" w:firstLineChars="0"/>
                        <w:jc w:val="right"/>
                        <w:textAlignment w:val="auto"/>
                        <w:rPr>
                          <w:rFonts w:hint="eastAsia" w:ascii="方正小标宋_GBK" w:hAnsi="微软雅黑" w:eastAsia="方正小标宋_GBK" w:cs="方正小标宋_GBK"/>
                          <w:b w:val="0"/>
                          <w:bCs w:val="0"/>
                          <w:sz w:val="52"/>
                          <w:szCs w:val="52"/>
                          <w:lang w:eastAsia="zh-CN"/>
                        </w:rPr>
                      </w:pPr>
                    </w:p>
                    <w:p>
                      <w:pPr>
                        <w:spacing w:line="960" w:lineRule="auto"/>
                        <w:ind w:firstLine="0" w:firstLineChars="0"/>
                        <w:jc w:val="right"/>
                        <w:rPr>
                          <w:rFonts w:ascii="微软雅黑" w:hAnsi="微软雅黑" w:eastAsia="微软雅黑"/>
                          <w:b w:val="0"/>
                          <w:bCs w:val="0"/>
                          <w:sz w:val="52"/>
                          <w:szCs w:val="52"/>
                        </w:rPr>
                      </w:pPr>
                    </w:p>
                  </w:txbxContent>
                </v:textbox>
              </v:shape>
            </w:pict>
          </mc:Fallback>
        </mc:AlternateContent>
      </w:r>
      <w:r>
        <w:rPr>
          <w:rFonts w:hint="eastAsia" w:ascii="黑体" w:hAnsi="黑体" w:eastAsia="黑体" w:cs="黑体"/>
          <w:b w:val="0"/>
          <w:bCs w:val="0"/>
          <w:color w:val="auto"/>
          <w:sz w:val="32"/>
          <w:szCs w:val="32"/>
          <w:highlight w:val="none"/>
          <w:lang w:val="en-US" w:eastAsia="zh-CN"/>
        </w:rPr>
        <mc:AlternateContent>
          <mc:Choice Requires="wps">
            <w:drawing>
              <wp:anchor distT="0" distB="0" distL="114300" distR="114300" simplePos="0" relativeHeight="251661312" behindDoc="1" locked="0" layoutInCell="1" allowOverlap="1">
                <wp:simplePos x="0" y="0"/>
                <wp:positionH relativeFrom="column">
                  <wp:posOffset>1661160</wp:posOffset>
                </wp:positionH>
                <wp:positionV relativeFrom="paragraph">
                  <wp:posOffset>7298690</wp:posOffset>
                </wp:positionV>
                <wp:extent cx="3141345" cy="1525270"/>
                <wp:effectExtent l="0" t="0" r="0" b="0"/>
                <wp:wrapTight wrapText="bothSides">
                  <wp:wrapPolygon>
                    <wp:start x="629" y="647"/>
                    <wp:lineTo x="20971" y="647"/>
                    <wp:lineTo x="20971" y="20953"/>
                    <wp:lineTo x="629" y="20953"/>
                    <wp:lineTo x="629" y="647"/>
                  </wp:wrapPolygon>
                </wp:wrapTight>
                <wp:docPr id="14" name="文本框 14"/>
                <wp:cNvGraphicFramePr/>
                <a:graphic xmlns:a="http://schemas.openxmlformats.org/drawingml/2006/main">
                  <a:graphicData uri="http://schemas.microsoft.com/office/word/2010/wordprocessingShape">
                    <wps:wsp>
                      <wps:cNvSpPr txBox="1"/>
                      <wps:spPr>
                        <a:xfrm>
                          <a:off x="0" y="0"/>
                          <a:ext cx="3141345" cy="1525270"/>
                        </a:xfrm>
                        <a:prstGeom prst="rect">
                          <a:avLst/>
                        </a:prstGeom>
                        <a:noFill/>
                        <a:ln>
                          <a:noFill/>
                        </a:ln>
                      </wps:spPr>
                      <wps:txbx>
                        <w:txbxContent>
                          <w:p>
                            <w:pPr>
                              <w:jc w:val="center"/>
                              <w:rPr>
                                <w:rFonts w:hint="eastAsia" w:ascii="黑体" w:hAnsi="黑体" w:eastAsia="黑体" w:cs="黑体"/>
                                <w:sz w:val="32"/>
                                <w:szCs w:val="28"/>
                                <w:lang w:val="en-US" w:eastAsia="zh-CN"/>
                              </w:rPr>
                            </w:pPr>
                            <w:r>
                              <w:rPr>
                                <w:rFonts w:hint="eastAsia" w:ascii="黑体" w:hAnsi="黑体" w:eastAsia="黑体" w:cs="黑体"/>
                                <w:sz w:val="32"/>
                                <w:szCs w:val="28"/>
                                <w:lang w:val="en-US" w:eastAsia="zh-CN"/>
                              </w:rPr>
                              <w:t>广东电力通信科技有限公司</w:t>
                            </w:r>
                          </w:p>
                          <w:p>
                            <w:pPr>
                              <w:jc w:val="center"/>
                              <w:rPr>
                                <w:rFonts w:hint="eastAsia" w:ascii="黑体" w:hAnsi="黑体" w:eastAsia="黑体" w:cs="黑体"/>
                                <w:sz w:val="32"/>
                                <w:szCs w:val="28"/>
                                <w:lang w:val="en-US" w:eastAsia="zh-CN"/>
                              </w:rPr>
                            </w:pPr>
                            <w:r>
                              <w:rPr>
                                <w:rFonts w:hint="eastAsia" w:ascii="黑体" w:hAnsi="黑体" w:eastAsia="黑体" w:cs="黑体"/>
                                <w:sz w:val="32"/>
                                <w:szCs w:val="28"/>
                                <w:lang w:val="en-US" w:eastAsia="zh-CN"/>
                              </w:rPr>
                              <w:t>二〇二六年六月</w:t>
                            </w:r>
                          </w:p>
                        </w:txbxContent>
                      </wps:txbx>
                      <wps:bodyPr upright="1"/>
                    </wps:wsp>
                  </a:graphicData>
                </a:graphic>
              </wp:anchor>
            </w:drawing>
          </mc:Choice>
          <mc:Fallback>
            <w:pict>
              <v:shape id="_x0000_s1026" o:spid="_x0000_s1026" o:spt="202" type="#_x0000_t202" style="position:absolute;left:0pt;margin-left:130.8pt;margin-top:574.7pt;height:120.1pt;width:247.35pt;mso-wrap-distance-left:9pt;mso-wrap-distance-right:9pt;z-index:-251655168;mso-width-relative:page;mso-height-relative:page;" filled="f" stroked="f" coordsize="21600,21600" wrapcoords="629 647 20971 647 20971 20953 629 20953 629 647" o:gfxdata="UEsDBAoAAAAAAIdO4kAAAAAAAAAAAAAAAAAEAAAAZHJzL1BLAwQUAAAACACHTuJAi53KK9kAAAAN&#10;AQAADwAAAGRycy9kb3ducmV2LnhtbE2PwU7DMAyG70i8Q2Qkbizp1mVraboDiCuIAZO4Za3XVjRO&#10;1WRreXvMCY72/+n352I3u15ccAydJwPJQoFAqnzdUWPg/e3pbgsiREu17T2hgW8MsCuvrwqb136i&#10;V7zsYyO4hEJuDbQxDrmUoWrR2bDwAxJnJz86G3kcG1mPduJy18ulUlo62xFfaO2ADy1WX/uzM/Dx&#10;fPo8pOqleXTrYfKzkuQyacztTaLuQUSc4x8Mv/qsDiU7Hf2Z6iB6A0udaEY5SNIsBcHIZq1XII68&#10;Wm0zDbIs5P8vyh9QSwMEFAAAAAgAh07iQDLEa3iwAQAAUQMAAA4AAABkcnMvZTJvRG9jLnhtbK1T&#10;wW4TMRC9I/EPlu9ks2kCaJVNpSoqFwRIpR/geO2sJdtjeZzs5gfgDzhx4c535TsYO2kK5dJDL157&#10;5u2beW/s5fXoLNuriAZ8y+vJlDPlJXTGb1t+//X2zXvOMAnfCQtetfygkF+vXr9aDqFRM+jBdioy&#10;IvHYDKHlfUqhqSqUvXICJxCUp6SG6ESiY9xWXRQDsTtbzabTt9UAsQsRpEKk6PqU5GfG+BxC0NpI&#10;tQa5c8qnE2tUViSShL0JyFelW62VTJ+1RpWYbTkpTWWlIrTf5LVaLUWzjSL0Rp5bEM9p4YkmJ4yn&#10;oheqtUiC7aL5j8oZGQFBp4kEV52EFEdIRT194s1dL4IqWshqDBfT8eVo5af9l8hMRzdhzpkXjiZ+&#10;/PH9+PP38dc3RjEyaAjYEO4uEDKNNzAS+CGOFMy6Rx1d/pIiRnmy93CxV42JSQpe1fP6ar7gTFKu&#10;XswWs3dlANXj7yFi+qDAsbxpeaT5FVvF/iMmaoWgD5BczcOtsbbM0Pp/AgTMkSr3fuox79K4Gc+C&#10;NtAdSM8uRLPtqVRRVODkdCl0vhV5lH+fC+njS1j9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Iud&#10;yivZAAAADQEAAA8AAAAAAAAAAQAgAAAAIgAAAGRycy9kb3ducmV2LnhtbFBLAQIUABQAAAAIAIdO&#10;4kAyxGt4sAEAAFEDAAAOAAAAAAAAAAEAIAAAACgBAABkcnMvZTJvRG9jLnhtbFBLBQYAAAAABgAG&#10;AFkBAABKBQAAAAA=&#10;">
                <v:fill on="f" focussize="0,0"/>
                <v:stroke on="f"/>
                <v:imagedata o:title=""/>
                <o:lock v:ext="edit" aspectratio="f"/>
                <v:textbox>
                  <w:txbxContent>
                    <w:p>
                      <w:pPr>
                        <w:jc w:val="center"/>
                        <w:rPr>
                          <w:rFonts w:hint="eastAsia" w:ascii="黑体" w:hAnsi="黑体" w:eastAsia="黑体" w:cs="黑体"/>
                          <w:sz w:val="32"/>
                          <w:szCs w:val="28"/>
                          <w:lang w:val="en-US" w:eastAsia="zh-CN"/>
                        </w:rPr>
                      </w:pPr>
                      <w:r>
                        <w:rPr>
                          <w:rFonts w:hint="eastAsia" w:ascii="黑体" w:hAnsi="黑体" w:eastAsia="黑体" w:cs="黑体"/>
                          <w:sz w:val="32"/>
                          <w:szCs w:val="28"/>
                          <w:lang w:val="en-US" w:eastAsia="zh-CN"/>
                        </w:rPr>
                        <w:t>广东电力通信科技有限公司</w:t>
                      </w:r>
                    </w:p>
                    <w:p>
                      <w:pPr>
                        <w:jc w:val="center"/>
                        <w:rPr>
                          <w:rFonts w:hint="eastAsia" w:ascii="黑体" w:hAnsi="黑体" w:eastAsia="黑体" w:cs="黑体"/>
                          <w:sz w:val="32"/>
                          <w:szCs w:val="28"/>
                          <w:lang w:val="en-US" w:eastAsia="zh-CN"/>
                        </w:rPr>
                      </w:pPr>
                      <w:r>
                        <w:rPr>
                          <w:rFonts w:hint="eastAsia" w:ascii="黑体" w:hAnsi="黑体" w:eastAsia="黑体" w:cs="黑体"/>
                          <w:sz w:val="32"/>
                          <w:szCs w:val="28"/>
                          <w:lang w:val="en-US" w:eastAsia="zh-CN"/>
                        </w:rPr>
                        <w:t>二〇二六年六月</w:t>
                      </w:r>
                    </w:p>
                  </w:txbxContent>
                </v:textbox>
                <w10:wrap type="tight"/>
              </v:shape>
            </w:pict>
          </mc:Fallback>
        </mc:AlternateContent>
      </w:r>
      <w:r>
        <w:rPr>
          <w:rFonts w:hint="eastAsia" w:ascii="黑体" w:hAnsi="黑体" w:eastAsia="黑体" w:cs="黑体"/>
          <w:b w:val="0"/>
          <w:bCs w:val="0"/>
          <w:color w:val="auto"/>
          <w:sz w:val="32"/>
          <w:szCs w:val="32"/>
          <w:highlight w:val="none"/>
          <w:lang w:val="en-US" w:eastAsia="zh-CN"/>
        </w:rPr>
        <w:drawing>
          <wp:anchor distT="0" distB="0" distL="114300" distR="114300" simplePos="0" relativeHeight="251659264" behindDoc="1" locked="0" layoutInCell="1" allowOverlap="1">
            <wp:simplePos x="0" y="0"/>
            <wp:positionH relativeFrom="column">
              <wp:posOffset>-1056640</wp:posOffset>
            </wp:positionH>
            <wp:positionV relativeFrom="paragraph">
              <wp:posOffset>-1026160</wp:posOffset>
            </wp:positionV>
            <wp:extent cx="7974965" cy="10979150"/>
            <wp:effectExtent l="0" t="0" r="6985" b="0"/>
            <wp:wrapNone/>
            <wp:docPr id="5" name="图片 3" descr="D:\2021文件夹\南方电网\20210531——南网VI完稿修改\中国南方电网2021版交接设计稿\应用文件AI\B办公事务系统\未标题-2_画板 1.png未标题-2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D:\2021文件夹\南方电网\20210531——南网VI完稿修改\中国南方电网2021版交接设计稿\应用文件AI\B办公事务系统\未标题-2_画板 1.png未标题-2_画板 1"/>
                    <pic:cNvPicPr>
                      <a:picLocks noChangeAspect="1" noChangeArrowheads="1"/>
                    </pic:cNvPicPr>
                  </pic:nvPicPr>
                  <pic:blipFill>
                    <a:blip r:embed="rId7"/>
                    <a:srcRect/>
                    <a:stretch>
                      <a:fillRect/>
                    </a:stretch>
                  </pic:blipFill>
                  <pic:spPr>
                    <a:xfrm>
                      <a:off x="0" y="0"/>
                      <a:ext cx="7974965" cy="10979150"/>
                    </a:xfrm>
                    <a:prstGeom prst="rect">
                      <a:avLst/>
                    </a:prstGeom>
                    <a:noFill/>
                    <a:ln w="9525">
                      <a:noFill/>
                      <a:miter lim="800000"/>
                      <a:headEnd/>
                      <a:tailEnd/>
                    </a:ln>
                  </pic:spPr>
                </pic:pic>
              </a:graphicData>
            </a:graphic>
          </wp:anchor>
        </w:drawing>
      </w:r>
      <w:r>
        <w:rPr>
          <w:rFonts w:hint="eastAsia" w:ascii="黑体" w:hAnsi="黑体" w:eastAsia="黑体" w:cs="黑体"/>
          <w:b w:val="0"/>
          <w:bCs w:val="0"/>
          <w:color w:val="auto"/>
          <w:sz w:val="32"/>
          <w:szCs w:val="32"/>
          <w:highlight w:val="none"/>
          <w:lang w:val="en-US" w:eastAsia="zh-CN"/>
        </w:rPr>
        <w:br w:type="page"/>
      </w:r>
    </w:p>
    <w:p>
      <w:pPr>
        <w:pStyle w:val="5"/>
        <w:tabs>
          <w:tab w:val="left" w:pos="425"/>
        </w:tabs>
        <w:spacing w:before="312"/>
        <w:jc w:val="center"/>
        <w:rPr>
          <w:rFonts w:hint="eastAsia" w:ascii="宋体" w:hAnsi="宋体" w:eastAsia="宋体"/>
          <w:color w:val="auto"/>
          <w:szCs w:val="19"/>
          <w:highlight w:val="none"/>
        </w:rPr>
      </w:pPr>
      <w:r>
        <w:rPr>
          <w:rFonts w:hint="eastAsia" w:ascii="宋体" w:hAnsi="宋体" w:eastAsia="宋体"/>
          <w:color w:val="auto"/>
          <w:sz w:val="32"/>
          <w:szCs w:val="32"/>
          <w:highlight w:val="none"/>
        </w:rPr>
        <w:t>前言</w:t>
      </w:r>
    </w:p>
    <w:p>
      <w:pPr>
        <w:widowControl/>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kern w:val="0"/>
          <w:szCs w:val="21"/>
          <w:highlight w:val="none"/>
          <w:lang w:bidi="ar"/>
        </w:rPr>
        <w:t>本技术规范书为</w:t>
      </w:r>
      <w:r>
        <w:rPr>
          <w:rStyle w:val="18"/>
          <w:rFonts w:hint="eastAsia" w:ascii="宋体" w:hAnsi="宋体" w:cs="宋体"/>
          <w:b w:val="0"/>
          <w:color w:val="000000"/>
          <w:kern w:val="0"/>
          <w:szCs w:val="21"/>
          <w:highlight w:val="none"/>
          <w:lang w:bidi="ar"/>
        </w:rPr>
        <w:t>委托制造（招代工生产）</w:t>
      </w:r>
      <w:r>
        <w:rPr>
          <w:rFonts w:hint="eastAsia" w:ascii="宋体" w:hAnsi="宋体" w:cs="宋体"/>
          <w:color w:val="000000"/>
          <w:kern w:val="0"/>
          <w:szCs w:val="21"/>
          <w:highlight w:val="none"/>
          <w:lang w:bidi="ar"/>
        </w:rPr>
        <w:t>专属版本，招标方（广东电力通信科技有限公司，下称 “委托方”）提供产品核心设计方案、原材料配方、关键技术参数及生产技术要求，投标方（下称“代工方”）作为受托生产方，仅负责按照委托方要求完成产品整部件的制造、装配、试验、包装、运输等代工生产相关工作，无产品设计修改权，核心技术知识产权归委托方所有。代工方需严格遵循 “按图生产、按标制造、按要求品控”原则，全面满足委托方提出的代工生产全流程技术、质量、进度及服务要求。</w:t>
      </w:r>
    </w:p>
    <w:p>
      <w:pPr>
        <w:pStyle w:val="5"/>
        <w:keepNext w:val="0"/>
        <w:keepLines w:val="0"/>
        <w:tabs>
          <w:tab w:val="left" w:pos="425"/>
        </w:tabs>
        <w:spacing w:before="312"/>
        <w:rPr>
          <w:rFonts w:hint="eastAsia" w:ascii="宋体" w:hAnsi="宋体" w:eastAsia="宋体"/>
          <w:color w:val="000000"/>
          <w:sz w:val="32"/>
          <w:szCs w:val="32"/>
          <w:highlight w:val="none"/>
        </w:rPr>
      </w:pPr>
      <w:r>
        <w:rPr>
          <w:rFonts w:hint="eastAsia" w:ascii="宋体" w:hAnsi="宋体" w:eastAsia="宋体"/>
          <w:color w:val="000000"/>
          <w:sz w:val="32"/>
          <w:szCs w:val="32"/>
          <w:highlight w:val="none"/>
        </w:rPr>
        <w:t>一、总则</w:t>
      </w:r>
    </w:p>
    <w:p>
      <w:pPr>
        <w:widowControl/>
        <w:numPr>
          <w:ilvl w:val="0"/>
          <w:numId w:val="1"/>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本技术规范书适用于委托方2026年应急侦察与巡察多足机器人套件整部件委托制造框架的招标工作，明确了代工方在产品</w:t>
      </w:r>
      <w:r>
        <w:rPr>
          <w:rStyle w:val="18"/>
          <w:rFonts w:hint="eastAsia" w:ascii="宋体" w:hAnsi="宋体" w:cs="宋体"/>
          <w:b w:val="0"/>
          <w:color w:val="000000"/>
          <w:szCs w:val="21"/>
          <w:highlight w:val="none"/>
        </w:rPr>
        <w:t>代工生产、质量控制、仓储物流、技术配合、售后服务</w:t>
      </w:r>
      <w:r>
        <w:rPr>
          <w:rFonts w:hint="eastAsia" w:ascii="宋体" w:hAnsi="宋体" w:cs="宋体"/>
          <w:color w:val="000000"/>
          <w:szCs w:val="21"/>
          <w:highlight w:val="none"/>
        </w:rPr>
        <w:t>等全环节的技术要求、责任边界及执行标准。</w:t>
      </w:r>
    </w:p>
    <w:p>
      <w:pPr>
        <w:widowControl/>
        <w:numPr>
          <w:ilvl w:val="0"/>
          <w:numId w:val="1"/>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本技术规范书提出的是代工生产的</w:t>
      </w:r>
      <w:r>
        <w:rPr>
          <w:rStyle w:val="18"/>
          <w:rFonts w:hint="eastAsia" w:ascii="宋体" w:hAnsi="宋体" w:cs="宋体"/>
          <w:b w:val="0"/>
          <w:color w:val="000000"/>
          <w:szCs w:val="21"/>
          <w:highlight w:val="none"/>
        </w:rPr>
        <w:t>最低技术要求</w:t>
      </w:r>
      <w:r>
        <w:rPr>
          <w:rFonts w:hint="eastAsia" w:ascii="宋体" w:hAnsi="宋体" w:cs="宋体"/>
          <w:color w:val="000000"/>
          <w:szCs w:val="21"/>
          <w:highlight w:val="none"/>
        </w:rPr>
        <w:t>，凡未规定但涉及机械制造、电力设备生产、质量检测等国家/行业/IEC标准的，代工方应按</w:t>
      </w:r>
      <w:r>
        <w:rPr>
          <w:rStyle w:val="18"/>
          <w:rFonts w:hint="eastAsia" w:ascii="宋体" w:hAnsi="宋体" w:cs="宋体"/>
          <w:b w:val="0"/>
          <w:color w:val="000000"/>
          <w:szCs w:val="21"/>
          <w:highlight w:val="none"/>
        </w:rPr>
        <w:t>最高标准</w:t>
      </w:r>
      <w:r>
        <w:rPr>
          <w:rFonts w:hint="eastAsia" w:ascii="宋体" w:hAnsi="宋体" w:cs="宋体"/>
          <w:color w:val="000000"/>
          <w:szCs w:val="21"/>
          <w:highlight w:val="none"/>
        </w:rPr>
        <w:t>执行；国家安全、环保、网络安全等强制性标准，代工方必须无条件满足。</w:t>
      </w:r>
    </w:p>
    <w:p>
      <w:pPr>
        <w:widowControl/>
        <w:numPr>
          <w:ilvl w:val="0"/>
          <w:numId w:val="1"/>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若代工方未以书面形式对本规范书条文提出异议，即视为代工方具备完全满足本规范书所有代工生产要求的能力，且承诺按要求组织生产；如有任何异议，需在投标技术文件偏差表中详细说明，未说明的异议视为无效。</w:t>
      </w:r>
    </w:p>
    <w:p>
      <w:pPr>
        <w:widowControl/>
        <w:numPr>
          <w:ilvl w:val="0"/>
          <w:numId w:val="1"/>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本规范书所用标准与代工方执行标准不一致时，按</w:t>
      </w:r>
      <w:r>
        <w:rPr>
          <w:rStyle w:val="18"/>
          <w:rFonts w:hint="eastAsia" w:ascii="宋体" w:hAnsi="宋体" w:cs="宋体"/>
          <w:b w:val="0"/>
          <w:color w:val="000000"/>
          <w:szCs w:val="21"/>
          <w:highlight w:val="none"/>
        </w:rPr>
        <w:t>技术要求较高</w:t>
      </w:r>
      <w:r>
        <w:rPr>
          <w:rFonts w:hint="eastAsia" w:ascii="宋体" w:hAnsi="宋体" w:cs="宋体"/>
          <w:color w:val="000000"/>
          <w:szCs w:val="21"/>
          <w:highlight w:val="none"/>
        </w:rPr>
        <w:t>的标准执行；代工方如需采用替代标准，需提前提交中文版本供委托方审查，仅在证明替代标准</w:t>
      </w:r>
      <w:r>
        <w:rPr>
          <w:rStyle w:val="18"/>
          <w:rFonts w:hint="eastAsia" w:ascii="宋体" w:hAnsi="宋体" w:cs="宋体"/>
          <w:b w:val="0"/>
          <w:color w:val="000000"/>
          <w:szCs w:val="21"/>
          <w:highlight w:val="none"/>
        </w:rPr>
        <w:t>等同或优于</w:t>
      </w:r>
      <w:r>
        <w:rPr>
          <w:rFonts w:hint="eastAsia" w:ascii="宋体" w:hAnsi="宋体" w:cs="宋体"/>
          <w:color w:val="000000"/>
          <w:szCs w:val="21"/>
          <w:highlight w:val="none"/>
        </w:rPr>
        <w:t>本规范书标准且获得委托方书面认可后，方可使用。</w:t>
      </w:r>
    </w:p>
    <w:p>
      <w:pPr>
        <w:widowControl/>
        <w:numPr>
          <w:ilvl w:val="0"/>
          <w:numId w:val="1"/>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本规范书经委托、代工双方确认后，作为合同的技术附件，与合同正文具有同等法律效力；代工生产过程中的所有技术执行、质量判定均以本规范书为核心依据。</w:t>
      </w:r>
    </w:p>
    <w:p>
      <w:pPr>
        <w:widowControl/>
        <w:numPr>
          <w:ilvl w:val="0"/>
          <w:numId w:val="1"/>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本规范书未尽事宜，由双方协商确定；协商结果以书面形式作为本规范书补充文件，与本规范书具有同等效力。</w:t>
      </w:r>
    </w:p>
    <w:p>
      <w:pPr>
        <w:widowControl/>
        <w:numPr>
          <w:ilvl w:val="0"/>
          <w:numId w:val="1"/>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代工方需在投标技术文件中</w:t>
      </w:r>
      <w:r>
        <w:rPr>
          <w:rStyle w:val="18"/>
          <w:rFonts w:hint="eastAsia" w:ascii="宋体" w:hAnsi="宋体" w:cs="宋体"/>
          <w:b w:val="0"/>
          <w:color w:val="000000"/>
          <w:szCs w:val="21"/>
          <w:highlight w:val="none"/>
        </w:rPr>
        <w:t>如实反映</w:t>
      </w:r>
      <w:r>
        <w:rPr>
          <w:rFonts w:hint="eastAsia" w:ascii="宋体" w:hAnsi="宋体" w:cs="宋体"/>
          <w:color w:val="000000"/>
          <w:szCs w:val="21"/>
          <w:highlight w:val="none"/>
        </w:rPr>
        <w:t>自身生产能力、工艺水平与本规范书的技术差异；若未提出差异，而委托方在生产过程中发现代工方实际生产能力/产品质量与投标文件不符，委托方有权</w:t>
      </w:r>
      <w:r>
        <w:rPr>
          <w:rStyle w:val="18"/>
          <w:rFonts w:hint="eastAsia" w:ascii="宋体" w:hAnsi="宋体" w:cs="宋体"/>
          <w:b w:val="0"/>
          <w:color w:val="000000"/>
          <w:szCs w:val="21"/>
          <w:highlight w:val="none"/>
        </w:rPr>
        <w:t>终止生产订单、要求返工/退货</w:t>
      </w:r>
      <w:r>
        <w:rPr>
          <w:rFonts w:hint="eastAsia" w:ascii="宋体" w:hAnsi="宋体" w:cs="宋体"/>
          <w:color w:val="000000"/>
          <w:szCs w:val="21"/>
          <w:highlight w:val="none"/>
        </w:rPr>
        <w:t>，并追究代工方违约责任，同时代工方需承担由此给委托方造成的全部经济损失。</w:t>
      </w:r>
    </w:p>
    <w:p>
      <w:pPr>
        <w:widowControl/>
        <w:numPr>
          <w:ilvl w:val="0"/>
          <w:numId w:val="1"/>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代工方需按本规范书要求，如实提供生产设备、检测仪器、工艺路线、人员配置等关键信息，不得虚报、瞒报。</w:t>
      </w:r>
    </w:p>
    <w:p>
      <w:pPr>
        <w:widowControl/>
        <w:numPr>
          <w:ilvl w:val="0"/>
          <w:numId w:val="1"/>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代工方需充分理解本规范书要求，按指定条款、格式编制投标技术文件；若文件条款、格式不符合要求，视为投标不严肃，评标时将按规定扣分。</w:t>
      </w:r>
    </w:p>
    <w:p>
      <w:pPr>
        <w:widowControl/>
        <w:numPr>
          <w:ilvl w:val="0"/>
          <w:numId w:val="1"/>
        </w:numPr>
        <w:spacing w:line="360" w:lineRule="auto"/>
        <w:jc w:val="left"/>
        <w:rPr>
          <w:rFonts w:hint="eastAsia" w:ascii="宋体" w:hAnsi="宋体" w:cs="宋体"/>
          <w:color w:val="000000"/>
          <w:szCs w:val="21"/>
          <w:highlight w:val="none"/>
        </w:rPr>
      </w:pPr>
      <w:r>
        <w:rPr>
          <w:rStyle w:val="18"/>
          <w:rFonts w:hint="eastAsia" w:ascii="宋体" w:hAnsi="宋体" w:cs="宋体"/>
          <w:b w:val="0"/>
          <w:color w:val="000000"/>
          <w:szCs w:val="21"/>
          <w:highlight w:val="none"/>
        </w:rPr>
        <w:t>核心技术与原材料管控</w:t>
      </w:r>
    </w:p>
    <w:p>
      <w:pPr>
        <w:pStyle w:val="2"/>
        <w:spacing w:line="360" w:lineRule="auto"/>
        <w:ind w:firstLineChars="200"/>
        <w:rPr>
          <w:sz w:val="21"/>
          <w:szCs w:val="18"/>
          <w:highlight w:val="none"/>
        </w:rPr>
      </w:pPr>
      <w:r>
        <w:rPr>
          <w:rFonts w:hint="eastAsia"/>
          <w:sz w:val="21"/>
          <w:szCs w:val="18"/>
          <w:highlight w:val="none"/>
        </w:rPr>
        <w:t>产品核心技术规范、设计图纸、原材料配方由委托方统一提供，代工方仅负责按要求组织生产，不得擅自修改设计、调整原材料配方；若代工方需采购配套辅材/外购件，其技术参数、质量标准必须完全匹配委托方原材料配方及设计要求。</w:t>
      </w:r>
    </w:p>
    <w:p>
      <w:pPr>
        <w:pStyle w:val="2"/>
        <w:spacing w:line="360" w:lineRule="auto"/>
        <w:ind w:firstLineChars="200"/>
        <w:rPr>
          <w:sz w:val="21"/>
          <w:szCs w:val="18"/>
          <w:highlight w:val="none"/>
        </w:rPr>
      </w:pPr>
      <w:r>
        <w:rPr>
          <w:rFonts w:hint="eastAsia"/>
          <w:sz w:val="21"/>
          <w:szCs w:val="18"/>
          <w:highlight w:val="none"/>
        </w:rPr>
        <w:t>因代工方辅材/外购件与委托方配方/设计适配不成功，导致委托方无法准时供货、产品质量不达标等问题，所有损失由代工方全额承担，委托方有权向代工方索赔；委托方提供的配方表、设计图纸等核心资料，代工方需履行终身保密责任，不得向任何第三方泄露、复制、使用，否则承担相应法律责任。</w:t>
      </w:r>
    </w:p>
    <w:p>
      <w:pPr>
        <w:widowControl/>
        <w:numPr>
          <w:ilvl w:val="0"/>
          <w:numId w:val="1"/>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产品核心技术规范、设计图纸、原材料配方由委托方统一提供，代工方</w:t>
      </w:r>
      <w:r>
        <w:rPr>
          <w:rStyle w:val="18"/>
          <w:rFonts w:hint="eastAsia" w:ascii="宋体" w:hAnsi="宋体" w:cs="宋体"/>
          <w:b w:val="0"/>
          <w:color w:val="000000"/>
          <w:szCs w:val="21"/>
          <w:highlight w:val="none"/>
        </w:rPr>
        <w:t>仅负责按要求组织生产</w:t>
      </w:r>
      <w:r>
        <w:rPr>
          <w:rFonts w:hint="eastAsia" w:ascii="宋体" w:hAnsi="宋体" w:cs="宋体"/>
          <w:color w:val="000000"/>
          <w:szCs w:val="21"/>
          <w:highlight w:val="none"/>
        </w:rPr>
        <w:t>，不得擅自修改设计、调整原材料配方；若代工方需采购配套辅材/外购件，其技术参数、质量标准必须</w:t>
      </w:r>
      <w:r>
        <w:rPr>
          <w:rStyle w:val="18"/>
          <w:rFonts w:hint="eastAsia" w:ascii="宋体" w:hAnsi="宋体" w:cs="宋体"/>
          <w:b w:val="0"/>
          <w:color w:val="000000"/>
          <w:szCs w:val="21"/>
          <w:highlight w:val="none"/>
        </w:rPr>
        <w:t>完全匹配</w:t>
      </w:r>
      <w:r>
        <w:rPr>
          <w:rFonts w:hint="eastAsia" w:ascii="宋体" w:hAnsi="宋体" w:cs="宋体"/>
          <w:color w:val="000000"/>
          <w:szCs w:val="21"/>
          <w:highlight w:val="none"/>
        </w:rPr>
        <w:t>委托方原材料配方及设计要求。</w:t>
      </w:r>
    </w:p>
    <w:p>
      <w:pPr>
        <w:widowControl/>
        <w:numPr>
          <w:ilvl w:val="0"/>
          <w:numId w:val="1"/>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因代工方辅材/外购件与委托方配方/设计</w:t>
      </w:r>
      <w:r>
        <w:rPr>
          <w:rStyle w:val="18"/>
          <w:rFonts w:hint="eastAsia" w:ascii="宋体" w:hAnsi="宋体" w:cs="宋体"/>
          <w:b w:val="0"/>
          <w:color w:val="000000"/>
          <w:szCs w:val="21"/>
          <w:highlight w:val="none"/>
        </w:rPr>
        <w:t>适配不成功</w:t>
      </w:r>
      <w:r>
        <w:rPr>
          <w:rFonts w:hint="eastAsia" w:ascii="宋体" w:hAnsi="宋体" w:cs="宋体"/>
          <w:color w:val="000000"/>
          <w:szCs w:val="21"/>
          <w:highlight w:val="none"/>
        </w:rPr>
        <w:t>，导致委托方无法准时供货、产品质量不达标等问题，所有损失由代工方全额承担，委托方有权向代工方索赔；委托方提供的配方表、设计图纸等核心资料，代工方需履行</w:t>
      </w:r>
      <w:r>
        <w:rPr>
          <w:rStyle w:val="18"/>
          <w:rFonts w:hint="eastAsia" w:ascii="宋体" w:hAnsi="宋体" w:cs="宋体"/>
          <w:b w:val="0"/>
          <w:color w:val="000000"/>
          <w:szCs w:val="21"/>
          <w:highlight w:val="none"/>
        </w:rPr>
        <w:t>终身保密责任</w:t>
      </w:r>
      <w:r>
        <w:rPr>
          <w:rFonts w:hint="eastAsia" w:ascii="宋体" w:hAnsi="宋体" w:cs="宋体"/>
          <w:color w:val="000000"/>
          <w:szCs w:val="21"/>
          <w:highlight w:val="none"/>
        </w:rPr>
        <w:t>，不得向任何第三方泄露、复制、使用，否则承担相应法律责任。</w:t>
      </w:r>
    </w:p>
    <w:p>
      <w:pPr>
        <w:widowControl/>
        <w:numPr>
          <w:ilvl w:val="0"/>
          <w:numId w:val="1"/>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代工方定制加工的所有设备/部件，需从</w:t>
      </w:r>
      <w:r>
        <w:rPr>
          <w:rStyle w:val="18"/>
          <w:rFonts w:hint="eastAsia" w:ascii="宋体" w:hAnsi="宋体" w:cs="宋体"/>
          <w:b w:val="0"/>
          <w:color w:val="000000"/>
          <w:szCs w:val="21"/>
          <w:highlight w:val="none"/>
        </w:rPr>
        <w:t>硬件层面</w:t>
      </w:r>
      <w:r>
        <w:rPr>
          <w:rFonts w:hint="eastAsia" w:ascii="宋体" w:hAnsi="宋体" w:cs="宋体"/>
          <w:color w:val="000000"/>
          <w:szCs w:val="21"/>
          <w:highlight w:val="none"/>
        </w:rPr>
        <w:t>确保委托方设计要求的产品功能100%实现，不得因加工工艺、生产精度问题导致功能缺失、性能下降。</w:t>
      </w:r>
    </w:p>
    <w:p>
      <w:pPr>
        <w:widowControl/>
        <w:numPr>
          <w:ilvl w:val="0"/>
          <w:numId w:val="1"/>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代工生产的产品需同时满足本规范书及委托方</w:t>
      </w:r>
      <w:r>
        <w:rPr>
          <w:rStyle w:val="18"/>
          <w:rFonts w:hint="eastAsia" w:ascii="宋体" w:hAnsi="宋体" w:cs="宋体"/>
          <w:b w:val="0"/>
          <w:color w:val="000000"/>
          <w:szCs w:val="21"/>
          <w:highlight w:val="none"/>
        </w:rPr>
        <w:t>订单技术交底</w:t>
      </w:r>
      <w:r>
        <w:rPr>
          <w:rFonts w:hint="eastAsia" w:ascii="宋体" w:hAnsi="宋体" w:cs="宋体"/>
          <w:color w:val="000000"/>
          <w:szCs w:val="21"/>
          <w:highlight w:val="none"/>
        </w:rPr>
        <w:t>的要求，订单技术交底的具体要求为本规范书的补充，代工方需无条件执行。</w:t>
      </w:r>
    </w:p>
    <w:p>
      <w:pPr>
        <w:widowControl/>
        <w:numPr>
          <w:ilvl w:val="0"/>
          <w:numId w:val="1"/>
        </w:numPr>
        <w:spacing w:line="360" w:lineRule="auto"/>
        <w:jc w:val="left"/>
        <w:rPr>
          <w:rFonts w:hint="eastAsia" w:ascii="宋体" w:hAnsi="宋体" w:cs="宋体"/>
          <w:color w:val="000000"/>
          <w:szCs w:val="21"/>
          <w:highlight w:val="none"/>
        </w:rPr>
      </w:pPr>
      <w:r>
        <w:rPr>
          <w:rStyle w:val="18"/>
          <w:rFonts w:hint="eastAsia" w:ascii="宋体" w:hAnsi="宋体" w:cs="宋体"/>
          <w:b w:val="0"/>
          <w:color w:val="000000"/>
          <w:szCs w:val="21"/>
          <w:highlight w:val="none"/>
        </w:rPr>
        <w:t>元器件使用禁令</w:t>
      </w:r>
      <w:r>
        <w:rPr>
          <w:rFonts w:hint="eastAsia" w:ascii="宋体" w:hAnsi="宋体" w:cs="宋体"/>
          <w:color w:val="000000"/>
          <w:szCs w:val="21"/>
          <w:highlight w:val="none"/>
        </w:rPr>
        <w:t>：代工方需承诺代工生产过程中</w:t>
      </w:r>
      <w:r>
        <w:rPr>
          <w:rStyle w:val="18"/>
          <w:rFonts w:hint="eastAsia" w:ascii="宋体" w:hAnsi="宋体" w:cs="宋体"/>
          <w:b w:val="0"/>
          <w:color w:val="000000"/>
          <w:szCs w:val="21"/>
          <w:highlight w:val="none"/>
        </w:rPr>
        <w:t>不使用任何美光公司产品（含有美光芯片的产品）</w:t>
      </w:r>
      <w:r>
        <w:rPr>
          <w:rFonts w:hint="eastAsia" w:ascii="宋体" w:hAnsi="宋体" w:cs="宋体"/>
          <w:color w:val="000000"/>
          <w:szCs w:val="21"/>
          <w:highlight w:val="none"/>
        </w:rPr>
        <w:t>，所有外购元器件、芯片需提供品牌、生产厂家、技术参数证明，确保采购产品符合国家及南方电网相关要求，若违反承诺，投标无效且承担全部违约责任。</w:t>
      </w:r>
    </w:p>
    <w:p>
      <w:pPr>
        <w:widowControl/>
        <w:numPr>
          <w:ilvl w:val="0"/>
          <w:numId w:val="1"/>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委托方有权委托最终销售客户对加工的所有设备进行验收，代工厂应予以配合，客户验收结果视为公司验收结论的重要组成部分。</w:t>
      </w:r>
    </w:p>
    <w:p>
      <w:pPr>
        <w:widowControl/>
        <w:numPr>
          <w:ilvl w:val="0"/>
          <w:numId w:val="1"/>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产线租赁要求：在合同履约周期内，代工方应向委托方提供本项目专用生产线使用权。产线租赁协议经委托方与代工方共同确认后，作为合同附件执行，与合同正文具备同等法律效力。</w:t>
      </w:r>
      <w:r>
        <w:rPr>
          <w:rFonts w:hint="eastAsia" w:ascii="宋体" w:hAnsi="宋体" w:cs="宋体"/>
          <w:szCs w:val="21"/>
          <w:highlight w:val="none"/>
        </w:rPr>
        <w:t>委托代工费总价已包含代工方为本项目提供生产线使用的全部产线租赁相关费用，租赁费用不再单独另行计费。</w:t>
      </w:r>
    </w:p>
    <w:p>
      <w:pPr>
        <w:pStyle w:val="5"/>
        <w:keepNext w:val="0"/>
        <w:keepLines w:val="0"/>
        <w:tabs>
          <w:tab w:val="left" w:pos="425"/>
        </w:tabs>
        <w:spacing w:before="312"/>
        <w:rPr>
          <w:rFonts w:hint="eastAsia" w:ascii="宋体" w:hAnsi="宋体" w:eastAsia="宋体"/>
          <w:color w:val="000000"/>
          <w:sz w:val="32"/>
          <w:szCs w:val="32"/>
          <w:highlight w:val="none"/>
        </w:rPr>
      </w:pPr>
      <w:r>
        <w:rPr>
          <w:rFonts w:hint="eastAsia" w:ascii="宋体" w:hAnsi="宋体" w:eastAsia="宋体"/>
          <w:color w:val="000000"/>
          <w:sz w:val="32"/>
          <w:szCs w:val="32"/>
          <w:highlight w:val="none"/>
        </w:rPr>
        <w:t>二、代工生产工作范围</w:t>
      </w:r>
    </w:p>
    <w:p>
      <w:pPr>
        <w:widowControl/>
        <w:spacing w:line="360" w:lineRule="auto"/>
        <w:ind w:firstLine="420" w:firstLineChars="200"/>
        <w:jc w:val="left"/>
        <w:rPr>
          <w:rFonts w:hint="eastAsia" w:ascii="宋体" w:hAnsi="宋体" w:cs="宋体"/>
          <w:color w:val="000000"/>
          <w:kern w:val="0"/>
          <w:szCs w:val="21"/>
          <w:highlight w:val="none"/>
          <w:lang w:bidi="ar"/>
        </w:rPr>
      </w:pPr>
      <w:r>
        <w:rPr>
          <w:rFonts w:hint="eastAsia" w:ascii="宋体" w:hAnsi="宋体" w:cs="宋体"/>
          <w:color w:val="000000"/>
          <w:kern w:val="0"/>
          <w:szCs w:val="21"/>
          <w:highlight w:val="none"/>
          <w:lang w:bidi="ar"/>
        </w:rPr>
        <w:t>本章节明确代工方在委托制造模式下的</w:t>
      </w:r>
      <w:r>
        <w:rPr>
          <w:rStyle w:val="18"/>
          <w:rFonts w:hint="eastAsia" w:ascii="宋体" w:hAnsi="宋体" w:cs="宋体"/>
          <w:b w:val="0"/>
          <w:color w:val="000000"/>
          <w:kern w:val="0"/>
          <w:szCs w:val="21"/>
          <w:highlight w:val="none"/>
          <w:lang w:bidi="ar"/>
        </w:rPr>
        <w:t>核心工作范围、责任边界</w:t>
      </w:r>
      <w:r>
        <w:rPr>
          <w:rFonts w:hint="eastAsia" w:ascii="宋体" w:hAnsi="宋体" w:cs="宋体"/>
          <w:color w:val="000000"/>
          <w:kern w:val="0"/>
          <w:szCs w:val="21"/>
          <w:highlight w:val="none"/>
          <w:lang w:bidi="ar"/>
        </w:rPr>
        <w:t>，未列明的工作内容，除双方书面约定外，均由委托方负责。</w:t>
      </w:r>
    </w:p>
    <w:p>
      <w:pPr>
        <w:pStyle w:val="6"/>
        <w:keepNext w:val="0"/>
        <w:keepLines w:val="0"/>
        <w:widowControl/>
        <w:tabs>
          <w:tab w:val="left" w:pos="1276"/>
        </w:tabs>
        <w:rPr>
          <w:rFonts w:hint="eastAsia" w:ascii="宋体" w:hAnsi="宋体" w:eastAsia="宋体"/>
          <w:color w:val="000000"/>
          <w:sz w:val="28"/>
          <w:szCs w:val="28"/>
          <w:highlight w:val="none"/>
        </w:rPr>
      </w:pPr>
      <w:r>
        <w:rPr>
          <w:rFonts w:hint="eastAsia" w:ascii="宋体" w:hAnsi="宋体" w:eastAsia="宋体"/>
          <w:color w:val="000000"/>
          <w:sz w:val="28"/>
          <w:szCs w:val="28"/>
          <w:highlight w:val="none"/>
        </w:rPr>
        <w:t>2.1 生产制造范围</w:t>
      </w:r>
    </w:p>
    <w:p>
      <w:pPr>
        <w:widowControl/>
        <w:numPr>
          <w:ilvl w:val="0"/>
          <w:numId w:val="2"/>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按委托方提供的设计图纸、技术标准，完成应急侦察与巡察多足机器人套件</w:t>
      </w:r>
      <w:r>
        <w:rPr>
          <w:rFonts w:hint="eastAsia"/>
          <w:highlight w:val="none"/>
        </w:rPr>
        <w:t>整部</w:t>
      </w:r>
      <w:r>
        <w:rPr>
          <w:rStyle w:val="18"/>
          <w:rFonts w:hint="eastAsia" w:ascii="宋体" w:hAnsi="宋体" w:cs="宋体"/>
          <w:b w:val="0"/>
          <w:color w:val="000000"/>
          <w:szCs w:val="21"/>
          <w:highlight w:val="none"/>
          <w:u w:val="single"/>
        </w:rPr>
        <w:t>件</w:t>
      </w:r>
      <w:r>
        <w:rPr>
          <w:rStyle w:val="18"/>
          <w:rFonts w:hint="eastAsia" w:ascii="宋体" w:hAnsi="宋体" w:cs="宋体"/>
          <w:b w:val="0"/>
          <w:color w:val="000000"/>
          <w:szCs w:val="21"/>
          <w:highlight w:val="none"/>
        </w:rPr>
        <w:t>及其附属设备</w:t>
      </w:r>
      <w:r>
        <w:rPr>
          <w:rFonts w:hint="eastAsia" w:ascii="宋体" w:hAnsi="宋体" w:cs="宋体"/>
          <w:color w:val="000000"/>
          <w:szCs w:val="21"/>
          <w:highlight w:val="none"/>
        </w:rPr>
        <w:t>的加工、制造、装配、工厂试验（含出厂试验、型式试验配合）。</w:t>
      </w:r>
    </w:p>
    <w:p>
      <w:pPr>
        <w:widowControl/>
        <w:numPr>
          <w:ilvl w:val="0"/>
          <w:numId w:val="2"/>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产品核心组成部分的代工生产需满足以下功能/参数要求（代工方需确保加工精度、装配质量实现以下要求）：</w:t>
      </w:r>
    </w:p>
    <w:tbl>
      <w:tblPr>
        <w:tblStyle w:val="15"/>
        <w:tblW w:w="4999" w:type="pct"/>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15" w:type="dxa"/>
          <w:left w:w="15" w:type="dxa"/>
          <w:bottom w:w="15" w:type="dxa"/>
          <w:right w:w="15" w:type="dxa"/>
        </w:tblCellMar>
      </w:tblPr>
      <w:tblGrid>
        <w:gridCol w:w="2282"/>
        <w:gridCol w:w="7988"/>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15" w:type="dxa"/>
            <w:left w:w="15" w:type="dxa"/>
            <w:bottom w:w="15" w:type="dxa"/>
            <w:right w:w="15" w:type="dxa"/>
          </w:tblCellMar>
        </w:tblPrEx>
        <w:trPr>
          <w:trHeight w:val="413" w:hRule="atLeast"/>
          <w:tblHeader/>
        </w:trPr>
        <w:tc>
          <w:tcPr>
            <w:tcW w:w="1111" w:type="pct"/>
            <w:tcBorders>
              <w:tl2br w:val="nil"/>
              <w:tr2bl w:val="nil"/>
            </w:tcBorders>
            <w:shd w:val="clear" w:color="auto" w:fill="auto"/>
            <w:tcMar>
              <w:top w:w="96" w:type="dxa"/>
              <w:left w:w="96" w:type="dxa"/>
              <w:bottom w:w="96" w:type="dxa"/>
              <w:right w:w="96" w:type="dxa"/>
            </w:tcMar>
            <w:vAlign w:val="center"/>
          </w:tcPr>
          <w:p>
            <w:pP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套件</w:t>
            </w:r>
          </w:p>
        </w:tc>
        <w:tc>
          <w:tcPr>
            <w:tcW w:w="3888" w:type="pct"/>
            <w:tcBorders>
              <w:tl2br w:val="nil"/>
              <w:tr2bl w:val="nil"/>
            </w:tcBorders>
            <w:shd w:val="clear" w:color="auto" w:fill="auto"/>
            <w:tcMar>
              <w:top w:w="96" w:type="dxa"/>
              <w:left w:w="96" w:type="dxa"/>
              <w:bottom w:w="96" w:type="dxa"/>
              <w:right w:w="96" w:type="dxa"/>
            </w:tcMar>
            <w:vAlign w:val="center"/>
          </w:tcPr>
          <w:p>
            <w:pPr>
              <w:widowControl/>
              <w:rPr>
                <w:rFonts w:hint="eastAsia" w:asciiTheme="minorEastAsia" w:hAnsiTheme="minorEastAsia" w:eastAsiaTheme="minorEastAsia"/>
                <w:b/>
                <w:bCs/>
                <w:szCs w:val="21"/>
                <w:highlight w:val="none"/>
              </w:rPr>
            </w:pPr>
            <w:r>
              <w:rPr>
                <w:rFonts w:cs="宋体" w:asciiTheme="minorEastAsia" w:hAnsiTheme="minorEastAsia" w:eastAsiaTheme="minorEastAsia"/>
                <w:b/>
                <w:bCs/>
                <w:kern w:val="0"/>
                <w:szCs w:val="21"/>
                <w:highlight w:val="none"/>
                <w:lang w:bidi="ar"/>
              </w:rPr>
              <w:t>代工生产要求</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15" w:type="dxa"/>
            <w:left w:w="15" w:type="dxa"/>
            <w:bottom w:w="15" w:type="dxa"/>
            <w:right w:w="15" w:type="dxa"/>
          </w:tblCellMar>
        </w:tblPrEx>
        <w:trPr>
          <w:tblHeader/>
        </w:trPr>
        <w:tc>
          <w:tcPr>
            <w:tcW w:w="1111" w:type="pct"/>
            <w:tcBorders>
              <w:tl2br w:val="nil"/>
              <w:tr2bl w:val="nil"/>
            </w:tcBorders>
            <w:shd w:val="clear" w:color="auto" w:fill="auto"/>
            <w:tcMar>
              <w:top w:w="96" w:type="dxa"/>
              <w:left w:w="96" w:type="dxa"/>
              <w:bottom w:w="96" w:type="dxa"/>
              <w:right w:w="96" w:type="dxa"/>
            </w:tcMar>
            <w:vAlign w:val="center"/>
          </w:tcPr>
          <w:p>
            <w:pPr>
              <w:widowControl/>
              <w:rPr>
                <w:rFonts w:hint="eastAsia"/>
                <w:highlight w:val="none"/>
              </w:rPr>
            </w:pPr>
            <w:r>
              <w:rPr>
                <w:rFonts w:hint="eastAsia"/>
                <w:highlight w:val="none"/>
              </w:rPr>
              <w:t>小六足机器人</w:t>
            </w:r>
          </w:p>
          <w:p>
            <w:pPr>
              <w:widowControl/>
              <w:rPr>
                <w:rFonts w:hint="eastAsia"/>
                <w:highlight w:val="none"/>
              </w:rPr>
            </w:pPr>
            <w:r>
              <w:rPr>
                <w:rFonts w:hint="eastAsia"/>
                <w:highlight w:val="none"/>
              </w:rPr>
              <w:t>框架壳体</w:t>
            </w:r>
          </w:p>
        </w:tc>
        <w:tc>
          <w:tcPr>
            <w:tcW w:w="3888" w:type="pct"/>
            <w:tcBorders>
              <w:tl2br w:val="nil"/>
              <w:tr2bl w:val="nil"/>
            </w:tcBorders>
            <w:shd w:val="clear" w:color="auto" w:fill="auto"/>
            <w:tcMar>
              <w:top w:w="96" w:type="dxa"/>
              <w:left w:w="96" w:type="dxa"/>
              <w:bottom w:w="96" w:type="dxa"/>
              <w:right w:w="96" w:type="dxa"/>
            </w:tcMar>
            <w:vAlign w:val="center"/>
          </w:tcPr>
          <w:p>
            <w:pPr>
              <w:widowControl/>
              <w:rPr>
                <w:rFonts w:hint="eastAsia"/>
                <w:highlight w:val="none"/>
              </w:rPr>
            </w:pPr>
            <w:r>
              <w:rPr>
                <w:rFonts w:hint="eastAsia"/>
                <w:highlight w:val="none"/>
              </w:rPr>
              <w:t>满足六足构型，外观无缺陷，与机身及腿部装配适配，防护满足使用环境；</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15" w:type="dxa"/>
            <w:left w:w="15" w:type="dxa"/>
            <w:bottom w:w="15" w:type="dxa"/>
            <w:right w:w="15" w:type="dxa"/>
          </w:tblCellMar>
        </w:tblPrEx>
        <w:trPr>
          <w:tblHeader/>
        </w:trPr>
        <w:tc>
          <w:tcPr>
            <w:tcW w:w="1111" w:type="pct"/>
            <w:tcBorders>
              <w:tl2br w:val="nil"/>
              <w:tr2bl w:val="nil"/>
            </w:tcBorders>
            <w:shd w:val="clear" w:color="auto" w:fill="auto"/>
            <w:tcMar>
              <w:top w:w="96" w:type="dxa"/>
              <w:left w:w="96" w:type="dxa"/>
              <w:bottom w:w="96" w:type="dxa"/>
              <w:right w:w="96" w:type="dxa"/>
            </w:tcMar>
            <w:vAlign w:val="center"/>
          </w:tcPr>
          <w:p>
            <w:pPr>
              <w:widowControl/>
              <w:rPr>
                <w:rFonts w:hint="eastAsia"/>
                <w:highlight w:val="none"/>
              </w:rPr>
            </w:pPr>
            <w:r>
              <w:rPr>
                <w:rFonts w:hint="eastAsia"/>
                <w:highlight w:val="none"/>
              </w:rPr>
              <w:t>大六足机器人框架壳体</w:t>
            </w:r>
          </w:p>
        </w:tc>
        <w:tc>
          <w:tcPr>
            <w:tcW w:w="3888" w:type="pct"/>
            <w:tcBorders>
              <w:tl2br w:val="nil"/>
              <w:tr2bl w:val="nil"/>
            </w:tcBorders>
            <w:shd w:val="clear" w:color="auto" w:fill="auto"/>
            <w:tcMar>
              <w:top w:w="96" w:type="dxa"/>
              <w:left w:w="96" w:type="dxa"/>
              <w:bottom w:w="96" w:type="dxa"/>
              <w:right w:w="96" w:type="dxa"/>
            </w:tcMar>
            <w:vAlign w:val="center"/>
          </w:tcPr>
          <w:p>
            <w:pPr>
              <w:widowControl/>
              <w:rPr>
                <w:rFonts w:hint="eastAsia"/>
                <w:highlight w:val="none"/>
              </w:rPr>
            </w:pPr>
            <w:r>
              <w:rPr>
                <w:rFonts w:hint="eastAsia"/>
                <w:highlight w:val="none"/>
              </w:rPr>
              <w:t>满足大六足构型，外观无缺陷，与机身及腿部装配适配，防护满足使用环境；</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15" w:type="dxa"/>
            <w:left w:w="15" w:type="dxa"/>
            <w:bottom w:w="15" w:type="dxa"/>
            <w:right w:w="15" w:type="dxa"/>
          </w:tblCellMar>
        </w:tblPrEx>
        <w:trPr>
          <w:trHeight w:val="90" w:hRule="atLeast"/>
          <w:tblHeader/>
        </w:trPr>
        <w:tc>
          <w:tcPr>
            <w:tcW w:w="1111" w:type="pct"/>
            <w:tcBorders>
              <w:tl2br w:val="nil"/>
              <w:tr2bl w:val="nil"/>
            </w:tcBorders>
            <w:shd w:val="clear" w:color="auto" w:fill="auto"/>
            <w:tcMar>
              <w:top w:w="96" w:type="dxa"/>
              <w:left w:w="96" w:type="dxa"/>
              <w:bottom w:w="96" w:type="dxa"/>
              <w:right w:w="96" w:type="dxa"/>
            </w:tcMar>
            <w:vAlign w:val="center"/>
          </w:tcPr>
          <w:p>
            <w:pPr>
              <w:widowControl/>
              <w:rPr>
                <w:rFonts w:hint="eastAsia"/>
                <w:highlight w:val="none"/>
              </w:rPr>
            </w:pPr>
            <w:r>
              <w:rPr>
                <w:rFonts w:hint="eastAsia"/>
                <w:highlight w:val="none"/>
              </w:rPr>
              <w:t>小四轮足机器人框架壳体</w:t>
            </w:r>
          </w:p>
        </w:tc>
        <w:tc>
          <w:tcPr>
            <w:tcW w:w="3888" w:type="pct"/>
            <w:tcBorders>
              <w:tl2br w:val="nil"/>
              <w:tr2bl w:val="nil"/>
            </w:tcBorders>
            <w:shd w:val="clear" w:color="auto" w:fill="auto"/>
            <w:tcMar>
              <w:top w:w="96" w:type="dxa"/>
              <w:left w:w="96" w:type="dxa"/>
              <w:bottom w:w="96" w:type="dxa"/>
              <w:right w:w="96" w:type="dxa"/>
            </w:tcMar>
            <w:vAlign w:val="center"/>
          </w:tcPr>
          <w:p>
            <w:pPr>
              <w:widowControl/>
              <w:rPr>
                <w:rFonts w:hint="eastAsia"/>
                <w:highlight w:val="none"/>
              </w:rPr>
            </w:pPr>
            <w:r>
              <w:rPr>
                <w:rFonts w:hint="eastAsia"/>
                <w:highlight w:val="none"/>
              </w:rPr>
              <w:t>满足四轮足构型，外观平整无缺陷，与机身及腿部装配适配，防护满足使用环境；</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15" w:type="dxa"/>
            <w:left w:w="15" w:type="dxa"/>
            <w:bottom w:w="15" w:type="dxa"/>
            <w:right w:w="15" w:type="dxa"/>
          </w:tblCellMar>
        </w:tblPrEx>
        <w:trPr>
          <w:tblHeader/>
        </w:trPr>
        <w:tc>
          <w:tcPr>
            <w:tcW w:w="1111" w:type="pct"/>
            <w:tcBorders>
              <w:tl2br w:val="nil"/>
              <w:tr2bl w:val="nil"/>
            </w:tcBorders>
            <w:shd w:val="clear" w:color="auto" w:fill="auto"/>
            <w:tcMar>
              <w:top w:w="96" w:type="dxa"/>
              <w:left w:w="96" w:type="dxa"/>
              <w:bottom w:w="96" w:type="dxa"/>
              <w:right w:w="96" w:type="dxa"/>
            </w:tcMar>
            <w:vAlign w:val="center"/>
          </w:tcPr>
          <w:p>
            <w:pPr>
              <w:widowControl/>
              <w:rPr>
                <w:rFonts w:hint="eastAsia"/>
                <w:highlight w:val="none"/>
              </w:rPr>
            </w:pPr>
            <w:r>
              <w:rPr>
                <w:rFonts w:hint="eastAsia"/>
                <w:highlight w:val="none"/>
              </w:rPr>
              <w:t>中型轮足机器人框架壳体</w:t>
            </w:r>
          </w:p>
        </w:tc>
        <w:tc>
          <w:tcPr>
            <w:tcW w:w="3888" w:type="pct"/>
            <w:tcBorders>
              <w:tl2br w:val="nil"/>
              <w:tr2bl w:val="nil"/>
            </w:tcBorders>
            <w:shd w:val="clear" w:color="auto" w:fill="auto"/>
            <w:tcMar>
              <w:top w:w="96" w:type="dxa"/>
              <w:left w:w="96" w:type="dxa"/>
              <w:bottom w:w="96" w:type="dxa"/>
              <w:right w:w="96" w:type="dxa"/>
            </w:tcMar>
            <w:vAlign w:val="center"/>
          </w:tcPr>
          <w:p>
            <w:pPr>
              <w:widowControl/>
              <w:rPr>
                <w:rFonts w:hint="eastAsia"/>
                <w:highlight w:val="none"/>
              </w:rPr>
            </w:pPr>
            <w:r>
              <w:rPr>
                <w:rFonts w:hint="eastAsia"/>
                <w:highlight w:val="none"/>
              </w:rPr>
              <w:t>满足轮足式构型，具备负载能力，外观平整无缺陷，与机身及腿部装配适配，防护满足使用环境；</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15" w:type="dxa"/>
            <w:left w:w="15" w:type="dxa"/>
            <w:bottom w:w="15" w:type="dxa"/>
            <w:right w:w="15" w:type="dxa"/>
          </w:tblCellMar>
        </w:tblPrEx>
        <w:trPr>
          <w:trHeight w:val="226" w:hRule="atLeast"/>
          <w:tblHeader/>
        </w:trPr>
        <w:tc>
          <w:tcPr>
            <w:tcW w:w="1111" w:type="pct"/>
            <w:tcBorders>
              <w:tl2br w:val="nil"/>
              <w:tr2bl w:val="nil"/>
            </w:tcBorders>
            <w:shd w:val="clear" w:color="auto" w:fill="auto"/>
            <w:tcMar>
              <w:top w:w="96" w:type="dxa"/>
              <w:left w:w="96" w:type="dxa"/>
              <w:bottom w:w="96" w:type="dxa"/>
              <w:right w:w="96" w:type="dxa"/>
            </w:tcMar>
            <w:vAlign w:val="center"/>
          </w:tcPr>
          <w:p>
            <w:pPr>
              <w:widowControl/>
              <w:rPr>
                <w:rFonts w:hint="eastAsia"/>
                <w:highlight w:val="none"/>
              </w:rPr>
            </w:pPr>
            <w:r>
              <w:rPr>
                <w:rFonts w:hint="eastAsia"/>
                <w:highlight w:val="none"/>
              </w:rPr>
              <w:t>大型轮足机器人框架壳体</w:t>
            </w:r>
          </w:p>
        </w:tc>
        <w:tc>
          <w:tcPr>
            <w:tcW w:w="3888" w:type="pct"/>
            <w:tcBorders>
              <w:tl2br w:val="nil"/>
              <w:tr2bl w:val="nil"/>
            </w:tcBorders>
            <w:shd w:val="clear" w:color="auto" w:fill="auto"/>
            <w:tcMar>
              <w:top w:w="96" w:type="dxa"/>
              <w:left w:w="96" w:type="dxa"/>
              <w:bottom w:w="96" w:type="dxa"/>
              <w:right w:w="96" w:type="dxa"/>
            </w:tcMar>
            <w:vAlign w:val="center"/>
          </w:tcPr>
          <w:p>
            <w:pPr>
              <w:widowControl/>
              <w:rPr>
                <w:rFonts w:hint="eastAsia"/>
                <w:highlight w:val="none"/>
              </w:rPr>
            </w:pPr>
            <w:r>
              <w:rPr>
                <w:rFonts w:hint="eastAsia"/>
                <w:highlight w:val="none"/>
              </w:rPr>
              <w:t>满足轮足式构型，具备负载能力，外观平整无缺陷，与机身及腿部装配适配，防护满足使用环境；</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15" w:type="dxa"/>
            <w:left w:w="15" w:type="dxa"/>
            <w:bottom w:w="15" w:type="dxa"/>
            <w:right w:w="15" w:type="dxa"/>
          </w:tblCellMar>
        </w:tblPrEx>
        <w:trPr>
          <w:trHeight w:val="226" w:hRule="atLeast"/>
          <w:tblHeader/>
        </w:trPr>
        <w:tc>
          <w:tcPr>
            <w:tcW w:w="1111" w:type="pct"/>
            <w:tcBorders>
              <w:tl2br w:val="nil"/>
              <w:tr2bl w:val="nil"/>
            </w:tcBorders>
            <w:shd w:val="clear" w:color="auto" w:fill="auto"/>
            <w:tcMar>
              <w:top w:w="96" w:type="dxa"/>
              <w:left w:w="96" w:type="dxa"/>
              <w:bottom w:w="96" w:type="dxa"/>
              <w:right w:w="96" w:type="dxa"/>
            </w:tcMar>
            <w:vAlign w:val="center"/>
          </w:tcPr>
          <w:p>
            <w:pPr>
              <w:widowControl/>
              <w:rPr>
                <w:rFonts w:hint="eastAsia"/>
                <w:highlight w:val="none"/>
              </w:rPr>
            </w:pPr>
            <w:r>
              <w:rPr>
                <w:rFonts w:hint="eastAsia"/>
                <w:highlight w:val="none"/>
              </w:rPr>
              <w:t>运动控制模块</w:t>
            </w:r>
          </w:p>
        </w:tc>
        <w:tc>
          <w:tcPr>
            <w:tcW w:w="3888" w:type="pct"/>
            <w:tcBorders>
              <w:tl2br w:val="nil"/>
              <w:tr2bl w:val="nil"/>
            </w:tcBorders>
            <w:shd w:val="clear" w:color="auto" w:fill="auto"/>
            <w:tcMar>
              <w:top w:w="96" w:type="dxa"/>
              <w:left w:w="96" w:type="dxa"/>
              <w:bottom w:w="96" w:type="dxa"/>
              <w:right w:w="96" w:type="dxa"/>
            </w:tcMar>
            <w:vAlign w:val="center"/>
          </w:tcPr>
          <w:p>
            <w:pPr>
              <w:widowControl/>
              <w:rPr>
                <w:rFonts w:hint="eastAsia"/>
                <w:highlight w:val="none"/>
              </w:rPr>
            </w:pPr>
            <w:r>
              <w:rPr>
                <w:rFonts w:hint="eastAsia"/>
                <w:highlight w:val="none"/>
              </w:rPr>
              <w:t>适配本体，算力稳定；</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15" w:type="dxa"/>
            <w:left w:w="15" w:type="dxa"/>
            <w:bottom w:w="15" w:type="dxa"/>
            <w:right w:w="15" w:type="dxa"/>
          </w:tblCellMar>
        </w:tblPrEx>
        <w:trPr>
          <w:trHeight w:val="226" w:hRule="atLeast"/>
          <w:tblHeader/>
        </w:trPr>
        <w:tc>
          <w:tcPr>
            <w:tcW w:w="1111" w:type="pct"/>
            <w:tcBorders>
              <w:tl2br w:val="nil"/>
              <w:tr2bl w:val="nil"/>
            </w:tcBorders>
            <w:shd w:val="clear" w:color="auto" w:fill="auto"/>
            <w:tcMar>
              <w:top w:w="96" w:type="dxa"/>
              <w:left w:w="96" w:type="dxa"/>
              <w:bottom w:w="96" w:type="dxa"/>
              <w:right w:w="96" w:type="dxa"/>
            </w:tcMar>
            <w:vAlign w:val="center"/>
          </w:tcPr>
          <w:p>
            <w:pPr>
              <w:widowControl/>
              <w:rPr>
                <w:rFonts w:hint="eastAsia"/>
                <w:highlight w:val="none"/>
              </w:rPr>
            </w:pPr>
            <w:r>
              <w:rPr>
                <w:rFonts w:hint="eastAsia"/>
                <w:highlight w:val="none"/>
              </w:rPr>
              <w:t>感知模块</w:t>
            </w:r>
          </w:p>
        </w:tc>
        <w:tc>
          <w:tcPr>
            <w:tcW w:w="3888" w:type="pct"/>
            <w:tcBorders>
              <w:tl2br w:val="nil"/>
              <w:tr2bl w:val="nil"/>
            </w:tcBorders>
            <w:shd w:val="clear" w:color="auto" w:fill="auto"/>
            <w:tcMar>
              <w:top w:w="96" w:type="dxa"/>
              <w:left w:w="96" w:type="dxa"/>
              <w:bottom w:w="96" w:type="dxa"/>
              <w:right w:w="96" w:type="dxa"/>
            </w:tcMar>
            <w:vAlign w:val="center"/>
          </w:tcPr>
          <w:p>
            <w:pPr>
              <w:widowControl/>
              <w:rPr>
                <w:rFonts w:hint="eastAsia"/>
                <w:highlight w:val="none"/>
              </w:rPr>
            </w:pPr>
            <w:r>
              <w:rPr>
                <w:rFonts w:hint="eastAsia"/>
                <w:highlight w:val="none"/>
              </w:rPr>
              <w:t>适配本体，控制精准，性能稳定；</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15" w:type="dxa"/>
            <w:left w:w="15" w:type="dxa"/>
            <w:bottom w:w="15" w:type="dxa"/>
            <w:right w:w="15" w:type="dxa"/>
          </w:tblCellMar>
        </w:tblPrEx>
        <w:trPr>
          <w:trHeight w:val="226" w:hRule="atLeast"/>
          <w:tblHeader/>
        </w:trPr>
        <w:tc>
          <w:tcPr>
            <w:tcW w:w="1111" w:type="pct"/>
            <w:tcBorders>
              <w:tl2br w:val="nil"/>
              <w:tr2bl w:val="nil"/>
            </w:tcBorders>
            <w:shd w:val="clear" w:color="auto" w:fill="auto"/>
            <w:tcMar>
              <w:top w:w="96" w:type="dxa"/>
              <w:left w:w="96" w:type="dxa"/>
              <w:bottom w:w="96" w:type="dxa"/>
              <w:right w:w="96" w:type="dxa"/>
            </w:tcMar>
            <w:vAlign w:val="center"/>
          </w:tcPr>
          <w:p>
            <w:pPr>
              <w:widowControl/>
              <w:rPr>
                <w:rFonts w:hint="eastAsia"/>
                <w:highlight w:val="none"/>
              </w:rPr>
            </w:pPr>
            <w:r>
              <w:rPr>
                <w:rFonts w:hint="eastAsia"/>
                <w:highlight w:val="none"/>
              </w:rPr>
              <w:t>关节</w:t>
            </w:r>
          </w:p>
        </w:tc>
        <w:tc>
          <w:tcPr>
            <w:tcW w:w="3888" w:type="pct"/>
            <w:tcBorders>
              <w:tl2br w:val="nil"/>
              <w:tr2bl w:val="nil"/>
            </w:tcBorders>
            <w:shd w:val="clear" w:color="auto" w:fill="auto"/>
            <w:tcMar>
              <w:top w:w="96" w:type="dxa"/>
              <w:left w:w="96" w:type="dxa"/>
              <w:bottom w:w="96" w:type="dxa"/>
              <w:right w:w="96" w:type="dxa"/>
            </w:tcMar>
            <w:vAlign w:val="center"/>
          </w:tcPr>
          <w:p>
            <w:pPr>
              <w:widowControl/>
              <w:rPr>
                <w:rFonts w:hint="eastAsia"/>
                <w:highlight w:val="none"/>
              </w:rPr>
            </w:pPr>
            <w:r>
              <w:rPr>
                <w:rFonts w:hint="eastAsia"/>
                <w:highlight w:val="none"/>
              </w:rPr>
              <w:t>扭矩达标，动态响应快；</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15" w:type="dxa"/>
            <w:left w:w="15" w:type="dxa"/>
            <w:bottom w:w="15" w:type="dxa"/>
            <w:right w:w="15" w:type="dxa"/>
          </w:tblCellMar>
        </w:tblPrEx>
        <w:trPr>
          <w:trHeight w:val="226" w:hRule="atLeast"/>
          <w:tblHeader/>
        </w:trPr>
        <w:tc>
          <w:tcPr>
            <w:tcW w:w="1111" w:type="pct"/>
            <w:tcBorders>
              <w:tl2br w:val="nil"/>
              <w:tr2bl w:val="nil"/>
            </w:tcBorders>
            <w:shd w:val="clear" w:color="auto" w:fill="auto"/>
            <w:tcMar>
              <w:top w:w="96" w:type="dxa"/>
              <w:left w:w="96" w:type="dxa"/>
              <w:bottom w:w="96" w:type="dxa"/>
              <w:right w:w="96" w:type="dxa"/>
            </w:tcMar>
            <w:vAlign w:val="center"/>
          </w:tcPr>
          <w:p>
            <w:pPr>
              <w:widowControl/>
              <w:rPr>
                <w:rFonts w:hint="eastAsia"/>
                <w:highlight w:val="none"/>
              </w:rPr>
            </w:pPr>
            <w:r>
              <w:rPr>
                <w:rFonts w:hint="eastAsia"/>
                <w:highlight w:val="none"/>
              </w:rPr>
              <w:t>激光雷达</w:t>
            </w:r>
          </w:p>
        </w:tc>
        <w:tc>
          <w:tcPr>
            <w:tcW w:w="3888" w:type="pct"/>
            <w:tcBorders>
              <w:tl2br w:val="nil"/>
              <w:tr2bl w:val="nil"/>
            </w:tcBorders>
            <w:shd w:val="clear" w:color="auto" w:fill="auto"/>
            <w:tcMar>
              <w:top w:w="96" w:type="dxa"/>
              <w:left w:w="96" w:type="dxa"/>
              <w:bottom w:w="96" w:type="dxa"/>
              <w:right w:w="96" w:type="dxa"/>
            </w:tcMar>
            <w:vAlign w:val="center"/>
          </w:tcPr>
          <w:p>
            <w:pPr>
              <w:widowControl/>
              <w:rPr>
                <w:rFonts w:hint="eastAsia"/>
                <w:highlight w:val="none"/>
              </w:rPr>
            </w:pPr>
            <w:r>
              <w:rPr>
                <w:rFonts w:hint="eastAsia"/>
                <w:highlight w:val="none"/>
              </w:rPr>
              <w:t>接口与安装位适配机器人本体，性能稳定可靠，外观无瑕疵；</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15" w:type="dxa"/>
            <w:left w:w="15" w:type="dxa"/>
            <w:bottom w:w="15" w:type="dxa"/>
            <w:right w:w="15" w:type="dxa"/>
          </w:tblCellMar>
        </w:tblPrEx>
        <w:trPr>
          <w:trHeight w:val="226" w:hRule="atLeast"/>
          <w:tblHeader/>
        </w:trPr>
        <w:tc>
          <w:tcPr>
            <w:tcW w:w="1111" w:type="pct"/>
            <w:tcBorders>
              <w:tl2br w:val="nil"/>
              <w:tr2bl w:val="nil"/>
            </w:tcBorders>
            <w:shd w:val="clear" w:color="auto" w:fill="auto"/>
            <w:tcMar>
              <w:top w:w="96" w:type="dxa"/>
              <w:left w:w="96" w:type="dxa"/>
              <w:bottom w:w="96" w:type="dxa"/>
              <w:right w:w="96" w:type="dxa"/>
            </w:tcMar>
            <w:vAlign w:val="center"/>
          </w:tcPr>
          <w:p>
            <w:pPr>
              <w:widowControl/>
              <w:rPr>
                <w:rFonts w:hint="eastAsia"/>
                <w:highlight w:val="none"/>
              </w:rPr>
            </w:pPr>
            <w:r>
              <w:rPr>
                <w:rFonts w:hint="eastAsia"/>
                <w:highlight w:val="none"/>
              </w:rPr>
              <w:t>电池</w:t>
            </w:r>
          </w:p>
        </w:tc>
        <w:tc>
          <w:tcPr>
            <w:tcW w:w="3888" w:type="pct"/>
            <w:tcBorders>
              <w:tl2br w:val="nil"/>
              <w:tr2bl w:val="nil"/>
            </w:tcBorders>
            <w:shd w:val="clear" w:color="auto" w:fill="auto"/>
            <w:tcMar>
              <w:top w:w="96" w:type="dxa"/>
              <w:left w:w="96" w:type="dxa"/>
              <w:bottom w:w="96" w:type="dxa"/>
              <w:right w:w="96" w:type="dxa"/>
            </w:tcMar>
            <w:vAlign w:val="center"/>
          </w:tcPr>
          <w:p>
            <w:pPr>
              <w:widowControl/>
              <w:rPr>
                <w:rFonts w:hint="eastAsia"/>
                <w:highlight w:val="none"/>
              </w:rPr>
            </w:pPr>
            <w:r>
              <w:rPr>
                <w:rFonts w:hint="eastAsia"/>
                <w:highlight w:val="none"/>
              </w:rPr>
              <w:t>符合安全规范与电气参数，电芯一致性好，防护与绝缘达标，尺寸精准，接口匹配，充放电性能稳定可靠；</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15" w:type="dxa"/>
            <w:left w:w="15" w:type="dxa"/>
            <w:bottom w:w="15" w:type="dxa"/>
            <w:right w:w="15" w:type="dxa"/>
          </w:tblCellMar>
        </w:tblPrEx>
        <w:trPr>
          <w:tblHeader/>
        </w:trPr>
        <w:tc>
          <w:tcPr>
            <w:tcW w:w="1111" w:type="pct"/>
            <w:tcBorders>
              <w:tl2br w:val="nil"/>
              <w:tr2bl w:val="nil"/>
            </w:tcBorders>
            <w:shd w:val="clear" w:color="auto" w:fill="auto"/>
            <w:tcMar>
              <w:top w:w="96" w:type="dxa"/>
              <w:left w:w="96" w:type="dxa"/>
              <w:bottom w:w="96" w:type="dxa"/>
              <w:right w:w="96" w:type="dxa"/>
            </w:tcMar>
            <w:vAlign w:val="center"/>
          </w:tcPr>
          <w:p>
            <w:pPr>
              <w:widowControl/>
              <w:rPr>
                <w:rFonts w:hint="eastAsia"/>
                <w:highlight w:val="none"/>
              </w:rPr>
            </w:pPr>
            <w:r>
              <w:rPr>
                <w:rFonts w:hint="eastAsia"/>
                <w:highlight w:val="none"/>
              </w:rPr>
              <w:t>双光相机</w:t>
            </w:r>
          </w:p>
        </w:tc>
        <w:tc>
          <w:tcPr>
            <w:tcW w:w="3888" w:type="pct"/>
            <w:tcBorders>
              <w:tl2br w:val="nil"/>
              <w:tr2bl w:val="nil"/>
            </w:tcBorders>
            <w:shd w:val="clear" w:color="auto" w:fill="auto"/>
            <w:tcMar>
              <w:top w:w="96" w:type="dxa"/>
              <w:left w:w="96" w:type="dxa"/>
              <w:bottom w:w="96" w:type="dxa"/>
              <w:right w:w="96" w:type="dxa"/>
            </w:tcMar>
            <w:vAlign w:val="center"/>
          </w:tcPr>
          <w:p>
            <w:pPr>
              <w:widowControl/>
              <w:rPr>
                <w:rFonts w:hint="eastAsia"/>
                <w:highlight w:val="none"/>
              </w:rPr>
            </w:pPr>
            <w:r>
              <w:rPr>
                <w:rFonts w:hint="eastAsia"/>
                <w:highlight w:val="none"/>
              </w:rPr>
              <w:t>可以满足可见光与红外热成像双模组，成像清晰、对焦稳定，接口与协议完全适配机器狗平台，可实时传输高清视频/图片。</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15" w:type="dxa"/>
            <w:left w:w="15" w:type="dxa"/>
            <w:bottom w:w="15" w:type="dxa"/>
            <w:right w:w="15" w:type="dxa"/>
          </w:tblCellMar>
        </w:tblPrEx>
        <w:trPr>
          <w:tblHeader/>
        </w:trPr>
        <w:tc>
          <w:tcPr>
            <w:tcW w:w="1111" w:type="pct"/>
            <w:tcBorders>
              <w:tl2br w:val="nil"/>
              <w:tr2bl w:val="nil"/>
            </w:tcBorders>
            <w:shd w:val="clear" w:color="auto" w:fill="auto"/>
            <w:tcMar>
              <w:top w:w="96" w:type="dxa"/>
              <w:left w:w="96" w:type="dxa"/>
              <w:bottom w:w="96" w:type="dxa"/>
              <w:right w:w="96" w:type="dxa"/>
            </w:tcMar>
            <w:vAlign w:val="center"/>
          </w:tcPr>
          <w:p>
            <w:pPr>
              <w:widowControl/>
              <w:rPr>
                <w:rFonts w:hint="eastAsia"/>
                <w:highlight w:val="none"/>
              </w:rPr>
            </w:pPr>
            <w:r>
              <w:rPr>
                <w:rFonts w:hint="eastAsia"/>
                <w:highlight w:val="none"/>
              </w:rPr>
              <w:t>轻量化双光相机</w:t>
            </w:r>
          </w:p>
        </w:tc>
        <w:tc>
          <w:tcPr>
            <w:tcW w:w="3888" w:type="pct"/>
            <w:tcBorders>
              <w:tl2br w:val="nil"/>
              <w:tr2bl w:val="nil"/>
            </w:tcBorders>
            <w:shd w:val="clear" w:color="auto" w:fill="auto"/>
            <w:tcMar>
              <w:top w:w="96" w:type="dxa"/>
              <w:left w:w="96" w:type="dxa"/>
              <w:bottom w:w="96" w:type="dxa"/>
              <w:right w:w="96" w:type="dxa"/>
            </w:tcMar>
            <w:vAlign w:val="center"/>
          </w:tcPr>
          <w:p>
            <w:pPr>
              <w:widowControl/>
              <w:rPr>
                <w:rFonts w:hint="eastAsia"/>
                <w:highlight w:val="none"/>
              </w:rPr>
            </w:pPr>
            <w:r>
              <w:rPr>
                <w:rFonts w:hint="eastAsia"/>
                <w:highlight w:val="none"/>
              </w:rPr>
              <w:t>重量轻，满足可见光与红外热成像双模组，接口与协议完全适配机器狗平台，可实时传输视频/图片。</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15" w:type="dxa"/>
            <w:left w:w="15" w:type="dxa"/>
            <w:bottom w:w="15" w:type="dxa"/>
            <w:right w:w="15" w:type="dxa"/>
          </w:tblCellMar>
        </w:tblPrEx>
        <w:trPr>
          <w:tblHeader/>
        </w:trPr>
        <w:tc>
          <w:tcPr>
            <w:tcW w:w="1111" w:type="pct"/>
            <w:tcBorders>
              <w:tl2br w:val="nil"/>
              <w:tr2bl w:val="nil"/>
            </w:tcBorders>
            <w:shd w:val="clear" w:color="auto" w:fill="auto"/>
            <w:tcMar>
              <w:top w:w="96" w:type="dxa"/>
              <w:left w:w="96" w:type="dxa"/>
              <w:bottom w:w="96" w:type="dxa"/>
              <w:right w:w="96" w:type="dxa"/>
            </w:tcMar>
            <w:vAlign w:val="center"/>
          </w:tcPr>
          <w:p>
            <w:pPr>
              <w:widowControl/>
              <w:rPr>
                <w:rFonts w:hint="eastAsia"/>
                <w:highlight w:val="none"/>
              </w:rPr>
            </w:pPr>
            <w:bookmarkStart w:id="0" w:name="OLE_LINK1"/>
            <w:bookmarkStart w:id="1" w:name="_Hlk227397642"/>
            <w:r>
              <w:rPr>
                <w:rFonts w:hint="eastAsia"/>
                <w:highlight w:val="none"/>
              </w:rPr>
              <w:t>ULP相机</w:t>
            </w:r>
            <w:bookmarkEnd w:id="0"/>
          </w:p>
        </w:tc>
        <w:tc>
          <w:tcPr>
            <w:tcW w:w="3888" w:type="pct"/>
            <w:tcBorders>
              <w:tl2br w:val="nil"/>
              <w:tr2bl w:val="nil"/>
            </w:tcBorders>
            <w:shd w:val="clear" w:color="auto" w:fill="auto"/>
            <w:tcMar>
              <w:top w:w="96" w:type="dxa"/>
              <w:left w:w="96" w:type="dxa"/>
              <w:bottom w:w="96" w:type="dxa"/>
              <w:right w:w="96" w:type="dxa"/>
            </w:tcMar>
            <w:vAlign w:val="center"/>
          </w:tcPr>
          <w:p>
            <w:pPr>
              <w:widowControl/>
              <w:rPr>
                <w:rFonts w:hint="eastAsia"/>
                <w:highlight w:val="none"/>
              </w:rPr>
            </w:pPr>
            <w:r>
              <w:rPr>
                <w:rFonts w:hint="eastAsia"/>
                <w:highlight w:val="none"/>
              </w:rPr>
              <w:t>支持蓝牙或者WIFI通讯，可进行拍照摄像</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15" w:type="dxa"/>
            <w:left w:w="15" w:type="dxa"/>
            <w:bottom w:w="15" w:type="dxa"/>
            <w:right w:w="15" w:type="dxa"/>
          </w:tblCellMar>
        </w:tblPrEx>
        <w:trPr>
          <w:tblHeader/>
        </w:trPr>
        <w:tc>
          <w:tcPr>
            <w:tcW w:w="1111" w:type="pct"/>
            <w:tcBorders>
              <w:tl2br w:val="nil"/>
              <w:tr2bl w:val="nil"/>
            </w:tcBorders>
            <w:shd w:val="clear" w:color="auto" w:fill="auto"/>
            <w:tcMar>
              <w:top w:w="96" w:type="dxa"/>
              <w:left w:w="96" w:type="dxa"/>
              <w:bottom w:w="96" w:type="dxa"/>
              <w:right w:w="96" w:type="dxa"/>
            </w:tcMar>
            <w:vAlign w:val="center"/>
          </w:tcPr>
          <w:p>
            <w:pPr>
              <w:widowControl/>
              <w:rPr>
                <w:rFonts w:hint="eastAsia"/>
                <w:highlight w:val="none"/>
              </w:rPr>
            </w:pPr>
            <w:r>
              <w:rPr>
                <w:rFonts w:hint="eastAsia"/>
                <w:highlight w:val="none"/>
              </w:rPr>
              <w:t>应急设备（四合一喊话器） </w:t>
            </w:r>
          </w:p>
        </w:tc>
        <w:tc>
          <w:tcPr>
            <w:tcW w:w="3888" w:type="pct"/>
            <w:tcBorders>
              <w:tl2br w:val="nil"/>
              <w:tr2bl w:val="nil"/>
            </w:tcBorders>
            <w:shd w:val="clear" w:color="auto" w:fill="auto"/>
            <w:tcMar>
              <w:top w:w="96" w:type="dxa"/>
              <w:left w:w="96" w:type="dxa"/>
              <w:bottom w:w="96" w:type="dxa"/>
              <w:right w:w="96" w:type="dxa"/>
            </w:tcMar>
            <w:vAlign w:val="center"/>
          </w:tcPr>
          <w:p>
            <w:pPr>
              <w:widowControl/>
              <w:rPr>
                <w:rFonts w:hint="eastAsia"/>
                <w:highlight w:val="none"/>
              </w:rPr>
            </w:pPr>
            <w:r>
              <w:rPr>
                <w:rFonts w:hint="eastAsia"/>
                <w:highlight w:val="none"/>
              </w:rPr>
              <w:t>可以进行远程喊话、探照灯、红蓝警示灯、双向收音功能于一体的多功能负载设备</w:t>
            </w:r>
          </w:p>
        </w:tc>
      </w:tr>
      <w:bookmarkEnd w:id="1"/>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15" w:type="dxa"/>
            <w:left w:w="15" w:type="dxa"/>
            <w:bottom w:w="15" w:type="dxa"/>
            <w:right w:w="15" w:type="dxa"/>
          </w:tblCellMar>
        </w:tblPrEx>
        <w:trPr>
          <w:tblHeader/>
        </w:trPr>
        <w:tc>
          <w:tcPr>
            <w:tcW w:w="1111" w:type="pct"/>
            <w:tcBorders>
              <w:tl2br w:val="nil"/>
              <w:tr2bl w:val="nil"/>
            </w:tcBorders>
            <w:shd w:val="clear" w:color="auto" w:fill="auto"/>
            <w:tcMar>
              <w:top w:w="96" w:type="dxa"/>
              <w:left w:w="96" w:type="dxa"/>
              <w:bottom w:w="96" w:type="dxa"/>
              <w:right w:w="96" w:type="dxa"/>
            </w:tcMar>
            <w:vAlign w:val="center"/>
          </w:tcPr>
          <w:p>
            <w:pPr>
              <w:widowControl/>
              <w:rPr>
                <w:rFonts w:hint="eastAsia"/>
                <w:highlight w:val="none"/>
              </w:rPr>
            </w:pPr>
            <w:r>
              <w:rPr>
                <w:rFonts w:hint="eastAsia"/>
                <w:highlight w:val="none"/>
              </w:rPr>
              <w:t>巡视一体机</w:t>
            </w:r>
          </w:p>
        </w:tc>
        <w:tc>
          <w:tcPr>
            <w:tcW w:w="3888" w:type="pct"/>
            <w:tcBorders>
              <w:tl2br w:val="nil"/>
              <w:tr2bl w:val="nil"/>
            </w:tcBorders>
            <w:shd w:val="clear" w:color="auto" w:fill="auto"/>
            <w:tcMar>
              <w:top w:w="96" w:type="dxa"/>
              <w:left w:w="96" w:type="dxa"/>
              <w:bottom w:w="96" w:type="dxa"/>
              <w:right w:w="96" w:type="dxa"/>
            </w:tcMar>
            <w:vAlign w:val="center"/>
          </w:tcPr>
          <w:p>
            <w:pPr>
              <w:widowControl/>
              <w:rPr>
                <w:rFonts w:hint="eastAsia"/>
                <w:highlight w:val="none"/>
              </w:rPr>
            </w:pPr>
            <w:r>
              <w:rPr>
                <w:rFonts w:hint="eastAsia"/>
                <w:highlight w:val="none"/>
              </w:rPr>
              <w:t>1.全新稳定</w:t>
            </w:r>
          </w:p>
          <w:p>
            <w:pPr>
              <w:widowControl/>
              <w:rPr>
                <w:rFonts w:hint="eastAsia"/>
                <w:highlight w:val="none"/>
              </w:rPr>
            </w:pPr>
            <w:r>
              <w:rPr>
                <w:rFonts w:hint="eastAsia"/>
                <w:highlight w:val="none"/>
              </w:rPr>
              <w:t>2.满足任务管理、巡视监控、告警确认、巡视结果归档、巡视报告、用户设置、实时监控、台账管理、系统自检等功能</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15" w:type="dxa"/>
            <w:left w:w="15" w:type="dxa"/>
            <w:bottom w:w="15" w:type="dxa"/>
            <w:right w:w="15" w:type="dxa"/>
          </w:tblCellMar>
        </w:tblPrEx>
        <w:trPr>
          <w:tblHeader/>
        </w:trPr>
        <w:tc>
          <w:tcPr>
            <w:tcW w:w="1111" w:type="pct"/>
            <w:tcBorders>
              <w:tl2br w:val="nil"/>
              <w:tr2bl w:val="nil"/>
            </w:tcBorders>
            <w:shd w:val="clear" w:color="auto" w:fill="auto"/>
            <w:tcMar>
              <w:top w:w="96" w:type="dxa"/>
              <w:left w:w="96" w:type="dxa"/>
              <w:bottom w:w="96" w:type="dxa"/>
              <w:right w:w="96" w:type="dxa"/>
            </w:tcMar>
            <w:vAlign w:val="center"/>
          </w:tcPr>
          <w:p>
            <w:pPr>
              <w:widowControl/>
              <w:rPr>
                <w:rFonts w:hint="eastAsia"/>
                <w:highlight w:val="none"/>
              </w:rPr>
            </w:pPr>
            <w:r>
              <w:rPr>
                <w:rFonts w:hint="eastAsia"/>
                <w:highlight w:val="none"/>
              </w:rPr>
              <w:t>远程遥控一体机</w:t>
            </w:r>
          </w:p>
        </w:tc>
        <w:tc>
          <w:tcPr>
            <w:tcW w:w="3888" w:type="pct"/>
            <w:tcBorders>
              <w:tl2br w:val="nil"/>
              <w:tr2bl w:val="nil"/>
            </w:tcBorders>
            <w:shd w:val="clear" w:color="auto" w:fill="auto"/>
            <w:tcMar>
              <w:top w:w="96" w:type="dxa"/>
              <w:left w:w="96" w:type="dxa"/>
              <w:bottom w:w="96" w:type="dxa"/>
              <w:right w:w="96" w:type="dxa"/>
            </w:tcMar>
            <w:vAlign w:val="center"/>
          </w:tcPr>
          <w:p>
            <w:pPr>
              <w:widowControl/>
              <w:rPr>
                <w:rFonts w:hint="eastAsia"/>
                <w:highlight w:val="none"/>
              </w:rPr>
            </w:pPr>
            <w:r>
              <w:rPr>
                <w:rFonts w:hint="eastAsia"/>
                <w:highlight w:val="none"/>
              </w:rPr>
              <w:t>1.可以对机器狗进行远程控制 </w:t>
            </w:r>
          </w:p>
          <w:p>
            <w:pPr>
              <w:widowControl/>
              <w:rPr>
                <w:rFonts w:hint="eastAsia"/>
                <w:highlight w:val="none"/>
              </w:rPr>
            </w:pPr>
            <w:r>
              <w:rPr>
                <w:rFonts w:hint="eastAsia"/>
                <w:highlight w:val="none"/>
              </w:rPr>
              <w:t>2.可以对上装云台进行远程控制 </w:t>
            </w:r>
          </w:p>
          <w:p>
            <w:pPr>
              <w:widowControl/>
              <w:rPr>
                <w:rFonts w:hint="eastAsia"/>
                <w:highlight w:val="none"/>
              </w:rPr>
            </w:pPr>
            <w:r>
              <w:rPr>
                <w:rFonts w:hint="eastAsia"/>
                <w:highlight w:val="none"/>
              </w:rPr>
              <w:t>3.可以针对视频数据进行实时回传显示</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15" w:type="dxa"/>
            <w:left w:w="15" w:type="dxa"/>
            <w:bottom w:w="15" w:type="dxa"/>
            <w:right w:w="15" w:type="dxa"/>
          </w:tblCellMar>
        </w:tblPrEx>
        <w:trPr>
          <w:tblHeader/>
        </w:trPr>
        <w:tc>
          <w:tcPr>
            <w:tcW w:w="1111" w:type="pct"/>
            <w:tcBorders>
              <w:tl2br w:val="nil"/>
              <w:tr2bl w:val="nil"/>
            </w:tcBorders>
            <w:shd w:val="clear" w:color="auto" w:fill="auto"/>
            <w:tcMar>
              <w:top w:w="96" w:type="dxa"/>
              <w:left w:w="96" w:type="dxa"/>
              <w:bottom w:w="96" w:type="dxa"/>
              <w:right w:w="96" w:type="dxa"/>
            </w:tcMar>
            <w:vAlign w:val="center"/>
          </w:tcPr>
          <w:p>
            <w:pPr>
              <w:widowControl/>
              <w:rPr>
                <w:rFonts w:hint="eastAsia"/>
                <w:highlight w:val="none"/>
              </w:rPr>
            </w:pPr>
            <w:r>
              <w:rPr>
                <w:rFonts w:hint="eastAsia"/>
                <w:highlight w:val="none"/>
              </w:rPr>
              <w:t>巡检点位识别模块</w:t>
            </w:r>
          </w:p>
        </w:tc>
        <w:tc>
          <w:tcPr>
            <w:tcW w:w="3888" w:type="pct"/>
            <w:tcBorders>
              <w:tl2br w:val="nil"/>
              <w:tr2bl w:val="nil"/>
            </w:tcBorders>
            <w:shd w:val="clear" w:color="auto" w:fill="auto"/>
            <w:tcMar>
              <w:top w:w="96" w:type="dxa"/>
              <w:left w:w="96" w:type="dxa"/>
              <w:bottom w:w="96" w:type="dxa"/>
              <w:right w:w="96" w:type="dxa"/>
            </w:tcMar>
            <w:vAlign w:val="center"/>
          </w:tcPr>
          <w:p>
            <w:pPr>
              <w:widowControl/>
              <w:rPr>
                <w:rFonts w:hint="eastAsia"/>
                <w:highlight w:val="none"/>
              </w:rPr>
            </w:pPr>
            <w:r>
              <w:rPr>
                <w:rFonts w:hint="eastAsia"/>
                <w:highlight w:val="none"/>
              </w:rPr>
              <w:t>可以提供机器狗巡检点位识别模块数据</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15" w:type="dxa"/>
            <w:left w:w="15" w:type="dxa"/>
            <w:bottom w:w="15" w:type="dxa"/>
            <w:right w:w="15" w:type="dxa"/>
          </w:tblCellMar>
        </w:tblPrEx>
        <w:trPr>
          <w:tblHeader/>
        </w:trPr>
        <w:tc>
          <w:tcPr>
            <w:tcW w:w="1111" w:type="pct"/>
            <w:tcBorders>
              <w:tl2br w:val="nil"/>
              <w:tr2bl w:val="nil"/>
            </w:tcBorders>
            <w:shd w:val="clear" w:color="auto" w:fill="auto"/>
            <w:tcMar>
              <w:top w:w="96" w:type="dxa"/>
              <w:left w:w="96" w:type="dxa"/>
              <w:bottom w:w="96" w:type="dxa"/>
              <w:right w:w="96" w:type="dxa"/>
            </w:tcMar>
            <w:vAlign w:val="center"/>
          </w:tcPr>
          <w:p>
            <w:pPr>
              <w:widowControl/>
              <w:rPr>
                <w:rFonts w:hint="eastAsia"/>
                <w:highlight w:val="none"/>
              </w:rPr>
            </w:pPr>
            <w:r>
              <w:rPr>
                <w:rFonts w:hint="eastAsia"/>
                <w:highlight w:val="none"/>
              </w:rPr>
              <w:t>赋能模块</w:t>
            </w:r>
          </w:p>
        </w:tc>
        <w:tc>
          <w:tcPr>
            <w:tcW w:w="3888" w:type="pct"/>
            <w:tcBorders>
              <w:tl2br w:val="nil"/>
              <w:tr2bl w:val="nil"/>
            </w:tcBorders>
            <w:shd w:val="clear" w:color="auto" w:fill="auto"/>
            <w:tcMar>
              <w:top w:w="96" w:type="dxa"/>
              <w:left w:w="96" w:type="dxa"/>
              <w:bottom w:w="96" w:type="dxa"/>
              <w:right w:w="96" w:type="dxa"/>
            </w:tcMar>
            <w:vAlign w:val="center"/>
          </w:tcPr>
          <w:p>
            <w:pPr>
              <w:widowControl/>
              <w:rPr>
                <w:rFonts w:hint="eastAsia"/>
                <w:highlight w:val="none"/>
              </w:rPr>
            </w:pPr>
            <w:r>
              <w:rPr>
                <w:rFonts w:hint="eastAsia" w:ascii="宋体" w:hAnsi="宋体" w:cs="宋体"/>
                <w:szCs w:val="21"/>
                <w:highlight w:val="none"/>
              </w:rPr>
              <w:t>可对机器狗的</w:t>
            </w:r>
            <w:r>
              <w:rPr>
                <w:rFonts w:hint="eastAsia" w:ascii="宋体" w:hAnsi="宋体" w:cs="宋体"/>
                <w:szCs w:val="21"/>
                <w:highlight w:val="none"/>
                <w:lang w:val="en-US" w:eastAsia="zh-CN"/>
              </w:rPr>
              <w:t>自主巡逻</w:t>
            </w:r>
            <w:r>
              <w:rPr>
                <w:rFonts w:hint="eastAsia" w:ascii="宋体" w:hAnsi="宋体" w:cs="宋体"/>
                <w:szCs w:val="21"/>
                <w:highlight w:val="none"/>
              </w:rPr>
              <w:t>识别模块数据进行赋能训练</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15" w:type="dxa"/>
            <w:left w:w="15" w:type="dxa"/>
            <w:bottom w:w="15" w:type="dxa"/>
            <w:right w:w="15" w:type="dxa"/>
          </w:tblCellMar>
        </w:tblPrEx>
        <w:trPr>
          <w:tblHeader/>
        </w:trPr>
        <w:tc>
          <w:tcPr>
            <w:tcW w:w="1111" w:type="pct"/>
            <w:tcBorders>
              <w:tl2br w:val="nil"/>
              <w:tr2bl w:val="nil"/>
            </w:tcBorders>
            <w:shd w:val="clear" w:color="auto" w:fill="auto"/>
            <w:tcMar>
              <w:top w:w="96" w:type="dxa"/>
              <w:left w:w="96" w:type="dxa"/>
              <w:bottom w:w="96" w:type="dxa"/>
              <w:right w:w="96" w:type="dxa"/>
            </w:tcMar>
            <w:vAlign w:val="center"/>
          </w:tcPr>
          <w:p>
            <w:pPr>
              <w:widowControl/>
              <w:rPr>
                <w:rFonts w:hint="eastAsia"/>
                <w:highlight w:val="none"/>
              </w:rPr>
            </w:pPr>
            <w:r>
              <w:rPr>
                <w:rFonts w:hint="eastAsia"/>
                <w:highlight w:val="none"/>
              </w:rPr>
              <w:t>充电桩</w:t>
            </w:r>
          </w:p>
        </w:tc>
        <w:tc>
          <w:tcPr>
            <w:tcW w:w="3888" w:type="pct"/>
            <w:tcBorders>
              <w:tl2br w:val="nil"/>
              <w:tr2bl w:val="nil"/>
            </w:tcBorders>
            <w:shd w:val="clear" w:color="auto" w:fill="auto"/>
            <w:tcMar>
              <w:top w:w="96" w:type="dxa"/>
              <w:left w:w="96" w:type="dxa"/>
              <w:bottom w:w="96" w:type="dxa"/>
              <w:right w:w="96" w:type="dxa"/>
            </w:tcMar>
            <w:vAlign w:val="center"/>
          </w:tcPr>
          <w:p>
            <w:pPr>
              <w:widowControl/>
              <w:rPr>
                <w:rFonts w:hint="eastAsia"/>
                <w:highlight w:val="none"/>
              </w:rPr>
            </w:pPr>
            <w:r>
              <w:rPr>
                <w:rFonts w:hint="eastAsia"/>
                <w:highlight w:val="none"/>
              </w:rPr>
              <w:t>具备充电功能，适配机器人本体接口，可以保障机器狗充电安全与续航补给</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15" w:type="dxa"/>
            <w:left w:w="15" w:type="dxa"/>
            <w:bottom w:w="15" w:type="dxa"/>
            <w:right w:w="15" w:type="dxa"/>
          </w:tblCellMar>
        </w:tblPrEx>
        <w:trPr>
          <w:tblHeader/>
        </w:trPr>
        <w:tc>
          <w:tcPr>
            <w:tcW w:w="1111" w:type="pct"/>
            <w:tcBorders>
              <w:tl2br w:val="nil"/>
              <w:tr2bl w:val="nil"/>
            </w:tcBorders>
            <w:shd w:val="clear" w:color="auto" w:fill="auto"/>
            <w:tcMar>
              <w:top w:w="96" w:type="dxa"/>
              <w:left w:w="96" w:type="dxa"/>
              <w:bottom w:w="96" w:type="dxa"/>
              <w:right w:w="96" w:type="dxa"/>
            </w:tcMar>
            <w:vAlign w:val="center"/>
          </w:tcPr>
          <w:p>
            <w:pPr>
              <w:widowControl/>
              <w:rPr>
                <w:rFonts w:hint="eastAsia"/>
                <w:highlight w:val="none"/>
              </w:rPr>
            </w:pPr>
            <w:r>
              <w:rPr>
                <w:rFonts w:hint="eastAsia"/>
                <w:highlight w:val="none"/>
              </w:rPr>
              <w:t>算力板模块</w:t>
            </w:r>
          </w:p>
        </w:tc>
        <w:tc>
          <w:tcPr>
            <w:tcW w:w="3888" w:type="pct"/>
            <w:tcBorders>
              <w:tl2br w:val="nil"/>
              <w:tr2bl w:val="nil"/>
            </w:tcBorders>
            <w:shd w:val="clear" w:color="auto" w:fill="auto"/>
            <w:tcMar>
              <w:top w:w="96" w:type="dxa"/>
              <w:left w:w="96" w:type="dxa"/>
              <w:bottom w:w="96" w:type="dxa"/>
              <w:right w:w="96" w:type="dxa"/>
            </w:tcMar>
            <w:vAlign w:val="center"/>
          </w:tcPr>
          <w:p>
            <w:pPr>
              <w:widowControl/>
              <w:rPr>
                <w:rFonts w:hint="eastAsia"/>
                <w:highlight w:val="none"/>
              </w:rPr>
            </w:pPr>
            <w:r>
              <w:rPr>
                <w:rFonts w:hint="eastAsia"/>
                <w:highlight w:val="none"/>
              </w:rPr>
              <w:t>有语音交互功能，且支持二次开发</w:t>
            </w:r>
          </w:p>
        </w:tc>
      </w:tr>
    </w:tbl>
    <w:p>
      <w:pPr>
        <w:pStyle w:val="2"/>
        <w:ind w:firstLine="0" w:firstLineChars="0"/>
        <w:rPr>
          <w:rFonts w:hint="eastAsia" w:ascii="宋体" w:hAnsi="宋体" w:cs="宋体"/>
          <w:color w:val="000000"/>
          <w:sz w:val="21"/>
          <w:szCs w:val="21"/>
          <w:highlight w:val="none"/>
        </w:rPr>
      </w:pPr>
    </w:p>
    <w:p>
      <w:pPr>
        <w:widowControl/>
        <w:numPr>
          <w:ilvl w:val="0"/>
          <w:numId w:val="2"/>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代工方需负责产品生产全过程的工艺管控、质量检测，确保产品所有技术指标符合本规范书及委托方设计要求。</w:t>
      </w:r>
    </w:p>
    <w:p>
      <w:pPr>
        <w:widowControl/>
        <w:numPr>
          <w:ilvl w:val="0"/>
          <w:numId w:val="2"/>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代工方提供的主机必须完全适配委托方指定的CPE规格要求，委托方指定CPE主要规格如下：</w:t>
      </w:r>
    </w:p>
    <w:tbl>
      <w:tblPr>
        <w:tblStyle w:val="16"/>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F1F1F1" w:themeFill="background1" w:themeFillShade="F2"/>
        <w:tblLayout w:type="autofit"/>
        <w:tblCellMar>
          <w:top w:w="0" w:type="dxa"/>
          <w:left w:w="108" w:type="dxa"/>
          <w:bottom w:w="0" w:type="dxa"/>
          <w:right w:w="108" w:type="dxa"/>
        </w:tblCellMar>
      </w:tblPr>
      <w:tblGrid>
        <w:gridCol w:w="1555"/>
        <w:gridCol w:w="6741"/>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F1F1F1" w:themeFill="background1" w:themeFillShade="F2"/>
          <w:tblCellMar>
            <w:top w:w="0" w:type="dxa"/>
            <w:left w:w="108" w:type="dxa"/>
            <w:bottom w:w="0" w:type="dxa"/>
            <w:right w:w="108" w:type="dxa"/>
          </w:tblCellMar>
        </w:tblPrEx>
        <w:tc>
          <w:tcPr>
            <w:tcW w:w="1555" w:type="dxa"/>
            <w:tcBorders>
              <w:tl2br w:val="nil"/>
              <w:tr2bl w:val="nil"/>
            </w:tcBorders>
            <w:shd w:val="clear" w:color="auto" w:fill="auto"/>
          </w:tcPr>
          <w:p>
            <w:pPr>
              <w:pStyle w:val="2"/>
              <w:ind w:firstLine="0" w:firstLineChars="0"/>
              <w:rPr>
                <w:rFonts w:hint="eastAsia" w:ascii="宋体" w:hAnsi="宋体" w:cs="宋体"/>
                <w:sz w:val="21"/>
                <w:szCs w:val="21"/>
                <w:highlight w:val="none"/>
              </w:rPr>
            </w:pPr>
            <w:r>
              <w:rPr>
                <w:rFonts w:hint="eastAsia" w:ascii="宋体" w:hAnsi="宋体" w:cs="宋体"/>
                <w:sz w:val="21"/>
                <w:szCs w:val="21"/>
                <w:highlight w:val="none"/>
              </w:rPr>
              <w:t>类目</w:t>
            </w:r>
          </w:p>
        </w:tc>
        <w:tc>
          <w:tcPr>
            <w:tcW w:w="6741" w:type="dxa"/>
            <w:tcBorders>
              <w:tl2br w:val="nil"/>
              <w:tr2bl w:val="nil"/>
            </w:tcBorders>
            <w:shd w:val="clear" w:color="auto" w:fill="auto"/>
          </w:tcPr>
          <w:p>
            <w:pPr>
              <w:pStyle w:val="2"/>
              <w:ind w:firstLine="0" w:firstLineChars="0"/>
              <w:rPr>
                <w:rFonts w:hint="eastAsia" w:ascii="宋体" w:hAnsi="宋体" w:cs="宋体"/>
                <w:sz w:val="21"/>
                <w:szCs w:val="21"/>
                <w:highlight w:val="none"/>
              </w:rPr>
            </w:pPr>
            <w:r>
              <w:rPr>
                <w:rFonts w:hint="eastAsia" w:ascii="宋体" w:hAnsi="宋体" w:cs="宋体"/>
                <w:sz w:val="21"/>
                <w:szCs w:val="21"/>
                <w:highlight w:val="none"/>
              </w:rPr>
              <w:t>参数</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F1F1F1" w:themeFill="background1" w:themeFillShade="F2"/>
          <w:tblCellMar>
            <w:top w:w="0" w:type="dxa"/>
            <w:left w:w="108" w:type="dxa"/>
            <w:bottom w:w="0" w:type="dxa"/>
            <w:right w:w="108" w:type="dxa"/>
          </w:tblCellMar>
        </w:tblPrEx>
        <w:tc>
          <w:tcPr>
            <w:tcW w:w="1555" w:type="dxa"/>
            <w:tcBorders>
              <w:tl2br w:val="nil"/>
              <w:tr2bl w:val="nil"/>
            </w:tcBorders>
            <w:shd w:val="clear" w:color="auto" w:fill="auto"/>
          </w:tcPr>
          <w:p>
            <w:pPr>
              <w:widowControl/>
              <w:rPr>
                <w:rFonts w:hint="eastAsia" w:ascii="宋体" w:hAnsi="宋体" w:cs="宋体"/>
                <w:szCs w:val="21"/>
                <w:highlight w:val="none"/>
              </w:rPr>
            </w:pPr>
            <w:r>
              <w:rPr>
                <w:rFonts w:hint="eastAsia" w:ascii="宋体" w:hAnsi="宋体" w:cs="宋体"/>
                <w:szCs w:val="21"/>
                <w:highlight w:val="none"/>
              </w:rPr>
              <w:t>接口</w:t>
            </w:r>
          </w:p>
        </w:tc>
        <w:tc>
          <w:tcPr>
            <w:tcW w:w="6741" w:type="dxa"/>
            <w:tcBorders>
              <w:tl2br w:val="nil"/>
              <w:tr2bl w:val="nil"/>
            </w:tcBorders>
            <w:shd w:val="clear" w:color="auto" w:fill="auto"/>
          </w:tcPr>
          <w:p>
            <w:pPr>
              <w:widowControl/>
              <w:rPr>
                <w:rFonts w:hint="eastAsia" w:ascii="宋体" w:hAnsi="宋体" w:cs="宋体"/>
                <w:szCs w:val="21"/>
                <w:highlight w:val="none"/>
              </w:rPr>
            </w:pPr>
            <w:r>
              <w:rPr>
                <w:rFonts w:hint="eastAsia" w:ascii="宋体" w:hAnsi="宋体" w:cs="宋体"/>
                <w:szCs w:val="21"/>
                <w:highlight w:val="none"/>
              </w:rPr>
              <w:t>2 个 1000M 以太网口；1 个 RS232/485 数据采控接口。</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F1F1F1" w:themeFill="background1" w:themeFillShade="F2"/>
          <w:tblCellMar>
            <w:top w:w="0" w:type="dxa"/>
            <w:left w:w="108" w:type="dxa"/>
            <w:bottom w:w="0" w:type="dxa"/>
            <w:right w:w="108" w:type="dxa"/>
          </w:tblCellMar>
        </w:tblPrEx>
        <w:tc>
          <w:tcPr>
            <w:tcW w:w="1555" w:type="dxa"/>
            <w:tcBorders>
              <w:tl2br w:val="nil"/>
              <w:tr2bl w:val="nil"/>
            </w:tcBorders>
            <w:shd w:val="clear" w:color="auto" w:fill="auto"/>
          </w:tcPr>
          <w:p>
            <w:pPr>
              <w:widowControl/>
              <w:rPr>
                <w:rFonts w:hint="eastAsia" w:ascii="宋体" w:hAnsi="宋体" w:cs="宋体"/>
                <w:szCs w:val="21"/>
                <w:highlight w:val="none"/>
              </w:rPr>
            </w:pPr>
            <w:r>
              <w:rPr>
                <w:rFonts w:hint="eastAsia" w:ascii="宋体" w:hAnsi="宋体" w:cs="宋体"/>
                <w:szCs w:val="21"/>
                <w:highlight w:val="none"/>
              </w:rPr>
              <w:t>电源</w:t>
            </w:r>
          </w:p>
        </w:tc>
        <w:tc>
          <w:tcPr>
            <w:tcW w:w="6741" w:type="dxa"/>
            <w:tcBorders>
              <w:tl2br w:val="nil"/>
              <w:tr2bl w:val="nil"/>
            </w:tcBorders>
            <w:shd w:val="clear" w:color="auto" w:fill="auto"/>
          </w:tcPr>
          <w:p>
            <w:pPr>
              <w:widowControl/>
              <w:rPr>
                <w:rFonts w:hint="eastAsia" w:ascii="宋体" w:hAnsi="宋体" w:cs="宋体"/>
                <w:szCs w:val="21"/>
                <w:highlight w:val="none"/>
              </w:rPr>
            </w:pPr>
            <w:r>
              <w:rPr>
                <w:rFonts w:hint="eastAsia" w:ascii="宋体" w:hAnsi="宋体" w:cs="宋体"/>
                <w:szCs w:val="21"/>
                <w:highlight w:val="none"/>
              </w:rPr>
              <w:t>POE 48V 供电，支持 IEEE802.3af/802.3at 标准；并支持 12-48V DC 供电</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F1F1F1" w:themeFill="background1" w:themeFillShade="F2"/>
          <w:tblCellMar>
            <w:top w:w="0" w:type="dxa"/>
            <w:left w:w="108" w:type="dxa"/>
            <w:bottom w:w="0" w:type="dxa"/>
            <w:right w:w="108" w:type="dxa"/>
          </w:tblCellMar>
        </w:tblPrEx>
        <w:tc>
          <w:tcPr>
            <w:tcW w:w="1555" w:type="dxa"/>
            <w:tcBorders>
              <w:tl2br w:val="nil"/>
              <w:tr2bl w:val="nil"/>
            </w:tcBorders>
            <w:shd w:val="clear" w:color="auto" w:fill="auto"/>
          </w:tcPr>
          <w:p>
            <w:pPr>
              <w:widowControl/>
              <w:rPr>
                <w:rFonts w:hint="eastAsia" w:ascii="宋体" w:hAnsi="宋体" w:cs="宋体"/>
                <w:szCs w:val="21"/>
                <w:highlight w:val="none"/>
              </w:rPr>
            </w:pPr>
            <w:r>
              <w:rPr>
                <w:rFonts w:hint="eastAsia" w:ascii="宋体" w:hAnsi="宋体" w:cs="宋体"/>
                <w:szCs w:val="21"/>
                <w:highlight w:val="none"/>
              </w:rPr>
              <w:t>尺寸</w:t>
            </w:r>
          </w:p>
        </w:tc>
        <w:tc>
          <w:tcPr>
            <w:tcW w:w="6741" w:type="dxa"/>
            <w:tcBorders>
              <w:tl2br w:val="nil"/>
              <w:tr2bl w:val="nil"/>
            </w:tcBorders>
            <w:shd w:val="clear" w:color="auto" w:fill="auto"/>
          </w:tcPr>
          <w:p>
            <w:pPr>
              <w:widowControl/>
              <w:rPr>
                <w:rFonts w:hint="eastAsia" w:ascii="宋体" w:hAnsi="宋体" w:cs="宋体"/>
                <w:szCs w:val="21"/>
                <w:highlight w:val="none"/>
              </w:rPr>
            </w:pPr>
            <w:r>
              <w:rPr>
                <w:rFonts w:hint="eastAsia" w:ascii="宋体" w:hAnsi="宋体" w:cs="宋体"/>
                <w:szCs w:val="21"/>
                <w:highlight w:val="none"/>
              </w:rPr>
              <w:t>143*97*30mm</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F1F1F1" w:themeFill="background1" w:themeFillShade="F2"/>
          <w:tblCellMar>
            <w:top w:w="0" w:type="dxa"/>
            <w:left w:w="108" w:type="dxa"/>
            <w:bottom w:w="0" w:type="dxa"/>
            <w:right w:w="108" w:type="dxa"/>
          </w:tblCellMar>
        </w:tblPrEx>
        <w:tc>
          <w:tcPr>
            <w:tcW w:w="1555" w:type="dxa"/>
            <w:tcBorders>
              <w:tl2br w:val="nil"/>
              <w:tr2bl w:val="nil"/>
            </w:tcBorders>
            <w:shd w:val="clear" w:color="auto" w:fill="auto"/>
          </w:tcPr>
          <w:p>
            <w:pPr>
              <w:widowControl/>
              <w:rPr>
                <w:rFonts w:hint="eastAsia" w:ascii="宋体" w:hAnsi="宋体" w:cs="宋体"/>
                <w:szCs w:val="21"/>
                <w:highlight w:val="none"/>
              </w:rPr>
            </w:pPr>
            <w:r>
              <w:rPr>
                <w:rFonts w:hint="eastAsia" w:ascii="宋体" w:hAnsi="宋体" w:cs="宋体"/>
                <w:szCs w:val="21"/>
                <w:highlight w:val="none"/>
              </w:rPr>
              <w:t>功耗</w:t>
            </w:r>
          </w:p>
        </w:tc>
        <w:tc>
          <w:tcPr>
            <w:tcW w:w="6741" w:type="dxa"/>
            <w:tcBorders>
              <w:tl2br w:val="nil"/>
              <w:tr2bl w:val="nil"/>
            </w:tcBorders>
            <w:shd w:val="clear" w:color="auto" w:fill="auto"/>
          </w:tcPr>
          <w:p>
            <w:pPr>
              <w:widowControl/>
              <w:rPr>
                <w:rFonts w:hint="eastAsia" w:ascii="宋体" w:hAnsi="宋体" w:cs="宋体"/>
                <w:szCs w:val="21"/>
                <w:highlight w:val="none"/>
              </w:rPr>
            </w:pPr>
            <w:r>
              <w:rPr>
                <w:rFonts w:hint="eastAsia" w:ascii="宋体" w:hAnsi="宋体" w:cs="宋体"/>
                <w:szCs w:val="21"/>
                <w:highlight w:val="none"/>
              </w:rPr>
              <w:t>≤11W</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F1F1F1" w:themeFill="background1" w:themeFillShade="F2"/>
          <w:tblCellMar>
            <w:top w:w="0" w:type="dxa"/>
            <w:left w:w="108" w:type="dxa"/>
            <w:bottom w:w="0" w:type="dxa"/>
            <w:right w:w="108" w:type="dxa"/>
          </w:tblCellMar>
        </w:tblPrEx>
        <w:tc>
          <w:tcPr>
            <w:tcW w:w="1555" w:type="dxa"/>
            <w:tcBorders>
              <w:tl2br w:val="nil"/>
              <w:tr2bl w:val="nil"/>
            </w:tcBorders>
            <w:shd w:val="clear" w:color="auto" w:fill="auto"/>
          </w:tcPr>
          <w:p>
            <w:pPr>
              <w:widowControl/>
              <w:rPr>
                <w:rFonts w:hint="eastAsia" w:ascii="宋体" w:hAnsi="宋体" w:cs="宋体"/>
                <w:szCs w:val="21"/>
                <w:highlight w:val="none"/>
              </w:rPr>
            </w:pPr>
            <w:r>
              <w:rPr>
                <w:rFonts w:hint="eastAsia" w:ascii="宋体" w:hAnsi="宋体" w:cs="宋体"/>
                <w:szCs w:val="21"/>
                <w:highlight w:val="none"/>
              </w:rPr>
              <w:t>无线协议</w:t>
            </w:r>
          </w:p>
        </w:tc>
        <w:tc>
          <w:tcPr>
            <w:tcW w:w="6741" w:type="dxa"/>
            <w:tcBorders>
              <w:tl2br w:val="nil"/>
              <w:tr2bl w:val="nil"/>
            </w:tcBorders>
            <w:shd w:val="clear" w:color="auto" w:fill="auto"/>
          </w:tcPr>
          <w:p>
            <w:pPr>
              <w:widowControl/>
              <w:rPr>
                <w:rFonts w:hint="eastAsia" w:ascii="宋体" w:hAnsi="宋体" w:cs="宋体"/>
                <w:szCs w:val="21"/>
                <w:highlight w:val="none"/>
              </w:rPr>
            </w:pPr>
            <w:r>
              <w:rPr>
                <w:rFonts w:hint="eastAsia" w:ascii="宋体" w:hAnsi="宋体" w:cs="宋体"/>
                <w:szCs w:val="21"/>
                <w:highlight w:val="none"/>
              </w:rPr>
              <w:t>2.4G 支持IEEE802.11b/g/n；5.2/5.8G 支持IEEE802.11a/ac/n。</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F1F1F1" w:themeFill="background1" w:themeFillShade="F2"/>
          <w:tblCellMar>
            <w:top w:w="0" w:type="dxa"/>
            <w:left w:w="108" w:type="dxa"/>
            <w:bottom w:w="0" w:type="dxa"/>
            <w:right w:w="108" w:type="dxa"/>
          </w:tblCellMar>
        </w:tblPrEx>
        <w:tc>
          <w:tcPr>
            <w:tcW w:w="1555" w:type="dxa"/>
            <w:tcBorders>
              <w:tl2br w:val="nil"/>
              <w:tr2bl w:val="nil"/>
            </w:tcBorders>
            <w:shd w:val="clear" w:color="auto" w:fill="auto"/>
          </w:tcPr>
          <w:p>
            <w:pPr>
              <w:widowControl/>
              <w:rPr>
                <w:rFonts w:hint="eastAsia" w:ascii="宋体" w:hAnsi="宋体" w:cs="宋体"/>
                <w:szCs w:val="21"/>
                <w:highlight w:val="none"/>
              </w:rPr>
            </w:pPr>
            <w:r>
              <w:rPr>
                <w:rFonts w:hint="eastAsia" w:ascii="宋体" w:hAnsi="宋体" w:cs="宋体"/>
                <w:szCs w:val="21"/>
                <w:highlight w:val="none"/>
              </w:rPr>
              <w:t>无线频率</w:t>
            </w:r>
          </w:p>
        </w:tc>
        <w:tc>
          <w:tcPr>
            <w:tcW w:w="6741" w:type="dxa"/>
            <w:tcBorders>
              <w:tl2br w:val="nil"/>
              <w:tr2bl w:val="nil"/>
            </w:tcBorders>
            <w:shd w:val="clear" w:color="auto" w:fill="auto"/>
          </w:tcPr>
          <w:p>
            <w:pPr>
              <w:widowControl/>
              <w:rPr>
                <w:rFonts w:hint="eastAsia" w:ascii="宋体" w:hAnsi="宋体" w:cs="宋体"/>
                <w:szCs w:val="21"/>
                <w:highlight w:val="none"/>
              </w:rPr>
            </w:pPr>
            <w:r>
              <w:rPr>
                <w:rFonts w:hint="eastAsia" w:ascii="宋体" w:hAnsi="宋体" w:cs="宋体"/>
                <w:szCs w:val="21"/>
                <w:highlight w:val="none"/>
              </w:rPr>
              <w:t>2.4G：1～11 信道(2.412～2.4835GHz)</w:t>
            </w:r>
          </w:p>
          <w:p>
            <w:pPr>
              <w:widowControl/>
              <w:rPr>
                <w:rFonts w:hint="eastAsia" w:ascii="宋体" w:hAnsi="宋体" w:cs="宋体"/>
                <w:szCs w:val="21"/>
                <w:highlight w:val="none"/>
              </w:rPr>
            </w:pPr>
            <w:r>
              <w:rPr>
                <w:rFonts w:hint="eastAsia" w:ascii="宋体" w:hAnsi="宋体" w:cs="宋体"/>
                <w:szCs w:val="21"/>
                <w:highlight w:val="none"/>
              </w:rPr>
              <w:t>5.2G：36～48 信道(5.180~5.320GHz)</w:t>
            </w:r>
          </w:p>
          <w:p>
            <w:pPr>
              <w:widowControl/>
              <w:rPr>
                <w:rFonts w:hint="eastAsia" w:ascii="宋体" w:hAnsi="宋体" w:cs="宋体"/>
                <w:szCs w:val="21"/>
                <w:highlight w:val="none"/>
              </w:rPr>
            </w:pPr>
            <w:r>
              <w:rPr>
                <w:rFonts w:hint="eastAsia" w:ascii="宋体" w:hAnsi="宋体" w:cs="宋体"/>
                <w:szCs w:val="21"/>
                <w:highlight w:val="none"/>
              </w:rPr>
              <w:t>5.8G: 149～165 信道(5.745~5.825GHz)</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F1F1F1" w:themeFill="background1" w:themeFillShade="F2"/>
          <w:tblCellMar>
            <w:top w:w="0" w:type="dxa"/>
            <w:left w:w="108" w:type="dxa"/>
            <w:bottom w:w="0" w:type="dxa"/>
            <w:right w:w="108" w:type="dxa"/>
          </w:tblCellMar>
        </w:tblPrEx>
        <w:tc>
          <w:tcPr>
            <w:tcW w:w="1555" w:type="dxa"/>
            <w:tcBorders>
              <w:tl2br w:val="nil"/>
              <w:tr2bl w:val="nil"/>
            </w:tcBorders>
            <w:shd w:val="clear" w:color="auto" w:fill="auto"/>
          </w:tcPr>
          <w:p>
            <w:pPr>
              <w:widowControl/>
              <w:rPr>
                <w:rFonts w:hint="eastAsia" w:ascii="宋体" w:hAnsi="宋体" w:cs="宋体"/>
                <w:szCs w:val="21"/>
                <w:highlight w:val="none"/>
              </w:rPr>
            </w:pPr>
            <w:r>
              <w:rPr>
                <w:rFonts w:hint="eastAsia" w:ascii="宋体" w:hAnsi="宋体" w:cs="宋体"/>
                <w:szCs w:val="21"/>
                <w:highlight w:val="none"/>
              </w:rPr>
              <w:t>无线频宽</w:t>
            </w:r>
          </w:p>
        </w:tc>
        <w:tc>
          <w:tcPr>
            <w:tcW w:w="6741" w:type="dxa"/>
            <w:tcBorders>
              <w:tl2br w:val="nil"/>
              <w:tr2bl w:val="nil"/>
            </w:tcBorders>
            <w:shd w:val="clear" w:color="auto" w:fill="auto"/>
          </w:tcPr>
          <w:p>
            <w:pPr>
              <w:widowControl/>
              <w:rPr>
                <w:rFonts w:hint="eastAsia" w:ascii="宋体" w:hAnsi="宋体" w:cs="宋体"/>
                <w:szCs w:val="21"/>
                <w:highlight w:val="none"/>
              </w:rPr>
            </w:pPr>
            <w:r>
              <w:rPr>
                <w:rFonts w:hint="eastAsia" w:ascii="宋体" w:hAnsi="宋体" w:cs="宋体"/>
                <w:szCs w:val="21"/>
                <w:highlight w:val="none"/>
              </w:rPr>
              <w:t>频宽：20MHz、40MHz、80MHz</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F1F1F1" w:themeFill="background1" w:themeFillShade="F2"/>
          <w:tblCellMar>
            <w:top w:w="0" w:type="dxa"/>
            <w:left w:w="108" w:type="dxa"/>
            <w:bottom w:w="0" w:type="dxa"/>
            <w:right w:w="108" w:type="dxa"/>
          </w:tblCellMar>
        </w:tblPrEx>
        <w:tc>
          <w:tcPr>
            <w:tcW w:w="1555" w:type="dxa"/>
            <w:tcBorders>
              <w:tl2br w:val="nil"/>
              <w:tr2bl w:val="nil"/>
            </w:tcBorders>
            <w:shd w:val="clear" w:color="auto" w:fill="auto"/>
          </w:tcPr>
          <w:p>
            <w:pPr>
              <w:widowControl/>
              <w:rPr>
                <w:rFonts w:hint="eastAsia" w:ascii="宋体" w:hAnsi="宋体" w:cs="宋体"/>
                <w:szCs w:val="21"/>
                <w:highlight w:val="none"/>
              </w:rPr>
            </w:pPr>
            <w:r>
              <w:rPr>
                <w:rFonts w:hint="eastAsia" w:ascii="宋体" w:hAnsi="宋体" w:cs="宋体"/>
                <w:szCs w:val="21"/>
                <w:highlight w:val="none"/>
              </w:rPr>
              <w:t>无线速率</w:t>
            </w:r>
          </w:p>
        </w:tc>
        <w:tc>
          <w:tcPr>
            <w:tcW w:w="6741" w:type="dxa"/>
            <w:tcBorders>
              <w:tl2br w:val="nil"/>
              <w:tr2bl w:val="nil"/>
            </w:tcBorders>
            <w:shd w:val="clear" w:color="auto" w:fill="auto"/>
          </w:tcPr>
          <w:p>
            <w:pPr>
              <w:widowControl/>
              <w:rPr>
                <w:rFonts w:hint="eastAsia" w:ascii="宋体" w:hAnsi="宋体" w:cs="宋体"/>
                <w:szCs w:val="21"/>
                <w:highlight w:val="none"/>
              </w:rPr>
            </w:pPr>
            <w:r>
              <w:rPr>
                <w:rFonts w:hint="eastAsia" w:ascii="宋体" w:hAnsi="宋体" w:cs="宋体"/>
                <w:szCs w:val="21"/>
                <w:highlight w:val="none"/>
              </w:rPr>
              <w:t>IEEE 802.11b: 1, 2, 5.5，11 Mbps</w:t>
            </w:r>
          </w:p>
          <w:p>
            <w:pPr>
              <w:widowControl/>
              <w:rPr>
                <w:rFonts w:hint="eastAsia" w:ascii="宋体" w:hAnsi="宋体" w:cs="宋体"/>
                <w:szCs w:val="21"/>
                <w:highlight w:val="none"/>
              </w:rPr>
            </w:pPr>
            <w:r>
              <w:rPr>
                <w:rFonts w:hint="eastAsia" w:ascii="宋体" w:hAnsi="宋体" w:cs="宋体"/>
                <w:szCs w:val="21"/>
                <w:highlight w:val="none"/>
              </w:rPr>
              <w:t>IEEE 802.11g: 6, 9, 12, 18, 24, 36, 48, 54 Mbps</w:t>
            </w:r>
          </w:p>
          <w:p>
            <w:pPr>
              <w:widowControl/>
              <w:rPr>
                <w:rFonts w:hint="eastAsia" w:ascii="宋体" w:hAnsi="宋体" w:cs="宋体"/>
                <w:szCs w:val="21"/>
                <w:highlight w:val="none"/>
              </w:rPr>
            </w:pPr>
            <w:r>
              <w:rPr>
                <w:rFonts w:hint="eastAsia" w:ascii="宋体" w:hAnsi="宋体" w:cs="宋体"/>
                <w:szCs w:val="21"/>
                <w:highlight w:val="none"/>
              </w:rPr>
              <w:t>IEEE 802.11n: 150,300Mbps (typical)</w:t>
            </w:r>
          </w:p>
          <w:p>
            <w:pPr>
              <w:widowControl/>
              <w:rPr>
                <w:rFonts w:hint="eastAsia" w:ascii="宋体" w:hAnsi="宋体" w:cs="宋体"/>
                <w:szCs w:val="21"/>
                <w:highlight w:val="none"/>
              </w:rPr>
            </w:pPr>
            <w:r>
              <w:rPr>
                <w:rFonts w:hint="eastAsia" w:ascii="宋体" w:hAnsi="宋体" w:cs="宋体"/>
                <w:szCs w:val="21"/>
                <w:highlight w:val="none"/>
              </w:rPr>
              <w:t>IEEE 802.11AC: 433,867Mbps (typical)</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F1F1F1" w:themeFill="background1" w:themeFillShade="F2"/>
          <w:tblCellMar>
            <w:top w:w="0" w:type="dxa"/>
            <w:left w:w="108" w:type="dxa"/>
            <w:bottom w:w="0" w:type="dxa"/>
            <w:right w:w="108" w:type="dxa"/>
          </w:tblCellMar>
        </w:tblPrEx>
        <w:tc>
          <w:tcPr>
            <w:tcW w:w="1555" w:type="dxa"/>
            <w:tcBorders>
              <w:tl2br w:val="nil"/>
              <w:tr2bl w:val="nil"/>
            </w:tcBorders>
            <w:shd w:val="clear" w:color="auto" w:fill="auto"/>
          </w:tcPr>
          <w:p>
            <w:pPr>
              <w:widowControl/>
              <w:rPr>
                <w:rFonts w:hint="eastAsia" w:ascii="宋体" w:hAnsi="宋体" w:cs="宋体"/>
                <w:szCs w:val="21"/>
                <w:highlight w:val="none"/>
              </w:rPr>
            </w:pPr>
            <w:r>
              <w:rPr>
                <w:rFonts w:hint="eastAsia" w:ascii="宋体" w:hAnsi="宋体" w:cs="宋体"/>
                <w:szCs w:val="21"/>
                <w:highlight w:val="none"/>
              </w:rPr>
              <w:t>发射功率</w:t>
            </w:r>
          </w:p>
        </w:tc>
        <w:tc>
          <w:tcPr>
            <w:tcW w:w="6741" w:type="dxa"/>
            <w:tcBorders>
              <w:tl2br w:val="nil"/>
              <w:tr2bl w:val="nil"/>
            </w:tcBorders>
            <w:shd w:val="clear" w:color="auto" w:fill="auto"/>
          </w:tcPr>
          <w:p>
            <w:pPr>
              <w:widowControl/>
              <w:rPr>
                <w:rFonts w:hint="eastAsia" w:ascii="宋体" w:hAnsi="宋体" w:cs="宋体"/>
                <w:szCs w:val="21"/>
                <w:highlight w:val="none"/>
              </w:rPr>
            </w:pPr>
            <w:r>
              <w:rPr>
                <w:rFonts w:hint="eastAsia" w:ascii="宋体" w:hAnsi="宋体" w:cs="宋体"/>
                <w:szCs w:val="21"/>
                <w:highlight w:val="none"/>
              </w:rPr>
              <w:t>≤27dBm(500mW)</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F1F1F1" w:themeFill="background1" w:themeFillShade="F2"/>
          <w:tblCellMar>
            <w:top w:w="0" w:type="dxa"/>
            <w:left w:w="108" w:type="dxa"/>
            <w:bottom w:w="0" w:type="dxa"/>
            <w:right w:w="108" w:type="dxa"/>
          </w:tblCellMar>
        </w:tblPrEx>
        <w:tc>
          <w:tcPr>
            <w:tcW w:w="1555" w:type="dxa"/>
            <w:tcBorders>
              <w:tl2br w:val="nil"/>
              <w:tr2bl w:val="nil"/>
            </w:tcBorders>
            <w:shd w:val="clear" w:color="auto" w:fill="auto"/>
          </w:tcPr>
          <w:p>
            <w:pPr>
              <w:widowControl/>
              <w:rPr>
                <w:rFonts w:hint="eastAsia" w:ascii="宋体" w:hAnsi="宋体" w:cs="宋体"/>
                <w:szCs w:val="21"/>
                <w:highlight w:val="none"/>
              </w:rPr>
            </w:pPr>
            <w:r>
              <w:rPr>
                <w:rFonts w:hint="eastAsia" w:ascii="宋体" w:hAnsi="宋体" w:cs="宋体"/>
                <w:szCs w:val="21"/>
                <w:highlight w:val="none"/>
              </w:rPr>
              <w:t>无线安全</w:t>
            </w:r>
          </w:p>
        </w:tc>
        <w:tc>
          <w:tcPr>
            <w:tcW w:w="6741" w:type="dxa"/>
            <w:tcBorders>
              <w:tl2br w:val="nil"/>
              <w:tr2bl w:val="nil"/>
            </w:tcBorders>
            <w:shd w:val="clear" w:color="auto" w:fill="auto"/>
          </w:tcPr>
          <w:p>
            <w:pPr>
              <w:widowControl/>
              <w:rPr>
                <w:rFonts w:hint="eastAsia" w:ascii="宋体" w:hAnsi="宋体" w:cs="宋体"/>
                <w:szCs w:val="21"/>
                <w:highlight w:val="none"/>
              </w:rPr>
            </w:pPr>
            <w:r>
              <w:rPr>
                <w:rFonts w:hint="eastAsia" w:ascii="宋体" w:hAnsi="宋体" w:cs="宋体"/>
                <w:szCs w:val="21"/>
                <w:highlight w:val="none"/>
              </w:rPr>
              <w:t>WAPI（证书和PSK 认证）、WAPI 数据流加密(SM4)；</w:t>
            </w:r>
          </w:p>
          <w:p>
            <w:pPr>
              <w:widowControl/>
              <w:rPr>
                <w:rFonts w:hint="eastAsia" w:ascii="宋体" w:hAnsi="宋体" w:cs="宋体"/>
                <w:szCs w:val="21"/>
                <w:highlight w:val="none"/>
              </w:rPr>
            </w:pPr>
            <w:r>
              <w:rPr>
                <w:rFonts w:hint="eastAsia" w:ascii="宋体" w:hAnsi="宋体" w:cs="宋体"/>
                <w:szCs w:val="21"/>
                <w:highlight w:val="none"/>
              </w:rPr>
              <w:t>WEP、WPA/WPA2、802.1x 认证。</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F1F1F1" w:themeFill="background1" w:themeFillShade="F2"/>
          <w:tblCellMar>
            <w:top w:w="0" w:type="dxa"/>
            <w:left w:w="108" w:type="dxa"/>
            <w:bottom w:w="0" w:type="dxa"/>
            <w:right w:w="108" w:type="dxa"/>
          </w:tblCellMar>
        </w:tblPrEx>
        <w:tc>
          <w:tcPr>
            <w:tcW w:w="1555" w:type="dxa"/>
            <w:tcBorders>
              <w:tl2br w:val="nil"/>
              <w:tr2bl w:val="nil"/>
            </w:tcBorders>
            <w:shd w:val="clear" w:color="auto" w:fill="auto"/>
          </w:tcPr>
          <w:p>
            <w:pPr>
              <w:widowControl/>
              <w:rPr>
                <w:rFonts w:hint="eastAsia" w:ascii="宋体" w:hAnsi="宋体" w:cs="宋体"/>
                <w:szCs w:val="21"/>
                <w:highlight w:val="none"/>
              </w:rPr>
            </w:pPr>
            <w:r>
              <w:rPr>
                <w:rFonts w:hint="eastAsia" w:ascii="宋体" w:hAnsi="宋体" w:cs="宋体"/>
                <w:szCs w:val="21"/>
                <w:highlight w:val="none"/>
              </w:rPr>
              <w:t>AP 切换丢包时长</w:t>
            </w:r>
          </w:p>
        </w:tc>
        <w:tc>
          <w:tcPr>
            <w:tcW w:w="6741" w:type="dxa"/>
            <w:tcBorders>
              <w:tl2br w:val="nil"/>
              <w:tr2bl w:val="nil"/>
            </w:tcBorders>
            <w:shd w:val="clear" w:color="auto" w:fill="auto"/>
          </w:tcPr>
          <w:p>
            <w:pPr>
              <w:widowControl/>
              <w:rPr>
                <w:rFonts w:hint="eastAsia" w:ascii="宋体" w:hAnsi="宋体" w:cs="宋体"/>
                <w:szCs w:val="21"/>
                <w:highlight w:val="none"/>
              </w:rPr>
            </w:pPr>
            <w:r>
              <w:rPr>
                <w:rFonts w:hint="eastAsia" w:ascii="宋体" w:hAnsi="宋体" w:cs="宋体"/>
                <w:szCs w:val="21"/>
                <w:highlight w:val="none"/>
              </w:rPr>
              <w:t>≤50ms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F1F1F1" w:themeFill="background1" w:themeFillShade="F2"/>
          <w:tblCellMar>
            <w:top w:w="0" w:type="dxa"/>
            <w:left w:w="108" w:type="dxa"/>
            <w:bottom w:w="0" w:type="dxa"/>
            <w:right w:w="108" w:type="dxa"/>
          </w:tblCellMar>
        </w:tblPrEx>
        <w:tc>
          <w:tcPr>
            <w:tcW w:w="1555" w:type="dxa"/>
            <w:tcBorders>
              <w:tl2br w:val="nil"/>
              <w:tr2bl w:val="nil"/>
            </w:tcBorders>
            <w:shd w:val="clear" w:color="auto" w:fill="auto"/>
          </w:tcPr>
          <w:p>
            <w:pPr>
              <w:widowControl/>
              <w:rPr>
                <w:rFonts w:hint="eastAsia" w:ascii="宋体" w:hAnsi="宋体" w:cs="宋体"/>
                <w:szCs w:val="21"/>
                <w:highlight w:val="none"/>
              </w:rPr>
            </w:pPr>
            <w:r>
              <w:rPr>
                <w:rFonts w:hint="eastAsia" w:ascii="宋体" w:hAnsi="宋体" w:cs="宋体"/>
                <w:szCs w:val="21"/>
                <w:highlight w:val="none"/>
              </w:rPr>
              <w:t>工作模式</w:t>
            </w:r>
          </w:p>
        </w:tc>
        <w:tc>
          <w:tcPr>
            <w:tcW w:w="6741" w:type="dxa"/>
            <w:tcBorders>
              <w:tl2br w:val="nil"/>
              <w:tr2bl w:val="nil"/>
            </w:tcBorders>
            <w:shd w:val="clear" w:color="auto" w:fill="auto"/>
          </w:tcPr>
          <w:p>
            <w:pPr>
              <w:widowControl/>
              <w:rPr>
                <w:rFonts w:hint="eastAsia" w:ascii="宋体" w:hAnsi="宋体" w:cs="宋体"/>
                <w:szCs w:val="21"/>
                <w:highlight w:val="none"/>
              </w:rPr>
            </w:pPr>
            <w:r>
              <w:rPr>
                <w:rFonts w:hint="eastAsia" w:ascii="宋体" w:hAnsi="宋体" w:cs="宋体"/>
                <w:szCs w:val="21"/>
                <w:highlight w:val="none"/>
              </w:rPr>
              <w:t>终端模式（桥或路由 NAT）、AP 模式</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F1F1F1" w:themeFill="background1" w:themeFillShade="F2"/>
          <w:tblCellMar>
            <w:top w:w="0" w:type="dxa"/>
            <w:left w:w="108" w:type="dxa"/>
            <w:bottom w:w="0" w:type="dxa"/>
            <w:right w:w="108" w:type="dxa"/>
          </w:tblCellMar>
        </w:tblPrEx>
        <w:tc>
          <w:tcPr>
            <w:tcW w:w="1555" w:type="dxa"/>
            <w:tcBorders>
              <w:tl2br w:val="nil"/>
              <w:tr2bl w:val="nil"/>
            </w:tcBorders>
            <w:shd w:val="clear" w:color="auto" w:fill="auto"/>
          </w:tcPr>
          <w:p>
            <w:pPr>
              <w:widowControl/>
              <w:rPr>
                <w:rFonts w:hint="eastAsia" w:ascii="宋体" w:hAnsi="宋体" w:cs="宋体"/>
                <w:szCs w:val="21"/>
                <w:highlight w:val="none"/>
              </w:rPr>
            </w:pPr>
            <w:r>
              <w:rPr>
                <w:rFonts w:hint="eastAsia" w:ascii="宋体" w:hAnsi="宋体" w:cs="宋体"/>
                <w:szCs w:val="21"/>
                <w:highlight w:val="none"/>
              </w:rPr>
              <w:t>数据通信</w:t>
            </w:r>
          </w:p>
        </w:tc>
        <w:tc>
          <w:tcPr>
            <w:tcW w:w="6741" w:type="dxa"/>
            <w:tcBorders>
              <w:tl2br w:val="nil"/>
              <w:tr2bl w:val="nil"/>
            </w:tcBorders>
            <w:shd w:val="clear" w:color="auto" w:fill="auto"/>
          </w:tcPr>
          <w:p>
            <w:pPr>
              <w:widowControl/>
              <w:rPr>
                <w:rFonts w:hint="eastAsia" w:ascii="宋体" w:hAnsi="宋体" w:cs="宋体"/>
                <w:szCs w:val="21"/>
                <w:highlight w:val="none"/>
              </w:rPr>
            </w:pPr>
            <w:r>
              <w:rPr>
                <w:rFonts w:hint="eastAsia" w:ascii="宋体" w:hAnsi="宋体" w:cs="宋体"/>
                <w:szCs w:val="21"/>
                <w:highlight w:val="none"/>
              </w:rPr>
              <w:t>无线通信、以太网通信</w:t>
            </w:r>
          </w:p>
          <w:p>
            <w:pPr>
              <w:widowControl/>
              <w:rPr>
                <w:rFonts w:hint="eastAsia" w:ascii="宋体" w:hAnsi="宋体" w:cs="宋体"/>
                <w:szCs w:val="21"/>
                <w:highlight w:val="none"/>
              </w:rPr>
            </w:pPr>
            <w:r>
              <w:rPr>
                <w:rFonts w:hint="eastAsia" w:ascii="宋体" w:hAnsi="宋体" w:cs="宋体"/>
                <w:szCs w:val="21"/>
                <w:highlight w:val="none"/>
              </w:rPr>
              <w:t>232/485 Modbus 通信</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F1F1F1" w:themeFill="background1" w:themeFillShade="F2"/>
          <w:tblCellMar>
            <w:top w:w="0" w:type="dxa"/>
            <w:left w:w="108" w:type="dxa"/>
            <w:bottom w:w="0" w:type="dxa"/>
            <w:right w:w="108" w:type="dxa"/>
          </w:tblCellMar>
        </w:tblPrEx>
        <w:tc>
          <w:tcPr>
            <w:tcW w:w="1555" w:type="dxa"/>
            <w:tcBorders>
              <w:tl2br w:val="nil"/>
              <w:tr2bl w:val="nil"/>
            </w:tcBorders>
            <w:shd w:val="clear" w:color="auto" w:fill="auto"/>
          </w:tcPr>
          <w:p>
            <w:pPr>
              <w:widowControl/>
              <w:rPr>
                <w:rFonts w:hint="eastAsia" w:ascii="宋体" w:hAnsi="宋体" w:cs="宋体"/>
                <w:szCs w:val="21"/>
                <w:highlight w:val="none"/>
              </w:rPr>
            </w:pPr>
            <w:r>
              <w:rPr>
                <w:rFonts w:hint="eastAsia" w:ascii="宋体" w:hAnsi="宋体" w:cs="宋体"/>
                <w:szCs w:val="21"/>
                <w:highlight w:val="none"/>
              </w:rPr>
              <w:t>WLAN管理</w:t>
            </w:r>
          </w:p>
        </w:tc>
        <w:tc>
          <w:tcPr>
            <w:tcW w:w="6741" w:type="dxa"/>
            <w:tcBorders>
              <w:tl2br w:val="nil"/>
              <w:tr2bl w:val="nil"/>
            </w:tcBorders>
            <w:shd w:val="clear" w:color="auto" w:fill="auto"/>
          </w:tcPr>
          <w:p>
            <w:pPr>
              <w:widowControl/>
              <w:rPr>
                <w:rFonts w:hint="eastAsia" w:ascii="宋体" w:hAnsi="宋体" w:cs="宋体"/>
                <w:szCs w:val="21"/>
                <w:highlight w:val="none"/>
              </w:rPr>
            </w:pPr>
            <w:r>
              <w:rPr>
                <w:rFonts w:hint="eastAsia" w:ascii="宋体" w:hAnsi="宋体" w:cs="宋体"/>
                <w:szCs w:val="21"/>
                <w:highlight w:val="none"/>
              </w:rPr>
              <w:t>WAPI 证书导入、WAPI 证书请求生成与导出</w:t>
            </w:r>
          </w:p>
          <w:p>
            <w:pPr>
              <w:widowControl/>
              <w:rPr>
                <w:rFonts w:hint="eastAsia" w:ascii="宋体" w:hAnsi="宋体" w:cs="宋体"/>
                <w:szCs w:val="21"/>
                <w:highlight w:val="none"/>
              </w:rPr>
            </w:pPr>
            <w:r>
              <w:rPr>
                <w:rFonts w:hint="eastAsia" w:ascii="宋体" w:hAnsi="宋体" w:cs="宋体"/>
                <w:szCs w:val="21"/>
                <w:highlight w:val="none"/>
              </w:rPr>
              <w:t>认证方法选择与认证参数设置</w:t>
            </w:r>
          </w:p>
          <w:p>
            <w:pPr>
              <w:widowControl/>
              <w:rPr>
                <w:rFonts w:hint="eastAsia" w:ascii="宋体" w:hAnsi="宋体" w:cs="宋体"/>
                <w:szCs w:val="21"/>
                <w:highlight w:val="none"/>
              </w:rPr>
            </w:pPr>
            <w:r>
              <w:rPr>
                <w:rFonts w:hint="eastAsia" w:ascii="宋体" w:hAnsi="宋体" w:cs="宋体"/>
                <w:szCs w:val="21"/>
                <w:highlight w:val="none"/>
              </w:rPr>
              <w:t>射频管理：支持手动 / 自动设置发射功率、支持自动设置工作信道、支持自动调整传输速率</w:t>
            </w:r>
          </w:p>
          <w:p>
            <w:pPr>
              <w:widowControl/>
              <w:rPr>
                <w:rFonts w:hint="eastAsia" w:ascii="宋体" w:hAnsi="宋体" w:cs="宋体"/>
                <w:szCs w:val="21"/>
                <w:highlight w:val="none"/>
              </w:rPr>
            </w:pPr>
            <w:r>
              <w:rPr>
                <w:rFonts w:hint="eastAsia" w:ascii="宋体" w:hAnsi="宋体" w:cs="宋体"/>
                <w:szCs w:val="21"/>
                <w:highlight w:val="none"/>
              </w:rPr>
              <w:t>无线扫描优化</w:t>
            </w:r>
          </w:p>
          <w:p>
            <w:pPr>
              <w:widowControl/>
              <w:rPr>
                <w:rFonts w:hint="eastAsia" w:ascii="宋体" w:hAnsi="宋体" w:cs="宋体"/>
                <w:szCs w:val="21"/>
                <w:highlight w:val="none"/>
              </w:rPr>
            </w:pPr>
            <w:r>
              <w:rPr>
                <w:rFonts w:hint="eastAsia" w:ascii="宋体" w:hAnsi="宋体" w:cs="宋体"/>
                <w:szCs w:val="21"/>
                <w:highlight w:val="none"/>
              </w:rPr>
              <w:t>无线连接管理</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F1F1F1" w:themeFill="background1" w:themeFillShade="F2"/>
          <w:tblCellMar>
            <w:top w:w="0" w:type="dxa"/>
            <w:left w:w="108" w:type="dxa"/>
            <w:bottom w:w="0" w:type="dxa"/>
            <w:right w:w="108" w:type="dxa"/>
          </w:tblCellMar>
        </w:tblPrEx>
        <w:tc>
          <w:tcPr>
            <w:tcW w:w="1555" w:type="dxa"/>
            <w:tcBorders>
              <w:tl2br w:val="nil"/>
              <w:tr2bl w:val="nil"/>
            </w:tcBorders>
            <w:shd w:val="clear" w:color="auto" w:fill="auto"/>
          </w:tcPr>
          <w:p>
            <w:pPr>
              <w:widowControl/>
              <w:rPr>
                <w:rFonts w:hint="eastAsia" w:ascii="宋体" w:hAnsi="宋体" w:cs="宋体"/>
                <w:szCs w:val="21"/>
                <w:highlight w:val="none"/>
              </w:rPr>
            </w:pPr>
            <w:r>
              <w:rPr>
                <w:rFonts w:hint="eastAsia" w:ascii="宋体" w:hAnsi="宋体" w:cs="宋体"/>
                <w:szCs w:val="21"/>
                <w:highlight w:val="none"/>
              </w:rPr>
              <w:t>安全与认证</w:t>
            </w:r>
          </w:p>
        </w:tc>
        <w:tc>
          <w:tcPr>
            <w:tcW w:w="6741" w:type="dxa"/>
            <w:tcBorders>
              <w:tl2br w:val="nil"/>
              <w:tr2bl w:val="nil"/>
            </w:tcBorders>
            <w:shd w:val="clear" w:color="auto" w:fill="auto"/>
          </w:tcPr>
          <w:p>
            <w:pPr>
              <w:widowControl/>
              <w:rPr>
                <w:rFonts w:hint="eastAsia" w:ascii="宋体" w:hAnsi="宋体" w:cs="宋体"/>
                <w:szCs w:val="21"/>
                <w:highlight w:val="none"/>
              </w:rPr>
            </w:pPr>
            <w:r>
              <w:rPr>
                <w:rFonts w:hint="eastAsia" w:ascii="宋体" w:hAnsi="宋体" w:cs="宋体"/>
                <w:szCs w:val="21"/>
                <w:highlight w:val="none"/>
              </w:rPr>
              <w:t>无线认证：WAPI 认证（证书模式、PSK 模式）、802.1X 认证</w:t>
            </w:r>
          </w:p>
          <w:p>
            <w:pPr>
              <w:widowControl/>
              <w:rPr>
                <w:rFonts w:hint="eastAsia" w:ascii="宋体" w:hAnsi="宋体" w:cs="宋体"/>
                <w:szCs w:val="21"/>
                <w:highlight w:val="none"/>
              </w:rPr>
            </w:pPr>
            <w:r>
              <w:rPr>
                <w:rFonts w:hint="eastAsia" w:ascii="宋体" w:hAnsi="宋体" w:cs="宋体"/>
                <w:szCs w:val="21"/>
                <w:highlight w:val="none"/>
              </w:rPr>
              <w:t>无线加密：WAPI 加密 (SM4)、WEP、WPA/WPA2</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555" w:type="dxa"/>
            <w:tcBorders>
              <w:tl2br w:val="nil"/>
              <w:tr2bl w:val="nil"/>
            </w:tcBorders>
            <w:shd w:val="clear" w:color="auto" w:fill="auto"/>
          </w:tcPr>
          <w:p>
            <w:pPr>
              <w:widowControl/>
              <w:rPr>
                <w:rFonts w:hint="eastAsia" w:ascii="宋体" w:hAnsi="宋体" w:cs="宋体"/>
                <w:szCs w:val="21"/>
                <w:highlight w:val="none"/>
              </w:rPr>
            </w:pPr>
            <w:r>
              <w:rPr>
                <w:rFonts w:hint="eastAsia" w:ascii="宋体" w:hAnsi="宋体" w:cs="宋体"/>
                <w:szCs w:val="21"/>
                <w:highlight w:val="none"/>
              </w:rPr>
              <w:t>管理与维护</w:t>
            </w:r>
          </w:p>
        </w:tc>
        <w:tc>
          <w:tcPr>
            <w:tcW w:w="6741" w:type="dxa"/>
            <w:tcBorders>
              <w:tl2br w:val="nil"/>
              <w:tr2bl w:val="nil"/>
            </w:tcBorders>
            <w:shd w:val="clear" w:color="auto" w:fill="auto"/>
          </w:tcPr>
          <w:p>
            <w:pPr>
              <w:widowControl/>
              <w:rPr>
                <w:rFonts w:hint="eastAsia" w:ascii="宋体" w:hAnsi="宋体" w:cs="宋体"/>
                <w:szCs w:val="21"/>
                <w:highlight w:val="none"/>
              </w:rPr>
            </w:pPr>
            <w:r>
              <w:rPr>
                <w:rFonts w:hint="eastAsia" w:ascii="宋体" w:hAnsi="宋体" w:cs="宋体"/>
                <w:szCs w:val="21"/>
                <w:highlight w:val="none"/>
              </w:rPr>
              <w:t>网络管理：WEB 管理、SYSLOG</w:t>
            </w:r>
          </w:p>
          <w:p>
            <w:pPr>
              <w:widowControl/>
              <w:rPr>
                <w:rFonts w:hint="eastAsia" w:ascii="宋体" w:hAnsi="宋体" w:cs="宋体"/>
                <w:szCs w:val="21"/>
                <w:highlight w:val="none"/>
              </w:rPr>
            </w:pPr>
            <w:r>
              <w:rPr>
                <w:rFonts w:hint="eastAsia" w:ascii="宋体" w:hAnsi="宋体" w:cs="宋体"/>
                <w:szCs w:val="21"/>
                <w:highlight w:val="none"/>
              </w:rPr>
              <w:t>管理接入：Console 接入、支持 SSH 登录</w:t>
            </w:r>
          </w:p>
        </w:tc>
      </w:tr>
    </w:tbl>
    <w:p>
      <w:pPr>
        <w:pStyle w:val="6"/>
        <w:keepNext w:val="0"/>
        <w:keepLines w:val="0"/>
        <w:widowControl/>
        <w:tabs>
          <w:tab w:val="left" w:pos="1276"/>
        </w:tabs>
        <w:rPr>
          <w:rFonts w:hint="eastAsia" w:ascii="宋体" w:hAnsi="宋体" w:eastAsia="宋体"/>
          <w:color w:val="000000"/>
          <w:sz w:val="28"/>
          <w:szCs w:val="28"/>
          <w:highlight w:val="none"/>
        </w:rPr>
      </w:pPr>
      <w:r>
        <w:rPr>
          <w:rFonts w:hint="eastAsia" w:ascii="宋体" w:hAnsi="宋体" w:eastAsia="宋体"/>
          <w:color w:val="000000"/>
          <w:sz w:val="28"/>
          <w:szCs w:val="28"/>
          <w:highlight w:val="none"/>
        </w:rPr>
        <w:t>2.2 配套服务范围</w:t>
      </w:r>
    </w:p>
    <w:p>
      <w:pPr>
        <w:widowControl/>
        <w:numPr>
          <w:ilvl w:val="0"/>
          <w:numId w:val="3"/>
        </w:numPr>
        <w:spacing w:line="360" w:lineRule="auto"/>
        <w:jc w:val="left"/>
        <w:rPr>
          <w:rFonts w:hint="eastAsia" w:ascii="宋体" w:hAnsi="宋体" w:cs="宋体"/>
          <w:color w:val="000000"/>
          <w:szCs w:val="21"/>
          <w:highlight w:val="none"/>
        </w:rPr>
      </w:pPr>
      <w:r>
        <w:rPr>
          <w:rStyle w:val="18"/>
          <w:rFonts w:hint="eastAsia" w:ascii="宋体" w:hAnsi="宋体" w:cs="宋体"/>
          <w:b w:val="0"/>
          <w:color w:val="000000"/>
          <w:szCs w:val="21"/>
          <w:highlight w:val="none"/>
        </w:rPr>
        <w:t>供货配套</w:t>
      </w:r>
      <w:r>
        <w:rPr>
          <w:rFonts w:hint="eastAsia" w:ascii="宋体" w:hAnsi="宋体" w:cs="宋体"/>
          <w:color w:val="000000"/>
          <w:szCs w:val="21"/>
          <w:highlight w:val="none"/>
        </w:rPr>
        <w:t>：按委托方要求提供全新、合格的产品整部件，同时提供</w:t>
      </w:r>
      <w:r>
        <w:rPr>
          <w:rStyle w:val="18"/>
          <w:rFonts w:hint="eastAsia" w:ascii="宋体" w:hAnsi="宋体" w:cs="宋体"/>
          <w:b w:val="0"/>
          <w:color w:val="000000"/>
          <w:szCs w:val="21"/>
          <w:highlight w:val="none"/>
        </w:rPr>
        <w:t>必备的备品备件、专用工具和仪器</w:t>
      </w:r>
      <w:r>
        <w:rPr>
          <w:rFonts w:hint="eastAsia" w:ascii="宋体" w:hAnsi="宋体" w:cs="宋体"/>
          <w:color w:val="000000"/>
          <w:szCs w:val="21"/>
          <w:highlight w:val="none"/>
        </w:rPr>
        <w:t>（均为新品，与设备同型号、同工艺）；若部分组件/附件需向第三方外购，代工方需对其质量</w:t>
      </w:r>
      <w:r>
        <w:rPr>
          <w:rStyle w:val="18"/>
          <w:rFonts w:hint="eastAsia" w:ascii="宋体" w:hAnsi="宋体" w:cs="宋体"/>
          <w:b w:val="0"/>
          <w:color w:val="000000"/>
          <w:szCs w:val="21"/>
          <w:highlight w:val="none"/>
        </w:rPr>
        <w:t>负全部责任</w:t>
      </w:r>
      <w:r>
        <w:rPr>
          <w:rFonts w:hint="eastAsia" w:ascii="宋体" w:hAnsi="宋体" w:cs="宋体"/>
          <w:color w:val="000000"/>
          <w:szCs w:val="21"/>
          <w:highlight w:val="none"/>
        </w:rPr>
        <w:t>，并向委托方提供完整的出厂报告、验收报告及质量证明文件。</w:t>
      </w:r>
    </w:p>
    <w:p>
      <w:pPr>
        <w:widowControl/>
        <w:numPr>
          <w:ilvl w:val="0"/>
          <w:numId w:val="3"/>
        </w:numPr>
        <w:spacing w:line="360" w:lineRule="auto"/>
        <w:jc w:val="left"/>
        <w:rPr>
          <w:rFonts w:hint="eastAsia" w:ascii="宋体" w:hAnsi="宋体" w:cs="宋体"/>
          <w:color w:val="000000"/>
          <w:szCs w:val="21"/>
          <w:highlight w:val="none"/>
        </w:rPr>
      </w:pPr>
      <w:r>
        <w:rPr>
          <w:rStyle w:val="18"/>
          <w:rFonts w:hint="eastAsia" w:ascii="宋体" w:hAnsi="宋体" w:cs="宋体"/>
          <w:b w:val="0"/>
          <w:color w:val="000000"/>
          <w:szCs w:val="21"/>
          <w:highlight w:val="none"/>
        </w:rPr>
        <w:t>包装运输</w:t>
      </w:r>
      <w:r>
        <w:rPr>
          <w:rFonts w:hint="eastAsia" w:ascii="宋体" w:hAnsi="宋体" w:cs="宋体"/>
          <w:color w:val="000000"/>
          <w:szCs w:val="21"/>
          <w:highlight w:val="none"/>
        </w:rPr>
        <w:t>：负责所有供货设备的</w:t>
      </w:r>
      <w:r>
        <w:rPr>
          <w:rStyle w:val="18"/>
          <w:rFonts w:hint="eastAsia" w:ascii="宋体" w:hAnsi="宋体" w:cs="宋体"/>
          <w:b w:val="0"/>
          <w:color w:val="000000"/>
          <w:szCs w:val="21"/>
          <w:highlight w:val="none"/>
        </w:rPr>
        <w:t>专业包装</w:t>
      </w:r>
      <w:r>
        <w:rPr>
          <w:rFonts w:hint="eastAsia" w:ascii="宋体" w:hAnsi="宋体" w:cs="宋体"/>
          <w:color w:val="000000"/>
          <w:szCs w:val="21"/>
          <w:highlight w:val="none"/>
        </w:rPr>
        <w:t>（满足防尘、防雨、防水、防潮、防振、防腐蚀要求），并按委托方指定地点完成运输（含陆运、空运、水运），运输费用由代工方承担；需保留发货照片、物流单据、运输路径等资料。</w:t>
      </w:r>
    </w:p>
    <w:p>
      <w:pPr>
        <w:widowControl/>
        <w:numPr>
          <w:ilvl w:val="0"/>
          <w:numId w:val="3"/>
        </w:numPr>
        <w:spacing w:line="360" w:lineRule="auto"/>
        <w:jc w:val="left"/>
        <w:rPr>
          <w:rFonts w:hint="eastAsia" w:ascii="宋体" w:hAnsi="宋体" w:cs="宋体"/>
          <w:color w:val="000000"/>
          <w:szCs w:val="21"/>
          <w:highlight w:val="none"/>
        </w:rPr>
      </w:pPr>
      <w:r>
        <w:rPr>
          <w:rStyle w:val="18"/>
          <w:rFonts w:hint="eastAsia" w:ascii="宋体" w:hAnsi="宋体" w:cs="宋体"/>
          <w:b w:val="0"/>
          <w:color w:val="000000"/>
          <w:szCs w:val="21"/>
          <w:highlight w:val="none"/>
        </w:rPr>
        <w:t>售后技术支持</w:t>
      </w:r>
      <w:r>
        <w:rPr>
          <w:rFonts w:hint="eastAsia" w:ascii="宋体" w:hAnsi="宋体" w:cs="宋体"/>
          <w:color w:val="000000"/>
          <w:szCs w:val="21"/>
          <w:highlight w:val="none"/>
        </w:rPr>
        <w:t>：产品投运后，协助委托方解决设备运行中因</w:t>
      </w:r>
      <w:r>
        <w:rPr>
          <w:rStyle w:val="18"/>
          <w:rFonts w:hint="eastAsia" w:ascii="宋体" w:hAnsi="宋体" w:cs="宋体"/>
          <w:b w:val="0"/>
          <w:color w:val="000000"/>
          <w:szCs w:val="21"/>
          <w:highlight w:val="none"/>
        </w:rPr>
        <w:t>加工/装配/制造</w:t>
      </w:r>
      <w:r>
        <w:rPr>
          <w:rFonts w:hint="eastAsia" w:ascii="宋体" w:hAnsi="宋体" w:cs="宋体"/>
          <w:color w:val="000000"/>
          <w:szCs w:val="21"/>
          <w:highlight w:val="none"/>
        </w:rPr>
        <w:t>原因导致的问题，按本规范书要求提供质保期内的维修、更换服务。</w:t>
      </w:r>
    </w:p>
    <w:p>
      <w:pPr>
        <w:widowControl/>
        <w:numPr>
          <w:ilvl w:val="0"/>
          <w:numId w:val="3"/>
        </w:numPr>
        <w:spacing w:line="360" w:lineRule="auto"/>
        <w:jc w:val="left"/>
        <w:rPr>
          <w:rFonts w:hint="eastAsia" w:ascii="宋体" w:hAnsi="宋体" w:cs="宋体"/>
          <w:color w:val="000000"/>
          <w:szCs w:val="21"/>
          <w:highlight w:val="none"/>
        </w:rPr>
      </w:pPr>
      <w:r>
        <w:rPr>
          <w:rStyle w:val="18"/>
          <w:rFonts w:hint="eastAsia" w:ascii="宋体" w:hAnsi="宋体" w:cs="宋体"/>
          <w:b w:val="0"/>
          <w:color w:val="000000"/>
          <w:szCs w:val="21"/>
          <w:highlight w:val="none"/>
        </w:rPr>
        <w:t>资料交付</w:t>
      </w:r>
      <w:r>
        <w:rPr>
          <w:rFonts w:hint="eastAsia" w:ascii="宋体" w:hAnsi="宋体" w:cs="宋体"/>
          <w:color w:val="000000"/>
          <w:szCs w:val="21"/>
          <w:highlight w:val="none"/>
        </w:rPr>
        <w:t>：供货前向委托方提供完整的生产/检测资料，包括但不限于：出厂检测报告、装箱清单、易损耗品清单、外购件质量证明文件等。</w:t>
      </w:r>
    </w:p>
    <w:p>
      <w:pPr>
        <w:pStyle w:val="6"/>
        <w:keepNext w:val="0"/>
        <w:keepLines w:val="0"/>
        <w:widowControl/>
        <w:tabs>
          <w:tab w:val="left" w:pos="1276"/>
        </w:tabs>
        <w:rPr>
          <w:rFonts w:hint="eastAsia" w:ascii="宋体" w:hAnsi="宋体" w:eastAsia="宋体"/>
          <w:color w:val="000000"/>
          <w:sz w:val="28"/>
          <w:szCs w:val="28"/>
          <w:highlight w:val="none"/>
        </w:rPr>
      </w:pPr>
      <w:r>
        <w:rPr>
          <w:rFonts w:hint="eastAsia" w:ascii="宋体" w:hAnsi="宋体" w:eastAsia="宋体"/>
          <w:color w:val="000000"/>
          <w:sz w:val="28"/>
          <w:szCs w:val="28"/>
          <w:highlight w:val="none"/>
        </w:rPr>
        <w:t>2.3 验收配合范围</w:t>
      </w:r>
    </w:p>
    <w:p>
      <w:pPr>
        <w:widowControl/>
        <w:numPr>
          <w:ilvl w:val="0"/>
          <w:numId w:val="4"/>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配合委托方完成产品的</w:t>
      </w:r>
      <w:r>
        <w:rPr>
          <w:rStyle w:val="18"/>
          <w:rFonts w:hint="eastAsia" w:ascii="宋体" w:hAnsi="宋体" w:cs="宋体"/>
          <w:b w:val="0"/>
          <w:color w:val="000000"/>
          <w:szCs w:val="21"/>
          <w:highlight w:val="none"/>
        </w:rPr>
        <w:t>首件验收、批次送样抽检、工厂验收、现场验收</w:t>
      </w:r>
      <w:r>
        <w:rPr>
          <w:rFonts w:hint="eastAsia" w:ascii="宋体" w:hAnsi="宋体" w:cs="宋体"/>
          <w:color w:val="000000"/>
          <w:szCs w:val="21"/>
          <w:highlight w:val="none"/>
        </w:rPr>
        <w:t>，按要求提供试验场地、检测仪器、试验人员等配合工作。</w:t>
      </w:r>
    </w:p>
    <w:p>
      <w:pPr>
        <w:widowControl/>
        <w:numPr>
          <w:ilvl w:val="0"/>
          <w:numId w:val="4"/>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产品安装、调试、性能试验、试运行及质保期内，若因</w:t>
      </w:r>
      <w:r>
        <w:rPr>
          <w:rStyle w:val="18"/>
          <w:rFonts w:hint="eastAsia" w:ascii="宋体" w:hAnsi="宋体" w:cs="宋体"/>
          <w:b w:val="0"/>
          <w:color w:val="000000"/>
          <w:szCs w:val="21"/>
          <w:highlight w:val="none"/>
        </w:rPr>
        <w:t>制造/加工/装配</w:t>
      </w:r>
      <w:r>
        <w:rPr>
          <w:rFonts w:hint="eastAsia" w:ascii="宋体" w:hAnsi="宋体" w:cs="宋体"/>
          <w:color w:val="000000"/>
          <w:szCs w:val="21"/>
          <w:highlight w:val="none"/>
        </w:rPr>
        <w:t>原因导致技术指标不满足要求，代工方需按委托方要求无条件返工、整改，承担全部费用，并赔偿由此造成的损失。</w:t>
      </w:r>
    </w:p>
    <w:p>
      <w:pPr>
        <w:pStyle w:val="5"/>
        <w:keepNext w:val="0"/>
        <w:keepLines w:val="0"/>
        <w:tabs>
          <w:tab w:val="left" w:pos="425"/>
        </w:tabs>
        <w:spacing w:before="312"/>
        <w:rPr>
          <w:rFonts w:hint="eastAsia" w:ascii="宋体" w:hAnsi="宋体" w:eastAsia="宋体"/>
          <w:color w:val="000000"/>
          <w:sz w:val="32"/>
          <w:szCs w:val="32"/>
          <w:highlight w:val="none"/>
        </w:rPr>
      </w:pPr>
      <w:r>
        <w:rPr>
          <w:rFonts w:hint="eastAsia" w:ascii="宋体" w:hAnsi="宋体" w:eastAsia="宋体"/>
          <w:color w:val="000000"/>
          <w:sz w:val="32"/>
          <w:szCs w:val="32"/>
          <w:highlight w:val="none"/>
        </w:rPr>
        <w:t>三、应遵循的主要标准</w:t>
      </w:r>
    </w:p>
    <w:p>
      <w:pPr>
        <w:widowControl/>
        <w:spacing w:line="360" w:lineRule="auto"/>
        <w:ind w:firstLine="420" w:firstLineChars="200"/>
        <w:jc w:val="left"/>
        <w:rPr>
          <w:rFonts w:hint="eastAsia" w:ascii="宋体" w:hAnsi="宋体" w:cs="宋体"/>
          <w:color w:val="000000"/>
          <w:kern w:val="0"/>
          <w:szCs w:val="21"/>
          <w:highlight w:val="none"/>
          <w:lang w:bidi="ar"/>
        </w:rPr>
      </w:pPr>
      <w:r>
        <w:rPr>
          <w:rFonts w:hint="eastAsia" w:ascii="宋体" w:hAnsi="宋体" w:cs="宋体"/>
          <w:color w:val="000000"/>
          <w:kern w:val="0"/>
          <w:szCs w:val="21"/>
          <w:highlight w:val="none"/>
          <w:lang w:bidi="ar"/>
        </w:rPr>
        <w:t>除本技术规范书特殊规定外，代工方的生产、加工、试验、包装、运输等所有环节，均需按以下标准</w:t>
      </w:r>
      <w:r>
        <w:rPr>
          <w:rStyle w:val="18"/>
          <w:rFonts w:hint="eastAsia" w:ascii="宋体" w:hAnsi="宋体" w:cs="宋体"/>
          <w:b w:val="0"/>
          <w:color w:val="000000"/>
          <w:kern w:val="0"/>
          <w:szCs w:val="21"/>
          <w:highlight w:val="none"/>
          <w:lang w:bidi="ar"/>
        </w:rPr>
        <w:t>最新版本</w:t>
      </w:r>
      <w:r>
        <w:rPr>
          <w:rFonts w:hint="eastAsia" w:ascii="宋体" w:hAnsi="宋体" w:cs="宋体"/>
          <w:color w:val="000000"/>
          <w:kern w:val="0"/>
          <w:szCs w:val="21"/>
          <w:highlight w:val="none"/>
          <w:lang w:bidi="ar"/>
        </w:rPr>
        <w:t>执行；标准内容存在矛盾时，按技术要求最高的条款执行，或按双方商定标准执行。提交供审查的标准应为</w:t>
      </w:r>
      <w:r>
        <w:rPr>
          <w:rStyle w:val="18"/>
          <w:rFonts w:hint="eastAsia" w:ascii="宋体" w:hAnsi="宋体" w:cs="宋体"/>
          <w:b w:val="0"/>
          <w:color w:val="000000"/>
          <w:kern w:val="0"/>
          <w:szCs w:val="21"/>
          <w:highlight w:val="none"/>
          <w:lang w:bidi="ar"/>
        </w:rPr>
        <w:t>中文版本</w:t>
      </w:r>
      <w:r>
        <w:rPr>
          <w:rFonts w:hint="eastAsia" w:ascii="宋体" w:hAnsi="宋体" w:cs="宋体"/>
          <w:color w:val="000000"/>
          <w:kern w:val="0"/>
          <w:szCs w:val="21"/>
          <w:highlight w:val="none"/>
          <w:lang w:bidi="ar"/>
        </w:rPr>
        <w:t>。</w:t>
      </w:r>
    </w:p>
    <w:p>
      <w:pPr>
        <w:pStyle w:val="6"/>
        <w:keepNext w:val="0"/>
        <w:keepLines w:val="0"/>
        <w:widowControl/>
        <w:tabs>
          <w:tab w:val="left" w:pos="1276"/>
        </w:tabs>
        <w:rPr>
          <w:rFonts w:hint="eastAsia" w:ascii="宋体" w:hAnsi="宋体" w:eastAsia="宋体"/>
          <w:color w:val="000000"/>
          <w:sz w:val="28"/>
          <w:szCs w:val="28"/>
          <w:highlight w:val="none"/>
        </w:rPr>
      </w:pPr>
      <w:r>
        <w:rPr>
          <w:rFonts w:hint="eastAsia" w:ascii="宋体" w:hAnsi="宋体" w:eastAsia="宋体"/>
          <w:color w:val="000000"/>
          <w:sz w:val="28"/>
          <w:szCs w:val="28"/>
          <w:highlight w:val="none"/>
        </w:rPr>
        <w:t>3.1 国家/行业标准</w:t>
      </w:r>
    </w:p>
    <w:p>
      <w:pPr>
        <w:rPr>
          <w:rFonts w:hint="eastAsia" w:ascii="宋体" w:hAnsi="宋体" w:cs="宋体"/>
          <w:color w:val="000000"/>
          <w:kern w:val="0"/>
          <w:szCs w:val="21"/>
          <w:highlight w:val="none"/>
          <w:lang w:bidi="ar"/>
        </w:rPr>
      </w:pPr>
      <w:r>
        <w:rPr>
          <w:rFonts w:ascii="宋体" w:hAnsi="宋体" w:cs="宋体"/>
          <w:color w:val="000000"/>
          <w:kern w:val="0"/>
          <w:szCs w:val="21"/>
          <w:highlight w:val="none"/>
          <w:lang w:bidi="ar"/>
        </w:rPr>
        <w:t>GB/T 12642-2013</w:t>
      </w:r>
      <w:r>
        <w:rPr>
          <w:rFonts w:hint="eastAsia" w:ascii="宋体" w:hAnsi="宋体" w:cs="宋体"/>
          <w:color w:val="000000"/>
          <w:kern w:val="0"/>
          <w:szCs w:val="21"/>
          <w:highlight w:val="none"/>
          <w:lang w:bidi="ar"/>
        </w:rPr>
        <w:t>《工业机器人性能规范及其试验方法》</w:t>
      </w:r>
    </w:p>
    <w:p>
      <w:pPr>
        <w:rPr>
          <w:rFonts w:hint="eastAsia" w:ascii="宋体" w:hAnsi="宋体" w:cs="宋体"/>
          <w:color w:val="000000"/>
          <w:kern w:val="0"/>
          <w:szCs w:val="21"/>
          <w:highlight w:val="none"/>
          <w:lang w:bidi="ar"/>
        </w:rPr>
      </w:pPr>
      <w:r>
        <w:rPr>
          <w:rFonts w:ascii="宋体" w:hAnsi="宋体" w:cs="宋体"/>
          <w:color w:val="000000"/>
          <w:kern w:val="0"/>
          <w:szCs w:val="21"/>
          <w:highlight w:val="none"/>
          <w:lang w:bidi="ar"/>
        </w:rPr>
        <w:t>GB/T 45502-2025</w:t>
      </w:r>
      <w:r>
        <w:rPr>
          <w:rFonts w:hint="eastAsia" w:ascii="宋体" w:hAnsi="宋体" w:cs="宋体"/>
          <w:color w:val="000000"/>
          <w:kern w:val="0"/>
          <w:szCs w:val="21"/>
          <w:highlight w:val="none"/>
          <w:lang w:bidi="ar"/>
        </w:rPr>
        <w:t>《服务机器人信息安全通用要求》</w:t>
      </w:r>
    </w:p>
    <w:p>
      <w:pPr>
        <w:rPr>
          <w:highlight w:val="none"/>
        </w:rPr>
      </w:pPr>
      <w:r>
        <w:rPr>
          <w:rFonts w:hint="eastAsia" w:ascii="宋体" w:hAnsi="宋体" w:cs="宋体"/>
          <w:color w:val="000000"/>
          <w:kern w:val="0"/>
          <w:szCs w:val="21"/>
          <w:highlight w:val="none"/>
          <w:lang w:bidi="ar"/>
        </w:rPr>
        <w:t>GB/T 29825-2013《机器人通信总线协议》</w:t>
      </w:r>
    </w:p>
    <w:p>
      <w:pPr>
        <w:pStyle w:val="5"/>
        <w:keepNext w:val="0"/>
        <w:keepLines w:val="0"/>
        <w:tabs>
          <w:tab w:val="left" w:pos="425"/>
        </w:tabs>
        <w:spacing w:before="312"/>
        <w:rPr>
          <w:rFonts w:hint="eastAsia" w:ascii="宋体" w:hAnsi="宋体" w:eastAsia="宋体"/>
          <w:color w:val="000000"/>
          <w:sz w:val="32"/>
          <w:szCs w:val="32"/>
          <w:highlight w:val="none"/>
        </w:rPr>
      </w:pPr>
      <w:r>
        <w:rPr>
          <w:rFonts w:hint="eastAsia" w:ascii="宋体" w:hAnsi="宋体" w:eastAsia="宋体"/>
          <w:color w:val="000000"/>
          <w:sz w:val="32"/>
          <w:szCs w:val="32"/>
          <w:highlight w:val="none"/>
        </w:rPr>
        <w:t>四、产品使用条件</w:t>
      </w:r>
    </w:p>
    <w:p>
      <w:pPr>
        <w:widowControl/>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kern w:val="0"/>
          <w:szCs w:val="21"/>
          <w:highlight w:val="none"/>
          <w:lang w:bidi="ar"/>
        </w:rPr>
        <w:t>代工方需按以下产品使用条件，在生产/加工/装配过程中选用适配的工艺、材料、辅材，确保产品在以下环境中</w:t>
      </w:r>
      <w:r>
        <w:rPr>
          <w:rStyle w:val="18"/>
          <w:rFonts w:hint="eastAsia" w:ascii="宋体" w:hAnsi="宋体" w:cs="宋体"/>
          <w:b w:val="0"/>
          <w:color w:val="000000"/>
          <w:kern w:val="0"/>
          <w:szCs w:val="21"/>
          <w:highlight w:val="none"/>
          <w:lang w:bidi="ar"/>
        </w:rPr>
        <w:t>长期、稳定、可靠运行</w:t>
      </w:r>
      <w:r>
        <w:rPr>
          <w:rFonts w:hint="eastAsia" w:ascii="宋体" w:hAnsi="宋体" w:cs="宋体"/>
          <w:color w:val="000000"/>
          <w:kern w:val="0"/>
          <w:szCs w:val="21"/>
          <w:highlight w:val="none"/>
          <w:lang w:bidi="ar"/>
        </w:rPr>
        <w:t>，不得因加工工艺问题导致产品适应能力下降。</w:t>
      </w:r>
    </w:p>
    <w:p>
      <w:pPr>
        <w:widowControl/>
        <w:numPr>
          <w:ilvl w:val="0"/>
          <w:numId w:val="5"/>
        </w:numPr>
        <w:spacing w:line="360" w:lineRule="auto"/>
        <w:jc w:val="left"/>
        <w:rPr>
          <w:rFonts w:hint="eastAsia" w:ascii="宋体" w:hAnsi="宋体" w:cs="宋体"/>
          <w:color w:val="000000"/>
          <w:szCs w:val="21"/>
          <w:highlight w:val="none"/>
        </w:rPr>
      </w:pPr>
      <w:r>
        <w:rPr>
          <w:rStyle w:val="18"/>
          <w:rFonts w:hint="eastAsia" w:ascii="宋体" w:hAnsi="宋体" w:cs="宋体"/>
          <w:b w:val="0"/>
          <w:color w:val="000000"/>
          <w:szCs w:val="21"/>
          <w:highlight w:val="none"/>
        </w:rPr>
        <w:t>环境温度</w:t>
      </w:r>
      <w:r>
        <w:rPr>
          <w:rFonts w:hint="eastAsia" w:ascii="宋体" w:hAnsi="宋体" w:cs="宋体"/>
          <w:color w:val="000000"/>
          <w:szCs w:val="21"/>
          <w:highlight w:val="none"/>
        </w:rPr>
        <w:t>：最高+45℃；最低-20℃；海拔≤2000米</w:t>
      </w:r>
    </w:p>
    <w:p>
      <w:pPr>
        <w:widowControl/>
        <w:numPr>
          <w:ilvl w:val="0"/>
          <w:numId w:val="5"/>
        </w:numPr>
        <w:spacing w:line="360" w:lineRule="auto"/>
        <w:jc w:val="left"/>
        <w:rPr>
          <w:rFonts w:hint="eastAsia" w:ascii="宋体" w:hAnsi="宋体" w:cs="宋体"/>
          <w:color w:val="000000"/>
          <w:szCs w:val="21"/>
          <w:highlight w:val="none"/>
        </w:rPr>
      </w:pPr>
      <w:r>
        <w:rPr>
          <w:rStyle w:val="18"/>
          <w:rFonts w:hint="eastAsia" w:ascii="宋体" w:hAnsi="宋体" w:cs="宋体"/>
          <w:b w:val="0"/>
          <w:color w:val="000000"/>
          <w:szCs w:val="21"/>
          <w:highlight w:val="none"/>
        </w:rPr>
        <w:t>环境相对湿度</w:t>
      </w:r>
      <w:r>
        <w:rPr>
          <w:rFonts w:hint="eastAsia" w:ascii="宋体" w:hAnsi="宋体" w:cs="宋体"/>
          <w:color w:val="000000"/>
          <w:szCs w:val="21"/>
          <w:highlight w:val="none"/>
        </w:rPr>
        <w:t>：10% ~ 85%</w:t>
      </w:r>
    </w:p>
    <w:p>
      <w:pPr>
        <w:pStyle w:val="2"/>
        <w:numPr>
          <w:ilvl w:val="0"/>
          <w:numId w:val="5"/>
        </w:numPr>
        <w:ind w:firstLineChars="0"/>
        <w:rPr>
          <w:rFonts w:hint="eastAsia" w:ascii="宋体" w:hAnsi="宋体" w:cs="宋体"/>
          <w:color w:val="000000"/>
          <w:sz w:val="21"/>
          <w:szCs w:val="21"/>
          <w:highlight w:val="none"/>
        </w:rPr>
      </w:pPr>
      <w:r>
        <w:rPr>
          <w:rFonts w:hint="eastAsia" w:ascii="宋体" w:hAnsi="宋体" w:cs="宋体"/>
          <w:color w:val="000000"/>
          <w:sz w:val="21"/>
          <w:szCs w:val="21"/>
          <w:highlight w:val="none"/>
        </w:rPr>
        <w:t>环境适应性：具备防尘、防水、防潮性能，满足IP65以上的防护</w:t>
      </w:r>
    </w:p>
    <w:p>
      <w:pPr>
        <w:pStyle w:val="5"/>
        <w:keepNext w:val="0"/>
        <w:keepLines w:val="0"/>
        <w:tabs>
          <w:tab w:val="left" w:pos="425"/>
        </w:tabs>
        <w:spacing w:before="312"/>
        <w:rPr>
          <w:rFonts w:hint="eastAsia" w:ascii="宋体" w:hAnsi="宋体" w:eastAsia="宋体"/>
          <w:color w:val="000000"/>
          <w:sz w:val="32"/>
          <w:szCs w:val="32"/>
          <w:highlight w:val="none"/>
        </w:rPr>
      </w:pPr>
      <w:r>
        <w:rPr>
          <w:rFonts w:hint="eastAsia" w:ascii="宋体" w:hAnsi="宋体" w:eastAsia="宋体"/>
          <w:color w:val="000000"/>
          <w:sz w:val="32"/>
          <w:szCs w:val="32"/>
          <w:highlight w:val="none"/>
        </w:rPr>
        <w:t>五、对代工方的核心要求</w:t>
      </w:r>
    </w:p>
    <w:p>
      <w:pPr>
        <w:pStyle w:val="6"/>
        <w:keepNext w:val="0"/>
        <w:keepLines w:val="0"/>
        <w:widowControl/>
        <w:tabs>
          <w:tab w:val="left" w:pos="1276"/>
        </w:tabs>
        <w:rPr>
          <w:rFonts w:hint="eastAsia" w:ascii="宋体" w:hAnsi="宋体" w:eastAsia="宋体"/>
          <w:color w:val="000000"/>
          <w:sz w:val="28"/>
          <w:szCs w:val="28"/>
          <w:highlight w:val="none"/>
        </w:rPr>
      </w:pPr>
      <w:r>
        <w:rPr>
          <w:rFonts w:hint="eastAsia" w:ascii="宋体" w:hAnsi="宋体" w:eastAsia="宋体"/>
          <w:color w:val="000000"/>
          <w:sz w:val="28"/>
          <w:szCs w:val="28"/>
          <w:highlight w:val="none"/>
        </w:rPr>
        <w:t>5.1 投标响应要求</w:t>
      </w:r>
    </w:p>
    <w:p>
      <w:pPr>
        <w:widowControl/>
        <w:numPr>
          <w:ilvl w:val="0"/>
          <w:numId w:val="6"/>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投标方需根据本技术规范书的编排顺序，逐项给予响应并提出建议。</w:t>
      </w:r>
    </w:p>
    <w:p>
      <w:pPr>
        <w:widowControl/>
        <w:numPr>
          <w:ilvl w:val="0"/>
          <w:numId w:val="6"/>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投标方对本技术规范书的某些部分如不能满足要求，应在应标书中提出说明，否则，招标方即认为投标方提供的设备可以满足本标书的要求。</w:t>
      </w:r>
    </w:p>
    <w:p>
      <w:pPr>
        <w:pStyle w:val="6"/>
        <w:keepNext w:val="0"/>
        <w:keepLines w:val="0"/>
        <w:widowControl/>
        <w:tabs>
          <w:tab w:val="left" w:pos="1276"/>
        </w:tabs>
        <w:rPr>
          <w:rFonts w:hint="eastAsia" w:ascii="宋体" w:hAnsi="宋体" w:eastAsia="宋体"/>
          <w:color w:val="000000"/>
          <w:sz w:val="28"/>
          <w:szCs w:val="28"/>
          <w:highlight w:val="none"/>
        </w:rPr>
      </w:pPr>
      <w:r>
        <w:rPr>
          <w:rFonts w:hint="eastAsia" w:ascii="宋体" w:hAnsi="宋体" w:eastAsia="宋体"/>
          <w:color w:val="000000"/>
          <w:sz w:val="28"/>
          <w:szCs w:val="28"/>
          <w:highlight w:val="none"/>
        </w:rPr>
        <w:t>5.2 质量保证要求</w:t>
      </w:r>
    </w:p>
    <w:p>
      <w:pPr>
        <w:widowControl/>
        <w:numPr>
          <w:ilvl w:val="0"/>
          <w:numId w:val="7"/>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代工方需建立</w:t>
      </w:r>
      <w:r>
        <w:rPr>
          <w:rStyle w:val="18"/>
          <w:rFonts w:hint="eastAsia" w:ascii="宋体" w:hAnsi="宋体" w:cs="宋体"/>
          <w:b w:val="0"/>
          <w:color w:val="000000"/>
          <w:szCs w:val="21"/>
          <w:highlight w:val="none"/>
        </w:rPr>
        <w:t>全流程质量管控体系</w:t>
      </w:r>
      <w:r>
        <w:rPr>
          <w:rFonts w:hint="eastAsia" w:ascii="宋体" w:hAnsi="宋体" w:cs="宋体"/>
          <w:color w:val="000000"/>
          <w:szCs w:val="21"/>
          <w:highlight w:val="none"/>
        </w:rPr>
        <w:t>，覆盖原材料/外购件验收、加工过程、装配过程、出厂试验、包装运输等所有环节，确保产品质量满足本规范书及委托方要求，并向委托方提供完整的</w:t>
      </w:r>
      <w:r>
        <w:rPr>
          <w:rStyle w:val="18"/>
          <w:rFonts w:hint="eastAsia" w:ascii="宋体" w:hAnsi="宋体" w:cs="宋体"/>
          <w:b w:val="0"/>
          <w:color w:val="000000"/>
          <w:szCs w:val="21"/>
          <w:highlight w:val="none"/>
        </w:rPr>
        <w:t>供货台账、质量检测台账</w:t>
      </w:r>
      <w:r>
        <w:rPr>
          <w:rFonts w:hint="eastAsia" w:ascii="宋体" w:hAnsi="宋体" w:cs="宋体"/>
          <w:color w:val="000000"/>
          <w:szCs w:val="21"/>
          <w:highlight w:val="none"/>
        </w:rPr>
        <w:t>供参考。</w:t>
      </w:r>
    </w:p>
    <w:p>
      <w:pPr>
        <w:widowControl/>
        <w:numPr>
          <w:ilvl w:val="0"/>
          <w:numId w:val="7"/>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所有生产用原材料、外购件、备品备件必须为</w:t>
      </w:r>
      <w:r>
        <w:rPr>
          <w:rStyle w:val="18"/>
          <w:rFonts w:hint="eastAsia" w:ascii="宋体" w:hAnsi="宋体" w:cs="宋体"/>
          <w:b w:val="0"/>
          <w:color w:val="000000"/>
          <w:szCs w:val="21"/>
          <w:highlight w:val="none"/>
        </w:rPr>
        <w:t>全新、未使用过</w:t>
      </w:r>
      <w:r>
        <w:rPr>
          <w:rFonts w:hint="eastAsia" w:ascii="宋体" w:hAnsi="宋体" w:cs="宋体"/>
          <w:color w:val="000000"/>
          <w:szCs w:val="21"/>
          <w:highlight w:val="none"/>
        </w:rPr>
        <w:t>的合格产品，且与委托方设计要求、配方标准完全匹配；代工方需对外购件质量负全责，提供外购件生产厂家、品牌、质量证明文件，委托方有权对原材料/外购件进行抽检，抽检不合格的，代工方需无条件更换，并承担全部损失。</w:t>
      </w:r>
    </w:p>
    <w:p>
      <w:pPr>
        <w:widowControl/>
        <w:numPr>
          <w:ilvl w:val="0"/>
          <w:numId w:val="7"/>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备品备件需与产品原件</w:t>
      </w:r>
      <w:r>
        <w:rPr>
          <w:rStyle w:val="18"/>
          <w:rFonts w:hint="eastAsia" w:ascii="宋体" w:hAnsi="宋体" w:cs="宋体"/>
          <w:b w:val="0"/>
          <w:color w:val="000000"/>
          <w:szCs w:val="21"/>
          <w:highlight w:val="none"/>
        </w:rPr>
        <w:t>完全互换</w:t>
      </w:r>
      <w:r>
        <w:rPr>
          <w:rFonts w:hint="eastAsia" w:ascii="宋体" w:hAnsi="宋体" w:cs="宋体"/>
          <w:color w:val="000000"/>
          <w:szCs w:val="21"/>
          <w:highlight w:val="none"/>
        </w:rPr>
        <w:t>，具有相同的规范、质量、材料和工艺要求，满足产品运行、维护需求。</w:t>
      </w:r>
    </w:p>
    <w:p>
      <w:pPr>
        <w:widowControl/>
        <w:numPr>
          <w:ilvl w:val="0"/>
          <w:numId w:val="7"/>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代工方需保证产品</w:t>
      </w:r>
      <w:r>
        <w:rPr>
          <w:rStyle w:val="18"/>
          <w:rFonts w:hint="eastAsia" w:ascii="宋体" w:hAnsi="宋体" w:cs="宋体"/>
          <w:b w:val="0"/>
          <w:color w:val="000000"/>
          <w:szCs w:val="21"/>
          <w:highlight w:val="none"/>
        </w:rPr>
        <w:t>质保期内本体、附件无锈蚀、开裂</w:t>
      </w:r>
      <w:r>
        <w:rPr>
          <w:rFonts w:hint="eastAsia" w:ascii="宋体" w:hAnsi="宋体" w:cs="宋体"/>
          <w:color w:val="000000"/>
          <w:szCs w:val="21"/>
          <w:highlight w:val="none"/>
        </w:rPr>
        <w:t>，若出现上述问题，无条件免费更换；因加工/装配/制造原因导致的产品故障，代工方需按本规范书要求免费维修、更换。</w:t>
      </w:r>
    </w:p>
    <w:p>
      <w:pPr>
        <w:widowControl/>
        <w:numPr>
          <w:ilvl w:val="0"/>
          <w:numId w:val="7"/>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代工方需配合委托方进行</w:t>
      </w:r>
      <w:r>
        <w:rPr>
          <w:rStyle w:val="18"/>
          <w:rFonts w:hint="eastAsia" w:ascii="宋体" w:hAnsi="宋体" w:cs="宋体"/>
          <w:b w:val="0"/>
          <w:color w:val="000000"/>
          <w:szCs w:val="21"/>
          <w:highlight w:val="none"/>
        </w:rPr>
        <w:t>供应商现场考察</w:t>
      </w:r>
      <w:r>
        <w:rPr>
          <w:rFonts w:hint="eastAsia" w:ascii="宋体" w:hAnsi="宋体" w:cs="宋体"/>
          <w:color w:val="000000"/>
          <w:szCs w:val="21"/>
          <w:highlight w:val="none"/>
        </w:rPr>
        <w:t>，考察中发现的质量管控问题，需按委托方要求</w:t>
      </w:r>
      <w:r>
        <w:rPr>
          <w:rStyle w:val="18"/>
          <w:rFonts w:hint="eastAsia" w:ascii="宋体" w:hAnsi="宋体" w:cs="宋体"/>
          <w:b w:val="0"/>
          <w:color w:val="000000"/>
          <w:szCs w:val="21"/>
          <w:highlight w:val="none"/>
        </w:rPr>
        <w:t>按期整改</w:t>
      </w:r>
      <w:r>
        <w:rPr>
          <w:rFonts w:hint="eastAsia" w:ascii="宋体" w:hAnsi="宋体" w:cs="宋体"/>
          <w:color w:val="000000"/>
          <w:szCs w:val="21"/>
          <w:highlight w:val="none"/>
        </w:rPr>
        <w:t>，并提交整改报告及证明文件；整改不合格的，委托方有权取消其代工资格。</w:t>
      </w:r>
    </w:p>
    <w:p>
      <w:pPr>
        <w:pStyle w:val="6"/>
        <w:keepNext w:val="0"/>
        <w:keepLines w:val="0"/>
        <w:widowControl/>
        <w:tabs>
          <w:tab w:val="left" w:pos="1276"/>
        </w:tabs>
        <w:rPr>
          <w:rFonts w:hint="eastAsia" w:ascii="宋体" w:hAnsi="宋体" w:eastAsia="宋体"/>
          <w:color w:val="000000"/>
          <w:sz w:val="28"/>
          <w:szCs w:val="28"/>
          <w:highlight w:val="none"/>
        </w:rPr>
      </w:pPr>
      <w:r>
        <w:rPr>
          <w:rFonts w:hint="eastAsia" w:ascii="宋体" w:hAnsi="宋体" w:eastAsia="宋体"/>
          <w:color w:val="000000"/>
          <w:sz w:val="28"/>
          <w:szCs w:val="28"/>
          <w:highlight w:val="none"/>
        </w:rPr>
        <w:t>5.3 进度保证要求</w:t>
      </w:r>
    </w:p>
    <w:p>
      <w:pPr>
        <w:widowControl/>
        <w:numPr>
          <w:ilvl w:val="0"/>
          <w:numId w:val="8"/>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代工方应标时，需</w:t>
      </w:r>
      <w:r>
        <w:rPr>
          <w:rStyle w:val="18"/>
          <w:rFonts w:hint="eastAsia" w:ascii="宋体" w:hAnsi="宋体" w:cs="宋体"/>
          <w:b w:val="0"/>
          <w:color w:val="000000"/>
          <w:szCs w:val="21"/>
          <w:highlight w:val="none"/>
        </w:rPr>
        <w:t>根据委托方的要求提</w:t>
      </w:r>
      <w:r>
        <w:rPr>
          <w:rFonts w:hint="eastAsia" w:ascii="宋体" w:hAnsi="宋体" w:cs="宋体"/>
          <w:color w:val="000000"/>
          <w:szCs w:val="21"/>
          <w:highlight w:val="none"/>
        </w:rPr>
        <w:t>供</w:t>
      </w:r>
      <w:r>
        <w:rPr>
          <w:rStyle w:val="18"/>
          <w:rFonts w:hint="eastAsia" w:ascii="宋体" w:hAnsi="宋体" w:cs="宋体"/>
          <w:b w:val="0"/>
          <w:color w:val="000000"/>
          <w:szCs w:val="21"/>
          <w:highlight w:val="none"/>
        </w:rPr>
        <w:t>详细的生产计划时间表</w:t>
      </w:r>
      <w:r>
        <w:rPr>
          <w:rFonts w:hint="eastAsia" w:ascii="宋体" w:hAnsi="宋体" w:cs="宋体"/>
          <w:color w:val="000000"/>
          <w:szCs w:val="21"/>
          <w:highlight w:val="none"/>
        </w:rPr>
        <w:t>，明确供货数量、出厂验收时间、出厂时间、到货时间（以采购订单生效日为起点，按工作日计算）；委托方将根据实际采购情况在最终采购订单中确定正式供货时间表，代工方需严格执行。</w:t>
      </w:r>
    </w:p>
    <w:p>
      <w:pPr>
        <w:widowControl/>
        <w:numPr>
          <w:ilvl w:val="0"/>
          <w:numId w:val="8"/>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生产阶段，代工方需</w:t>
      </w:r>
      <w:r>
        <w:rPr>
          <w:rStyle w:val="18"/>
          <w:rFonts w:hint="eastAsia" w:ascii="宋体" w:hAnsi="宋体" w:cs="宋体"/>
          <w:b w:val="0"/>
          <w:color w:val="000000"/>
          <w:szCs w:val="21"/>
          <w:highlight w:val="none"/>
        </w:rPr>
        <w:t>根据委托方的要求提交设备生产进度表</w:t>
      </w:r>
      <w:r>
        <w:rPr>
          <w:rFonts w:hint="eastAsia" w:ascii="宋体" w:hAnsi="宋体" w:cs="宋体"/>
          <w:color w:val="000000"/>
          <w:szCs w:val="21"/>
          <w:highlight w:val="none"/>
        </w:rPr>
        <w:t>，明确生产进度、生产节点完成情况、存在的问题及解决措施；委托方有权随时核查生产进度，代工方需无条件配合。</w:t>
      </w:r>
    </w:p>
    <w:p>
      <w:pPr>
        <w:widowControl/>
        <w:numPr>
          <w:ilvl w:val="0"/>
          <w:numId w:val="8"/>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代工方需在</w:t>
      </w:r>
      <w:r>
        <w:rPr>
          <w:rStyle w:val="18"/>
          <w:rFonts w:hint="eastAsia" w:ascii="宋体" w:hAnsi="宋体" w:cs="宋体"/>
          <w:b w:val="0"/>
          <w:color w:val="000000"/>
          <w:szCs w:val="21"/>
          <w:highlight w:val="none"/>
        </w:rPr>
        <w:t>签订订单合同后在委托方规定时间内</w:t>
      </w:r>
      <w:r>
        <w:rPr>
          <w:rFonts w:hint="eastAsia" w:ascii="宋体" w:hAnsi="宋体" w:cs="宋体"/>
          <w:color w:val="000000"/>
          <w:szCs w:val="21"/>
          <w:highlight w:val="none"/>
        </w:rPr>
        <w:t>完成委托方所需供货量。</w:t>
      </w:r>
    </w:p>
    <w:p>
      <w:pPr>
        <w:pStyle w:val="6"/>
        <w:keepNext w:val="0"/>
        <w:keepLines w:val="0"/>
        <w:widowControl/>
        <w:tabs>
          <w:tab w:val="left" w:pos="1276"/>
        </w:tabs>
        <w:rPr>
          <w:rFonts w:hint="eastAsia" w:ascii="宋体" w:hAnsi="宋体" w:eastAsia="宋体"/>
          <w:color w:val="000000"/>
          <w:sz w:val="28"/>
          <w:szCs w:val="28"/>
          <w:highlight w:val="none"/>
        </w:rPr>
      </w:pPr>
      <w:r>
        <w:rPr>
          <w:rFonts w:hint="eastAsia" w:ascii="宋体" w:hAnsi="宋体" w:eastAsia="宋体"/>
          <w:color w:val="000000"/>
          <w:sz w:val="28"/>
          <w:szCs w:val="28"/>
          <w:highlight w:val="none"/>
        </w:rPr>
        <w:t>5.4 生产工艺要求</w:t>
      </w:r>
    </w:p>
    <w:p>
      <w:pPr>
        <w:widowControl/>
        <w:numPr>
          <w:ilvl w:val="0"/>
          <w:numId w:val="9"/>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代工方需</w:t>
      </w:r>
      <w:r>
        <w:rPr>
          <w:rStyle w:val="18"/>
          <w:rFonts w:hint="eastAsia" w:ascii="宋体" w:hAnsi="宋体" w:cs="宋体"/>
          <w:b w:val="0"/>
          <w:color w:val="000000"/>
          <w:szCs w:val="21"/>
          <w:highlight w:val="none"/>
        </w:rPr>
        <w:t>严格按照委托方提供的生产资料、设计图纸、工艺要求组织生产</w:t>
      </w:r>
      <w:r>
        <w:rPr>
          <w:rFonts w:hint="eastAsia" w:ascii="宋体" w:hAnsi="宋体" w:cs="宋体"/>
          <w:color w:val="000000"/>
          <w:szCs w:val="21"/>
          <w:highlight w:val="none"/>
        </w:rPr>
        <w:t>，不得擅自修改加工工艺、装配顺序、原材料规格。</w:t>
      </w:r>
    </w:p>
    <w:p>
      <w:pPr>
        <w:widowControl/>
        <w:numPr>
          <w:ilvl w:val="0"/>
          <w:numId w:val="9"/>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若代工方需根据自身厂房、生产设备、检测设备对生产工艺进行</w:t>
      </w:r>
      <w:r>
        <w:rPr>
          <w:rStyle w:val="18"/>
          <w:rFonts w:hint="eastAsia" w:ascii="宋体" w:hAnsi="宋体" w:cs="宋体"/>
          <w:b w:val="0"/>
          <w:color w:val="000000"/>
          <w:szCs w:val="21"/>
          <w:highlight w:val="none"/>
        </w:rPr>
        <w:t>适当调整</w:t>
      </w:r>
      <w:r>
        <w:rPr>
          <w:rFonts w:hint="eastAsia" w:ascii="宋体" w:hAnsi="宋体" w:cs="宋体"/>
          <w:color w:val="000000"/>
          <w:szCs w:val="21"/>
          <w:highlight w:val="none"/>
        </w:rPr>
        <w:t>，需在</w:t>
      </w:r>
      <w:r>
        <w:rPr>
          <w:rStyle w:val="18"/>
          <w:rFonts w:hint="eastAsia" w:ascii="宋体" w:hAnsi="宋体" w:cs="宋体"/>
          <w:b w:val="0"/>
          <w:color w:val="000000"/>
          <w:szCs w:val="21"/>
          <w:highlight w:val="none"/>
        </w:rPr>
        <w:t>批量生产前以书面形式向委托方提出申请</w:t>
      </w:r>
      <w:r>
        <w:rPr>
          <w:rFonts w:hint="eastAsia" w:ascii="宋体" w:hAnsi="宋体" w:cs="宋体"/>
          <w:color w:val="000000"/>
          <w:szCs w:val="21"/>
          <w:highlight w:val="none"/>
        </w:rPr>
        <w:t>，说明调整内容、调整依据、对产品质量的影响，经委托方</w:t>
      </w:r>
      <w:r>
        <w:rPr>
          <w:rStyle w:val="18"/>
          <w:rFonts w:hint="eastAsia" w:ascii="宋体" w:hAnsi="宋体" w:cs="宋体"/>
          <w:b w:val="0"/>
          <w:color w:val="000000"/>
          <w:szCs w:val="21"/>
          <w:highlight w:val="none"/>
        </w:rPr>
        <w:t>书面协商一致</w:t>
      </w:r>
      <w:r>
        <w:rPr>
          <w:rFonts w:hint="eastAsia" w:ascii="宋体" w:hAnsi="宋体" w:cs="宋体"/>
          <w:color w:val="000000"/>
          <w:szCs w:val="21"/>
          <w:highlight w:val="none"/>
        </w:rPr>
        <w:t>后，方可进行调整，调整后需进行首件试验，试验合格后方可批量生产。</w:t>
      </w:r>
    </w:p>
    <w:p>
      <w:pPr>
        <w:widowControl/>
        <w:numPr>
          <w:ilvl w:val="0"/>
          <w:numId w:val="9"/>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代工方需按委托方要求，无偿配合进行</w:t>
      </w:r>
      <w:r>
        <w:rPr>
          <w:rStyle w:val="18"/>
          <w:rFonts w:hint="eastAsia" w:ascii="宋体" w:hAnsi="宋体" w:cs="宋体"/>
          <w:b w:val="0"/>
          <w:color w:val="000000"/>
          <w:szCs w:val="21"/>
          <w:highlight w:val="none"/>
        </w:rPr>
        <w:t>产成品的首件验收、批次送样抽检</w:t>
      </w:r>
      <w:r>
        <w:rPr>
          <w:rFonts w:hint="eastAsia" w:ascii="宋体" w:hAnsi="宋体" w:cs="宋体"/>
          <w:color w:val="000000"/>
          <w:szCs w:val="21"/>
          <w:highlight w:val="none"/>
        </w:rPr>
        <w:t>；未经委托方书面沟通，不得实施</w:t>
      </w:r>
      <w:r>
        <w:rPr>
          <w:rStyle w:val="18"/>
          <w:rFonts w:hint="eastAsia" w:ascii="宋体" w:hAnsi="宋体" w:cs="宋体"/>
          <w:b w:val="0"/>
          <w:color w:val="000000"/>
          <w:szCs w:val="21"/>
          <w:highlight w:val="none"/>
        </w:rPr>
        <w:t>物料变更、技术方案调整、工艺路线修改</w:t>
      </w:r>
      <w:r>
        <w:rPr>
          <w:rFonts w:hint="eastAsia" w:ascii="宋体" w:hAnsi="宋体" w:cs="宋体"/>
          <w:color w:val="000000"/>
          <w:szCs w:val="21"/>
          <w:highlight w:val="none"/>
        </w:rPr>
        <w:t>等任何改变产品性能指标的工作，一经发现，委托方有权暂停下发生产订单或终止合同，代工方需承担全部损失。</w:t>
      </w:r>
    </w:p>
    <w:p>
      <w:pPr>
        <w:pStyle w:val="6"/>
        <w:keepNext w:val="0"/>
        <w:keepLines w:val="0"/>
        <w:widowControl/>
        <w:tabs>
          <w:tab w:val="left" w:pos="1276"/>
        </w:tabs>
        <w:rPr>
          <w:rFonts w:hint="eastAsia" w:ascii="宋体" w:hAnsi="宋体" w:eastAsia="宋体"/>
          <w:color w:val="000000"/>
          <w:sz w:val="28"/>
          <w:szCs w:val="28"/>
          <w:highlight w:val="none"/>
        </w:rPr>
      </w:pPr>
      <w:r>
        <w:rPr>
          <w:rFonts w:hint="eastAsia" w:ascii="宋体" w:hAnsi="宋体" w:eastAsia="宋体"/>
          <w:color w:val="000000"/>
          <w:sz w:val="28"/>
          <w:szCs w:val="28"/>
          <w:highlight w:val="none"/>
        </w:rPr>
        <w:t>5.5 检测试验要求</w:t>
      </w:r>
    </w:p>
    <w:p>
      <w:pPr>
        <w:widowControl/>
        <w:numPr>
          <w:ilvl w:val="0"/>
          <w:numId w:val="10"/>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代工方需建立</w:t>
      </w:r>
      <w:r>
        <w:rPr>
          <w:rStyle w:val="18"/>
          <w:rFonts w:hint="eastAsia" w:ascii="宋体" w:hAnsi="宋体" w:cs="宋体"/>
          <w:b w:val="0"/>
          <w:color w:val="000000"/>
          <w:szCs w:val="21"/>
          <w:highlight w:val="none"/>
        </w:rPr>
        <w:t>专业的产品检测试验室</w:t>
      </w:r>
      <w:r>
        <w:rPr>
          <w:rFonts w:hint="eastAsia" w:ascii="宋体" w:hAnsi="宋体" w:cs="宋体"/>
          <w:color w:val="000000"/>
          <w:szCs w:val="21"/>
          <w:highlight w:val="none"/>
        </w:rPr>
        <w:t>，配备满足本规范书要求的检测仪器、试验设备，具备产品出厂试验、性能检测的能力；检测仪器、试验设备需定期校准，提供校准证明文件。</w:t>
      </w:r>
    </w:p>
    <w:p>
      <w:pPr>
        <w:widowControl/>
        <w:numPr>
          <w:ilvl w:val="0"/>
          <w:numId w:val="10"/>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代工方需按本规范书要求，对每台/每套产品进行</w:t>
      </w:r>
      <w:r>
        <w:rPr>
          <w:rStyle w:val="18"/>
          <w:rFonts w:hint="eastAsia" w:ascii="宋体" w:hAnsi="宋体" w:cs="宋体"/>
          <w:b w:val="0"/>
          <w:color w:val="000000"/>
          <w:szCs w:val="21"/>
          <w:highlight w:val="none"/>
        </w:rPr>
        <w:t>全项目出厂试验</w:t>
      </w:r>
      <w:r>
        <w:rPr>
          <w:rFonts w:hint="eastAsia" w:ascii="宋体" w:hAnsi="宋体" w:cs="宋体"/>
          <w:color w:val="000000"/>
          <w:szCs w:val="21"/>
          <w:highlight w:val="none"/>
        </w:rPr>
        <w:t>，试验项目包括但不限于结构方式和运动方式检测，所有试验项目合格后方可出厂，并提供</w:t>
      </w:r>
      <w:r>
        <w:rPr>
          <w:rStyle w:val="18"/>
          <w:rFonts w:hint="eastAsia" w:ascii="宋体" w:hAnsi="宋体" w:cs="宋体"/>
          <w:b w:val="0"/>
          <w:color w:val="000000"/>
          <w:szCs w:val="21"/>
          <w:highlight w:val="none"/>
        </w:rPr>
        <w:t>完整的出厂试验报告</w:t>
      </w:r>
      <w:r>
        <w:rPr>
          <w:rFonts w:hint="eastAsia" w:ascii="宋体" w:hAnsi="宋体" w:cs="宋体"/>
          <w:color w:val="000000"/>
          <w:szCs w:val="21"/>
          <w:highlight w:val="none"/>
        </w:rPr>
        <w:t>。</w:t>
      </w:r>
    </w:p>
    <w:p>
      <w:pPr>
        <w:widowControl/>
        <w:numPr>
          <w:ilvl w:val="0"/>
          <w:numId w:val="10"/>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代工方需配合委托方或第三方检测机构进行</w:t>
      </w:r>
      <w:r>
        <w:rPr>
          <w:rStyle w:val="18"/>
          <w:rFonts w:hint="eastAsia" w:ascii="宋体" w:hAnsi="宋体" w:cs="宋体"/>
          <w:b w:val="0"/>
          <w:color w:val="000000"/>
          <w:szCs w:val="21"/>
          <w:highlight w:val="none"/>
        </w:rPr>
        <w:t>型式试验、抽样检测</w:t>
      </w:r>
      <w:r>
        <w:rPr>
          <w:rFonts w:hint="eastAsia" w:ascii="宋体" w:hAnsi="宋体" w:cs="宋体"/>
          <w:color w:val="000000"/>
          <w:szCs w:val="21"/>
          <w:highlight w:val="none"/>
        </w:rPr>
        <w:t>，按要求提供试验样品、试验场地、试验配合人员，确保试验工作顺利进行。</w:t>
      </w:r>
    </w:p>
    <w:p>
      <w:pPr>
        <w:widowControl/>
        <w:numPr>
          <w:ilvl w:val="0"/>
          <w:numId w:val="10"/>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所有试验报告需真实、完整、规范，包含试验项目、试验方法、试验数据、试验结论、试验人员、试验日期等信息，不得伪造、篡改试验数据。</w:t>
      </w:r>
    </w:p>
    <w:p>
      <w:pPr>
        <w:pStyle w:val="6"/>
        <w:keepNext w:val="0"/>
        <w:keepLines w:val="0"/>
        <w:widowControl/>
        <w:tabs>
          <w:tab w:val="left" w:pos="1276"/>
        </w:tabs>
        <w:rPr>
          <w:rFonts w:hint="eastAsia" w:ascii="宋体" w:hAnsi="宋体" w:eastAsia="宋体"/>
          <w:color w:val="000000"/>
          <w:sz w:val="28"/>
          <w:szCs w:val="28"/>
          <w:highlight w:val="none"/>
        </w:rPr>
      </w:pPr>
      <w:r>
        <w:rPr>
          <w:rFonts w:hint="eastAsia" w:ascii="宋体" w:hAnsi="宋体" w:eastAsia="宋体"/>
          <w:color w:val="000000"/>
          <w:sz w:val="28"/>
          <w:szCs w:val="28"/>
          <w:highlight w:val="none"/>
        </w:rPr>
        <w:t>5.6 技术文件要求</w:t>
      </w:r>
    </w:p>
    <w:p>
      <w:pPr>
        <w:spacing w:line="360" w:lineRule="auto"/>
        <w:ind w:firstLine="420" w:firstLineChars="200"/>
        <w:rPr>
          <w:szCs w:val="21"/>
          <w:highlight w:val="none"/>
        </w:rPr>
      </w:pPr>
      <w:r>
        <w:rPr>
          <w:rFonts w:hint="eastAsia"/>
          <w:szCs w:val="21"/>
          <w:highlight w:val="none"/>
        </w:rPr>
        <w:t>1、投标方应严格按照招标方提供的生产资料进行生产，具体生产工艺投标方可根据自身厂房、生产设备、检测设备进行适当调整，但应在批量生产前与招标方进行协商一致后进行。</w:t>
      </w:r>
    </w:p>
    <w:p>
      <w:pPr>
        <w:spacing w:line="360" w:lineRule="auto"/>
        <w:ind w:firstLine="420" w:firstLineChars="200"/>
        <w:rPr>
          <w:szCs w:val="21"/>
          <w:highlight w:val="none"/>
        </w:rPr>
      </w:pPr>
      <w:r>
        <w:rPr>
          <w:rFonts w:hint="eastAsia"/>
          <w:szCs w:val="21"/>
          <w:highlight w:val="none"/>
        </w:rPr>
        <w:t>2、投标方在供货前应向招标方提供一般性资料，如出厂检测报告、装箱清单、易损耗品清单、产品说明书、产品维护手册、产品合格证和主要技术参数等。</w:t>
      </w:r>
    </w:p>
    <w:p>
      <w:pPr>
        <w:pStyle w:val="5"/>
        <w:keepNext w:val="0"/>
        <w:keepLines w:val="0"/>
        <w:tabs>
          <w:tab w:val="left" w:pos="425"/>
        </w:tabs>
        <w:spacing w:before="312"/>
        <w:rPr>
          <w:rFonts w:hint="eastAsia" w:ascii="宋体" w:hAnsi="宋体" w:eastAsia="宋体"/>
          <w:color w:val="000000"/>
          <w:sz w:val="32"/>
          <w:szCs w:val="32"/>
          <w:highlight w:val="none"/>
        </w:rPr>
      </w:pPr>
      <w:r>
        <w:rPr>
          <w:rFonts w:hint="eastAsia" w:ascii="宋体" w:hAnsi="宋体" w:eastAsia="宋体"/>
          <w:color w:val="000000"/>
          <w:sz w:val="32"/>
          <w:szCs w:val="32"/>
          <w:highlight w:val="none"/>
        </w:rPr>
        <w:t>六、生产、包装、运输、贮存</w:t>
      </w:r>
    </w:p>
    <w:p>
      <w:pPr>
        <w:pStyle w:val="6"/>
        <w:keepNext w:val="0"/>
        <w:keepLines w:val="0"/>
        <w:widowControl/>
        <w:tabs>
          <w:tab w:val="left" w:pos="1276"/>
        </w:tabs>
        <w:rPr>
          <w:rFonts w:hint="eastAsia" w:ascii="宋体" w:hAnsi="宋体" w:eastAsia="宋体"/>
          <w:color w:val="000000"/>
          <w:sz w:val="28"/>
          <w:szCs w:val="28"/>
          <w:highlight w:val="none"/>
        </w:rPr>
      </w:pPr>
      <w:r>
        <w:rPr>
          <w:rFonts w:hint="eastAsia" w:ascii="宋体" w:hAnsi="宋体" w:eastAsia="宋体"/>
          <w:color w:val="000000"/>
          <w:sz w:val="28"/>
          <w:szCs w:val="28"/>
          <w:highlight w:val="none"/>
        </w:rPr>
        <w:t>6.1 生产管控</w:t>
      </w:r>
    </w:p>
    <w:p>
      <w:pPr>
        <w:widowControl/>
        <w:numPr>
          <w:ilvl w:val="0"/>
          <w:numId w:val="11"/>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代工方对产品</w:t>
      </w:r>
      <w:r>
        <w:rPr>
          <w:rStyle w:val="18"/>
          <w:rFonts w:hint="eastAsia" w:ascii="宋体" w:hAnsi="宋体" w:cs="宋体"/>
          <w:b w:val="0"/>
          <w:color w:val="000000"/>
          <w:szCs w:val="21"/>
          <w:highlight w:val="none"/>
        </w:rPr>
        <w:t>生产加工质量、出厂测试结果负全部责任</w:t>
      </w:r>
      <w:r>
        <w:rPr>
          <w:rFonts w:hint="eastAsia" w:ascii="宋体" w:hAnsi="宋体" w:cs="宋体"/>
          <w:color w:val="000000"/>
          <w:szCs w:val="21"/>
          <w:highlight w:val="none"/>
        </w:rPr>
        <w:t>；若因生产加工、出厂测试等环节出现产品质量问题，由此造成的所有损失（包括但不限于原材料损失、生产损失、供货延迟损失、委托方客户索赔损失）由代工方完全负责。</w:t>
      </w:r>
    </w:p>
    <w:p>
      <w:pPr>
        <w:widowControl/>
        <w:numPr>
          <w:ilvl w:val="0"/>
          <w:numId w:val="11"/>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代工方最终交付物为采购清单中的</w:t>
      </w:r>
      <w:r>
        <w:rPr>
          <w:rStyle w:val="18"/>
          <w:rFonts w:hint="eastAsia" w:ascii="宋体" w:hAnsi="宋体" w:cs="宋体"/>
          <w:b w:val="0"/>
          <w:color w:val="000000"/>
          <w:szCs w:val="21"/>
          <w:highlight w:val="none"/>
        </w:rPr>
        <w:t>最终产成品</w:t>
      </w:r>
      <w:r>
        <w:rPr>
          <w:rFonts w:hint="eastAsia" w:ascii="宋体" w:hAnsi="宋体" w:cs="宋体"/>
          <w:color w:val="000000"/>
          <w:szCs w:val="21"/>
          <w:highlight w:val="none"/>
        </w:rPr>
        <w:t>，需完成所有加工、装配、检测、试验工作，确保产品符合本规范书及委托方要求，包含但不限于出厂测试、包装防护。</w:t>
      </w:r>
    </w:p>
    <w:p>
      <w:pPr>
        <w:widowControl/>
        <w:numPr>
          <w:ilvl w:val="0"/>
          <w:numId w:val="11"/>
        </w:numPr>
        <w:spacing w:line="360" w:lineRule="auto"/>
        <w:jc w:val="left"/>
        <w:rPr>
          <w:rFonts w:hint="eastAsia" w:ascii="宋体" w:hAnsi="宋体" w:cs="宋体"/>
          <w:color w:val="000000"/>
          <w:szCs w:val="21"/>
          <w:highlight w:val="none"/>
        </w:rPr>
      </w:pPr>
      <w:r>
        <w:rPr>
          <w:rStyle w:val="18"/>
          <w:rFonts w:hint="eastAsia" w:ascii="宋体" w:hAnsi="宋体" w:cs="宋体"/>
          <w:b w:val="0"/>
          <w:color w:val="000000"/>
          <w:szCs w:val="21"/>
          <w:highlight w:val="none"/>
        </w:rPr>
        <w:t>质保期维修服务要求</w:t>
      </w:r>
      <w:r>
        <w:rPr>
          <w:rFonts w:hint="eastAsia" w:ascii="宋体" w:hAnsi="宋体" w:cs="宋体"/>
          <w:color w:val="000000"/>
          <w:szCs w:val="21"/>
          <w:highlight w:val="none"/>
        </w:rPr>
        <w:t>：</w:t>
      </w:r>
    </w:p>
    <w:p>
      <w:pPr>
        <w:widowControl/>
        <w:numPr>
          <w:ilvl w:val="0"/>
          <w:numId w:val="12"/>
        </w:numPr>
        <w:spacing w:line="360" w:lineRule="auto"/>
        <w:jc w:val="left"/>
        <w:rPr>
          <w:rFonts w:hint="eastAsia" w:ascii="宋体" w:hAnsi="宋体" w:cs="宋体"/>
          <w:szCs w:val="21"/>
          <w:highlight w:val="none"/>
        </w:rPr>
      </w:pPr>
      <w:r>
        <w:rPr>
          <w:rFonts w:hint="eastAsia" w:ascii="宋体" w:hAnsi="宋体" w:cs="宋体"/>
          <w:color w:val="000000"/>
          <w:szCs w:val="21"/>
          <w:highlight w:val="none"/>
        </w:rPr>
        <w:t>质保期内，由于</w:t>
      </w:r>
      <w:r>
        <w:rPr>
          <w:rStyle w:val="18"/>
          <w:rFonts w:hint="eastAsia" w:ascii="宋体" w:hAnsi="宋体" w:cs="宋体"/>
          <w:b w:val="0"/>
          <w:color w:val="000000"/>
          <w:szCs w:val="21"/>
          <w:highlight w:val="none"/>
        </w:rPr>
        <w:t>现场非人为破坏、非使用不当</w:t>
      </w:r>
      <w:r>
        <w:rPr>
          <w:rFonts w:hint="eastAsia" w:ascii="宋体" w:hAnsi="宋体" w:cs="宋体"/>
          <w:color w:val="000000"/>
          <w:szCs w:val="21"/>
          <w:highlight w:val="none"/>
        </w:rPr>
        <w:t>造成的产品质量问题，代工方应负责提供</w:t>
      </w:r>
      <w:r>
        <w:rPr>
          <w:rStyle w:val="18"/>
          <w:rFonts w:hint="eastAsia" w:ascii="宋体" w:hAnsi="宋体" w:cs="宋体"/>
          <w:b w:val="0"/>
          <w:szCs w:val="21"/>
          <w:highlight w:val="none"/>
        </w:rPr>
        <w:t>不低于2%的返厂维修服务</w:t>
      </w:r>
      <w:r>
        <w:rPr>
          <w:rFonts w:hint="eastAsia" w:ascii="宋体" w:hAnsi="宋体" w:cs="宋体"/>
          <w:szCs w:val="21"/>
          <w:highlight w:val="none"/>
        </w:rPr>
        <w:t>，不收取任何服务费用；</w:t>
      </w:r>
    </w:p>
    <w:p>
      <w:pPr>
        <w:widowControl/>
        <w:numPr>
          <w:ilvl w:val="0"/>
          <w:numId w:val="12"/>
        </w:numPr>
        <w:spacing w:line="360" w:lineRule="auto"/>
        <w:jc w:val="left"/>
        <w:rPr>
          <w:rFonts w:hint="eastAsia" w:ascii="宋体" w:hAnsi="宋体" w:cs="宋体"/>
          <w:szCs w:val="21"/>
          <w:highlight w:val="none"/>
        </w:rPr>
      </w:pPr>
      <w:r>
        <w:rPr>
          <w:rFonts w:hint="eastAsia" w:ascii="宋体" w:hAnsi="宋体" w:cs="宋体"/>
          <w:szCs w:val="21"/>
          <w:highlight w:val="none"/>
        </w:rPr>
        <w:t>质保期内，由于</w:t>
      </w:r>
      <w:r>
        <w:rPr>
          <w:rStyle w:val="18"/>
          <w:rFonts w:hint="eastAsia" w:ascii="宋体" w:hAnsi="宋体" w:cs="宋体"/>
          <w:b w:val="0"/>
          <w:szCs w:val="21"/>
          <w:highlight w:val="none"/>
        </w:rPr>
        <w:t>生产加工、测试未按委托方要求执行</w:t>
      </w:r>
      <w:r>
        <w:rPr>
          <w:rFonts w:hint="eastAsia" w:ascii="宋体" w:hAnsi="宋体" w:cs="宋体"/>
          <w:szCs w:val="21"/>
          <w:highlight w:val="none"/>
        </w:rPr>
        <w:t>造成的产品质量问题，代工方负责承担</w:t>
      </w:r>
      <w:r>
        <w:rPr>
          <w:rStyle w:val="18"/>
          <w:rFonts w:hint="eastAsia" w:ascii="宋体" w:hAnsi="宋体" w:cs="宋体"/>
          <w:b w:val="0"/>
          <w:szCs w:val="21"/>
          <w:highlight w:val="none"/>
        </w:rPr>
        <w:t>100%返厂维修服务</w:t>
      </w:r>
      <w:r>
        <w:rPr>
          <w:rFonts w:hint="eastAsia" w:ascii="宋体" w:hAnsi="宋体" w:cs="宋体"/>
          <w:szCs w:val="21"/>
          <w:highlight w:val="none"/>
        </w:rPr>
        <w:t>，不收取任何服务费用，并提供全部维修物料。</w:t>
      </w:r>
    </w:p>
    <w:p>
      <w:pPr>
        <w:widowControl/>
        <w:numPr>
          <w:ilvl w:val="0"/>
          <w:numId w:val="11"/>
        </w:numPr>
        <w:spacing w:line="360" w:lineRule="auto"/>
        <w:jc w:val="left"/>
        <w:rPr>
          <w:rFonts w:hint="eastAsia" w:ascii="宋体" w:hAnsi="宋体" w:cs="宋体"/>
          <w:szCs w:val="21"/>
          <w:highlight w:val="none"/>
        </w:rPr>
      </w:pPr>
      <w:r>
        <w:rPr>
          <w:rFonts w:hint="eastAsia" w:ascii="宋体" w:hAnsi="宋体" w:cs="宋体"/>
          <w:szCs w:val="21"/>
          <w:highlight w:val="none"/>
        </w:rPr>
        <w:t>代工方需严格落实本规范书所有生产管控要求，若违反要求且</w:t>
      </w:r>
      <w:r>
        <w:rPr>
          <w:rStyle w:val="18"/>
          <w:rFonts w:hint="eastAsia" w:ascii="宋体" w:hAnsi="宋体" w:cs="宋体"/>
          <w:b w:val="0"/>
          <w:szCs w:val="21"/>
          <w:highlight w:val="none"/>
        </w:rPr>
        <w:t>收到两次整改通知仍不整改</w:t>
      </w:r>
      <w:r>
        <w:rPr>
          <w:rFonts w:hint="eastAsia" w:ascii="宋体" w:hAnsi="宋体" w:cs="宋体"/>
          <w:szCs w:val="21"/>
          <w:highlight w:val="none"/>
        </w:rPr>
        <w:t>的，委托方有权暂停下发生产订单或终止合同，代工方需承担全部违约责任。</w:t>
      </w:r>
    </w:p>
    <w:p>
      <w:pPr>
        <w:widowControl/>
        <w:numPr>
          <w:ilvl w:val="0"/>
          <w:numId w:val="11"/>
        </w:numPr>
        <w:spacing w:line="360" w:lineRule="auto"/>
        <w:jc w:val="left"/>
        <w:rPr>
          <w:rFonts w:hint="eastAsia" w:ascii="宋体" w:hAnsi="宋体" w:cs="宋体"/>
          <w:szCs w:val="21"/>
          <w:highlight w:val="none"/>
        </w:rPr>
      </w:pPr>
      <w:r>
        <w:rPr>
          <w:rFonts w:hint="eastAsia" w:ascii="宋体" w:hAnsi="宋体" w:cs="宋体"/>
          <w:szCs w:val="21"/>
          <w:highlight w:val="none"/>
        </w:rPr>
        <w:t>在设备安装、调试及验收阶段，若委托方对定制生产质量有质疑，代工方需</w:t>
      </w:r>
      <w:r>
        <w:rPr>
          <w:rStyle w:val="18"/>
          <w:rFonts w:hint="eastAsia" w:ascii="宋体" w:hAnsi="宋体" w:cs="宋体"/>
          <w:b w:val="0"/>
          <w:szCs w:val="21"/>
          <w:highlight w:val="none"/>
        </w:rPr>
        <w:t>在48小时内响应</w:t>
      </w:r>
      <w:r>
        <w:rPr>
          <w:rFonts w:hint="eastAsia" w:ascii="宋体" w:hAnsi="宋体" w:cs="宋体"/>
          <w:szCs w:val="21"/>
          <w:highlight w:val="none"/>
        </w:rPr>
        <w:t>，并派遣相关技术人员赴现场参与各项工作；若设备安装、调试后出现因</w:t>
      </w:r>
      <w:r>
        <w:rPr>
          <w:rStyle w:val="18"/>
          <w:rFonts w:hint="eastAsia" w:ascii="宋体" w:hAnsi="宋体" w:cs="宋体"/>
          <w:b w:val="0"/>
          <w:szCs w:val="21"/>
          <w:highlight w:val="none"/>
        </w:rPr>
        <w:t>制造/加工/装配</w:t>
      </w:r>
      <w:r>
        <w:rPr>
          <w:rFonts w:hint="eastAsia" w:ascii="宋体" w:hAnsi="宋体" w:cs="宋体"/>
          <w:szCs w:val="21"/>
          <w:highlight w:val="none"/>
        </w:rPr>
        <w:t>导致的功能缺失、系统无法正常运行、验收不合格，代工方需无条件返工、整改，直至验收合格，相关费用由代工方承担。</w:t>
      </w:r>
    </w:p>
    <w:p>
      <w:pPr>
        <w:pStyle w:val="6"/>
        <w:keepNext w:val="0"/>
        <w:keepLines w:val="0"/>
        <w:widowControl/>
        <w:tabs>
          <w:tab w:val="left" w:pos="1276"/>
        </w:tabs>
        <w:rPr>
          <w:rFonts w:hint="eastAsia" w:ascii="宋体" w:hAnsi="宋体"/>
          <w:color w:val="000000"/>
          <w:sz w:val="28"/>
          <w:szCs w:val="28"/>
          <w:highlight w:val="none"/>
        </w:rPr>
      </w:pPr>
      <w:r>
        <w:rPr>
          <w:rFonts w:hint="eastAsia" w:ascii="宋体" w:hAnsi="宋体"/>
          <w:color w:val="000000"/>
          <w:sz w:val="28"/>
          <w:szCs w:val="28"/>
          <w:highlight w:val="none"/>
        </w:rPr>
        <w:t>6.2 包装</w:t>
      </w:r>
    </w:p>
    <w:p>
      <w:pPr>
        <w:pStyle w:val="7"/>
        <w:widowControl/>
        <w:rPr>
          <w:rFonts w:hint="eastAsia" w:ascii="宋体" w:hAnsi="宋体" w:cs="宋体"/>
          <w:color w:val="000000"/>
          <w:szCs w:val="21"/>
          <w:highlight w:val="none"/>
        </w:rPr>
      </w:pPr>
      <w:r>
        <w:rPr>
          <w:rFonts w:hint="eastAsia" w:ascii="宋体" w:hAnsi="宋体" w:cs="宋体"/>
          <w:color w:val="000000"/>
          <w:szCs w:val="21"/>
          <w:highlight w:val="none"/>
        </w:rPr>
        <w:t>6.2.1产品包装前的检查</w:t>
      </w:r>
    </w:p>
    <w:p>
      <w:pPr>
        <w:widowControl/>
        <w:numPr>
          <w:ilvl w:val="0"/>
          <w:numId w:val="13"/>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产品的装箱清单、易损耗品清单、产品说明书、产品使用手册、产品维护手册、产品合格证等资料齐全</w:t>
      </w:r>
    </w:p>
    <w:p>
      <w:pPr>
        <w:widowControl/>
        <w:numPr>
          <w:ilvl w:val="0"/>
          <w:numId w:val="13"/>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产品外观无损伤、无变形</w:t>
      </w:r>
    </w:p>
    <w:p>
      <w:pPr>
        <w:widowControl/>
        <w:numPr>
          <w:ilvl w:val="0"/>
          <w:numId w:val="13"/>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产品表面无灰尘、无油污</w:t>
      </w:r>
    </w:p>
    <w:p>
      <w:pPr>
        <w:pStyle w:val="7"/>
        <w:widowControl/>
        <w:rPr>
          <w:rFonts w:hint="eastAsia" w:ascii="宋体" w:hAnsi="宋体" w:cs="宋体"/>
          <w:color w:val="000000"/>
          <w:szCs w:val="21"/>
          <w:highlight w:val="none"/>
        </w:rPr>
      </w:pPr>
      <w:r>
        <w:rPr>
          <w:rFonts w:hint="eastAsia" w:ascii="宋体" w:hAnsi="宋体" w:cs="宋体"/>
          <w:color w:val="000000"/>
          <w:szCs w:val="21"/>
          <w:highlight w:val="none"/>
        </w:rPr>
        <w:t>6.2.2 包装的一般要求</w:t>
      </w:r>
    </w:p>
    <w:p>
      <w:pPr>
        <w:pStyle w:val="25"/>
        <w:spacing w:line="360" w:lineRule="auto"/>
        <w:rPr>
          <w:rFonts w:hint="eastAsia" w:ascii="宋体" w:hAnsi="宋体"/>
          <w:kern w:val="2"/>
          <w:szCs w:val="24"/>
          <w:highlight w:val="none"/>
        </w:rPr>
      </w:pPr>
      <w:r>
        <w:rPr>
          <w:rFonts w:hint="eastAsia" w:ascii="宋体" w:hAnsi="宋体"/>
          <w:kern w:val="2"/>
          <w:szCs w:val="24"/>
          <w:highlight w:val="none"/>
        </w:rPr>
        <w:t>产品应有内包装和外包装，包装应有防尘、防雨、防水、防潮、防振等措施。</w:t>
      </w:r>
    </w:p>
    <w:p>
      <w:pPr>
        <w:rPr>
          <w:highlight w:val="none"/>
        </w:rPr>
      </w:pPr>
    </w:p>
    <w:p>
      <w:pPr>
        <w:pStyle w:val="6"/>
        <w:keepNext w:val="0"/>
        <w:keepLines w:val="0"/>
        <w:widowControl/>
        <w:tabs>
          <w:tab w:val="left" w:pos="1276"/>
        </w:tabs>
        <w:rPr>
          <w:rFonts w:hint="eastAsia" w:ascii="宋体" w:hAnsi="宋体" w:eastAsia="宋体"/>
          <w:color w:val="000000"/>
          <w:sz w:val="28"/>
          <w:szCs w:val="28"/>
          <w:highlight w:val="none"/>
        </w:rPr>
      </w:pPr>
      <w:r>
        <w:rPr>
          <w:rFonts w:hint="eastAsia" w:ascii="宋体" w:hAnsi="宋体" w:eastAsia="宋体"/>
          <w:color w:val="000000"/>
          <w:sz w:val="28"/>
          <w:szCs w:val="28"/>
          <w:highlight w:val="none"/>
        </w:rPr>
        <w:t>6.3 运输</w:t>
      </w:r>
    </w:p>
    <w:p>
      <w:pPr>
        <w:widowControl/>
        <w:numPr>
          <w:ilvl w:val="0"/>
          <w:numId w:val="14"/>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代工方负责按委托方要求进行设备包装、运送到委托方指定地点，由此产生的所有费用（包括但不限于包装费、运输费、装卸费、保险费）由代工方承担。代工方需保留发货照片、物流单据及运输路径供招标方不定期查询。</w:t>
      </w:r>
    </w:p>
    <w:p>
      <w:pPr>
        <w:widowControl/>
        <w:numPr>
          <w:ilvl w:val="0"/>
          <w:numId w:val="14"/>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产品应适用于陆运、空运、水（海）运，按运输装卸包装箱上的标准进行操作，在运输中应</w:t>
      </w:r>
      <w:r>
        <w:rPr>
          <w:rStyle w:val="18"/>
          <w:rFonts w:hint="eastAsia" w:ascii="宋体" w:hAnsi="宋体" w:cs="宋体"/>
          <w:b w:val="0"/>
          <w:color w:val="000000"/>
          <w:szCs w:val="21"/>
          <w:highlight w:val="none"/>
        </w:rPr>
        <w:t>直立放置，不许倒置、侧放</w:t>
      </w:r>
      <w:r>
        <w:rPr>
          <w:rFonts w:hint="eastAsia" w:ascii="宋体" w:hAnsi="宋体" w:cs="宋体"/>
          <w:color w:val="000000"/>
          <w:szCs w:val="21"/>
          <w:highlight w:val="none"/>
        </w:rPr>
        <w:t>，并按照委托方要求运送至指定仓库或指定地点（一般指卸货点50米以内的仓库或指定地点，不包含吊装至工程现场等非装卸货以外的其他工作）。</w:t>
      </w:r>
    </w:p>
    <w:p>
      <w:pPr>
        <w:widowControl/>
        <w:numPr>
          <w:ilvl w:val="0"/>
          <w:numId w:val="14"/>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整体运输时产品内部元件应不得移位、损坏和受潮，不得影响安装；单独运输的零部件应有标志，便于安装装配。</w:t>
      </w:r>
    </w:p>
    <w:p>
      <w:pPr>
        <w:widowControl/>
        <w:numPr>
          <w:ilvl w:val="0"/>
          <w:numId w:val="14"/>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凡因运输、装卸不当造成的产品损坏，由代工方负责免费维修、更换，并承担由此造成的供货延迟损失。</w:t>
      </w:r>
    </w:p>
    <w:p>
      <w:pPr>
        <w:pStyle w:val="6"/>
        <w:keepNext w:val="0"/>
        <w:keepLines w:val="0"/>
        <w:widowControl/>
        <w:tabs>
          <w:tab w:val="left" w:pos="1276"/>
        </w:tabs>
        <w:rPr>
          <w:rFonts w:hint="eastAsia" w:ascii="宋体" w:hAnsi="宋体" w:eastAsia="宋体"/>
          <w:color w:val="000000"/>
          <w:sz w:val="28"/>
          <w:szCs w:val="28"/>
          <w:highlight w:val="none"/>
        </w:rPr>
      </w:pPr>
      <w:r>
        <w:rPr>
          <w:rFonts w:hint="eastAsia" w:ascii="宋体" w:hAnsi="宋体" w:eastAsia="宋体"/>
          <w:color w:val="000000"/>
          <w:sz w:val="28"/>
          <w:szCs w:val="28"/>
          <w:highlight w:val="none"/>
        </w:rPr>
        <w:t>6.4 贮存</w:t>
      </w:r>
    </w:p>
    <w:p>
      <w:pPr>
        <w:pStyle w:val="25"/>
        <w:spacing w:line="360" w:lineRule="auto"/>
        <w:ind w:firstLine="420" w:firstLineChars="200"/>
        <w:rPr>
          <w:highlight w:val="none"/>
        </w:rPr>
      </w:pPr>
      <w:r>
        <w:rPr>
          <w:rFonts w:hint="eastAsia" w:ascii="宋体" w:hAnsi="宋体" w:cs="宋体"/>
          <w:color w:val="000000"/>
          <w:highlight w:val="none"/>
        </w:rPr>
        <w:t>代工方</w:t>
      </w:r>
      <w:r>
        <w:rPr>
          <w:rFonts w:hint="eastAsia"/>
          <w:highlight w:val="none"/>
        </w:rPr>
        <w:t>应设立单独仓库区域对招标方的物料和产成品进行分类管控，并按照委托方要求粘贴标签，包装好的装置应存贮在环境温度为</w:t>
      </w:r>
      <w:r>
        <w:rPr>
          <w:highlight w:val="none"/>
        </w:rPr>
        <w:t>–5℃</w:t>
      </w:r>
      <w:r>
        <w:rPr>
          <w:rFonts w:hint="eastAsia"/>
          <w:highlight w:val="none"/>
        </w:rPr>
        <w:t>～</w:t>
      </w:r>
      <w:r>
        <w:rPr>
          <w:highlight w:val="none"/>
        </w:rPr>
        <w:t>+45℃</w:t>
      </w:r>
      <w:r>
        <w:rPr>
          <w:rFonts w:hint="eastAsia"/>
          <w:highlight w:val="none"/>
        </w:rPr>
        <w:t>、相对湿度不大于</w:t>
      </w:r>
      <w:r>
        <w:rPr>
          <w:highlight w:val="none"/>
        </w:rPr>
        <w:t>95%</w:t>
      </w:r>
      <w:r>
        <w:rPr>
          <w:rFonts w:hint="eastAsia"/>
          <w:highlight w:val="none"/>
        </w:rPr>
        <w:t>的库房内，室内无酸、碱、盐及腐蚀性、爆炸性气体，不受灰尘雨雪的侵蚀，代工方应按照招标方要求进行产品包装。</w:t>
      </w:r>
    </w:p>
    <w:p>
      <w:pPr>
        <w:pStyle w:val="6"/>
        <w:keepNext w:val="0"/>
        <w:keepLines w:val="0"/>
        <w:widowControl/>
        <w:tabs>
          <w:tab w:val="left" w:pos="1276"/>
        </w:tabs>
        <w:rPr>
          <w:rFonts w:hint="eastAsia" w:ascii="宋体" w:hAnsi="宋体" w:eastAsia="宋体"/>
          <w:color w:val="000000"/>
          <w:sz w:val="28"/>
          <w:szCs w:val="28"/>
          <w:highlight w:val="none"/>
        </w:rPr>
      </w:pPr>
      <w:r>
        <w:rPr>
          <w:rFonts w:hint="eastAsia" w:ascii="宋体" w:hAnsi="宋体" w:eastAsia="宋体"/>
          <w:color w:val="000000"/>
          <w:sz w:val="28"/>
          <w:szCs w:val="28"/>
          <w:highlight w:val="none"/>
        </w:rPr>
        <w:t>6.5 交货时间和地点</w:t>
      </w:r>
    </w:p>
    <w:p>
      <w:pPr>
        <w:widowControl/>
        <w:numPr>
          <w:ilvl w:val="0"/>
          <w:numId w:val="15"/>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交货时间：签订合同后且收到采购订单之日起，</w:t>
      </w:r>
      <w:r>
        <w:rPr>
          <w:rStyle w:val="18"/>
          <w:rFonts w:hint="eastAsia" w:ascii="宋体" w:hAnsi="宋体" w:cs="宋体"/>
          <w:b w:val="0"/>
          <w:color w:val="000000"/>
          <w:szCs w:val="21"/>
          <w:highlight w:val="none"/>
        </w:rPr>
        <w:t>根据委托方要求</w:t>
      </w:r>
      <w:r>
        <w:rPr>
          <w:rFonts w:hint="eastAsia" w:ascii="宋体" w:hAnsi="宋体" w:cs="宋体"/>
          <w:color w:val="000000"/>
          <w:szCs w:val="21"/>
          <w:highlight w:val="none"/>
        </w:rPr>
        <w:t>满足交货条件，完成全部产品的生产、检测、包装，并送达委托方指定地点。</w:t>
      </w:r>
    </w:p>
    <w:p>
      <w:pPr>
        <w:widowControl/>
        <w:numPr>
          <w:ilvl w:val="0"/>
          <w:numId w:val="15"/>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交货地点：委托方指定地点（具体地址以采购订单为准）。</w:t>
      </w:r>
    </w:p>
    <w:p>
      <w:pPr>
        <w:widowControl/>
        <w:numPr>
          <w:ilvl w:val="0"/>
          <w:numId w:val="15"/>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交货要求：交货时需提供出厂试验报告、装箱清单等资料，委托方现场验收合格后方可签收；验收不合格的，代工方需无条件拉回返工、整改，直至验收合格，相关费用由代工方承担，且交货时间不予顺延。</w:t>
      </w:r>
    </w:p>
    <w:p>
      <w:pPr>
        <w:pStyle w:val="6"/>
        <w:keepNext w:val="0"/>
        <w:keepLines w:val="0"/>
        <w:widowControl/>
        <w:tabs>
          <w:tab w:val="left" w:pos="1276"/>
        </w:tabs>
        <w:rPr>
          <w:rFonts w:hint="eastAsia" w:ascii="宋体" w:hAnsi="宋体" w:eastAsia="宋体"/>
          <w:color w:val="000000"/>
          <w:sz w:val="28"/>
          <w:szCs w:val="28"/>
          <w:highlight w:val="none"/>
        </w:rPr>
      </w:pPr>
      <w:r>
        <w:rPr>
          <w:rFonts w:hint="eastAsia" w:ascii="宋体" w:hAnsi="宋体" w:eastAsia="宋体"/>
          <w:color w:val="000000"/>
          <w:sz w:val="28"/>
          <w:szCs w:val="28"/>
          <w:highlight w:val="none"/>
        </w:rPr>
        <w:t>6.6 售后服务</w:t>
      </w:r>
    </w:p>
    <w:p>
      <w:pPr>
        <w:widowControl/>
        <w:numPr>
          <w:ilvl w:val="0"/>
          <w:numId w:val="16"/>
        </w:numPr>
        <w:spacing w:line="360" w:lineRule="auto"/>
        <w:jc w:val="left"/>
        <w:rPr>
          <w:rFonts w:hint="eastAsia" w:ascii="宋体" w:hAnsi="宋体" w:cs="宋体"/>
          <w:color w:val="000000"/>
          <w:szCs w:val="21"/>
          <w:highlight w:val="none"/>
        </w:rPr>
      </w:pPr>
      <w:r>
        <w:rPr>
          <w:rStyle w:val="18"/>
          <w:rFonts w:hint="eastAsia" w:ascii="宋体" w:hAnsi="宋体" w:cs="宋体"/>
          <w:b w:val="0"/>
          <w:color w:val="000000"/>
          <w:szCs w:val="21"/>
          <w:highlight w:val="none"/>
        </w:rPr>
        <w:t>质保期</w:t>
      </w:r>
      <w:r>
        <w:rPr>
          <w:rFonts w:hint="eastAsia" w:ascii="宋体" w:hAnsi="宋体" w:cs="宋体"/>
          <w:color w:val="000000"/>
          <w:szCs w:val="21"/>
          <w:highlight w:val="none"/>
        </w:rPr>
        <w:t>：提供产品</w:t>
      </w:r>
      <w:r>
        <w:rPr>
          <w:rStyle w:val="18"/>
          <w:rFonts w:hint="eastAsia" w:ascii="宋体" w:hAnsi="宋体" w:cs="宋体"/>
          <w:b w:val="0"/>
          <w:color w:val="000000"/>
          <w:szCs w:val="21"/>
          <w:highlight w:val="none"/>
          <w:lang w:val="en-US" w:eastAsia="zh-CN"/>
        </w:rPr>
        <w:t>5</w:t>
      </w:r>
      <w:r>
        <w:rPr>
          <w:rStyle w:val="18"/>
          <w:rFonts w:hint="eastAsia" w:ascii="宋体" w:hAnsi="宋体" w:cs="宋体"/>
          <w:b w:val="0"/>
          <w:color w:val="000000"/>
          <w:szCs w:val="21"/>
          <w:highlight w:val="none"/>
        </w:rPr>
        <w:t>年免费质保期</w:t>
      </w:r>
      <w:r>
        <w:rPr>
          <w:rFonts w:hint="eastAsia" w:ascii="宋体" w:hAnsi="宋体" w:cs="宋体"/>
          <w:color w:val="000000"/>
          <w:szCs w:val="21"/>
          <w:highlight w:val="none"/>
        </w:rPr>
        <w:t>，质保期从产品</w:t>
      </w:r>
      <w:r>
        <w:rPr>
          <w:rStyle w:val="18"/>
          <w:rFonts w:hint="eastAsia" w:ascii="宋体" w:hAnsi="宋体" w:cs="宋体"/>
          <w:b w:val="0"/>
          <w:color w:val="000000"/>
          <w:szCs w:val="21"/>
          <w:highlight w:val="none"/>
        </w:rPr>
        <w:t>现场验收合格并签字确认之日</w:t>
      </w:r>
      <w:r>
        <w:rPr>
          <w:rFonts w:hint="eastAsia" w:ascii="宋体" w:hAnsi="宋体" w:cs="宋体"/>
          <w:color w:val="000000"/>
          <w:szCs w:val="21"/>
          <w:highlight w:val="none"/>
        </w:rPr>
        <w:t>起计算。</w:t>
      </w:r>
    </w:p>
    <w:p>
      <w:pPr>
        <w:widowControl/>
        <w:numPr>
          <w:ilvl w:val="0"/>
          <w:numId w:val="16"/>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质量保证期内代工方应至少提供以下服务：协助故障处理、备件供应等，期间所产生费用均由代工方负担。</w:t>
      </w:r>
    </w:p>
    <w:p>
      <w:pPr>
        <w:widowControl/>
        <w:numPr>
          <w:ilvl w:val="0"/>
          <w:numId w:val="16"/>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备品备件在质量保证期内应由代工方</w:t>
      </w:r>
      <w:r>
        <w:rPr>
          <w:rStyle w:val="18"/>
          <w:rFonts w:hint="eastAsia" w:ascii="宋体" w:hAnsi="宋体" w:cs="宋体"/>
          <w:b w:val="0"/>
          <w:color w:val="000000"/>
          <w:szCs w:val="21"/>
          <w:highlight w:val="none"/>
        </w:rPr>
        <w:t>免费提供</w:t>
      </w:r>
      <w:r>
        <w:rPr>
          <w:rFonts w:hint="eastAsia" w:ascii="宋体" w:hAnsi="宋体" w:cs="宋体"/>
          <w:color w:val="000000"/>
          <w:szCs w:val="21"/>
          <w:highlight w:val="none"/>
        </w:rPr>
        <w:t>；质量保证期外有偿提供且价格不高于原货物合同中相应货物的价格。备品备件应为与设备所使用一致的产品或经委托方同意的替用品。</w:t>
      </w:r>
    </w:p>
    <w:p>
      <w:pPr>
        <w:widowControl/>
        <w:numPr>
          <w:ilvl w:val="0"/>
          <w:numId w:val="16"/>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所有备品备件应为全新产品，与已经安装设备的相应部件能够互换，具有相同的技术协议和相同的规格、材质、制造工艺，并采取防尘、防潮、防止损坏等措施。</w:t>
      </w:r>
    </w:p>
    <w:p>
      <w:pPr>
        <w:pStyle w:val="5"/>
        <w:keepNext w:val="0"/>
        <w:keepLines w:val="0"/>
        <w:tabs>
          <w:tab w:val="left" w:pos="425"/>
        </w:tabs>
        <w:spacing w:before="312"/>
        <w:rPr>
          <w:rFonts w:hint="eastAsia" w:ascii="宋体" w:hAnsi="宋体" w:eastAsia="宋体"/>
          <w:color w:val="000000"/>
          <w:sz w:val="32"/>
          <w:szCs w:val="32"/>
          <w:highlight w:val="none"/>
        </w:rPr>
      </w:pPr>
      <w:r>
        <w:rPr>
          <w:rFonts w:hint="eastAsia" w:ascii="宋体" w:hAnsi="宋体" w:eastAsia="宋体"/>
          <w:color w:val="000000"/>
          <w:sz w:val="32"/>
          <w:szCs w:val="32"/>
          <w:highlight w:val="none"/>
        </w:rPr>
        <w:t>七、核心技术要求</w:t>
      </w:r>
    </w:p>
    <w:p>
      <w:pPr>
        <w:pStyle w:val="6"/>
        <w:keepNext w:val="0"/>
        <w:keepLines w:val="0"/>
        <w:widowControl/>
        <w:tabs>
          <w:tab w:val="left" w:pos="1276"/>
        </w:tabs>
        <w:rPr>
          <w:rFonts w:hint="eastAsia" w:ascii="宋体" w:hAnsi="宋体" w:eastAsia="宋体"/>
          <w:color w:val="000000"/>
          <w:sz w:val="28"/>
          <w:szCs w:val="28"/>
          <w:highlight w:val="none"/>
        </w:rPr>
      </w:pPr>
      <w:r>
        <w:rPr>
          <w:rFonts w:hint="eastAsia" w:ascii="宋体" w:hAnsi="宋体" w:eastAsia="宋体"/>
          <w:color w:val="000000"/>
          <w:sz w:val="28"/>
          <w:szCs w:val="28"/>
          <w:highlight w:val="none"/>
        </w:rPr>
        <w:t>7.1 产品应用说明</w:t>
      </w:r>
    </w:p>
    <w:p>
      <w:pPr>
        <w:widowControl/>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1.应急侦察与巡察多足机器人可以自主导航、越障避障，可适应室内外复杂地形与恶劣天气，实现全天候无人巡检。搭载可见光、红外热成像、气体环境传感等模块，可对电力、工业等场景设备进行外观检查、温度监测、仪表识别、异常声响检测，及时发现破损、渗漏、过热、放电、异物等隐患。同时支持远程实时查看、数据回传、智能告警与自动生成巡检记录，替代人工完成高危、重复性巡检任务，提升作业安全性与巡检效率。</w:t>
      </w:r>
    </w:p>
    <w:p>
      <w:pPr>
        <w:pStyle w:val="6"/>
        <w:keepNext w:val="0"/>
        <w:keepLines w:val="0"/>
        <w:widowControl/>
        <w:tabs>
          <w:tab w:val="left" w:pos="1276"/>
        </w:tabs>
        <w:rPr>
          <w:rFonts w:hint="eastAsia" w:ascii="宋体" w:hAnsi="宋体" w:eastAsia="宋体"/>
          <w:color w:val="000000"/>
          <w:sz w:val="28"/>
          <w:szCs w:val="28"/>
          <w:highlight w:val="none"/>
        </w:rPr>
      </w:pPr>
      <w:r>
        <w:rPr>
          <w:rFonts w:hint="eastAsia" w:ascii="宋体" w:hAnsi="宋体" w:eastAsia="宋体"/>
          <w:color w:val="000000"/>
          <w:sz w:val="28"/>
          <w:szCs w:val="28"/>
          <w:highlight w:val="none"/>
        </w:rPr>
        <w:t>7.2 各主要部件功能要求</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2346"/>
        <w:gridCol w:w="79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3" w:hRule="atLeast"/>
          <w:tblHeader/>
        </w:trPr>
        <w:tc>
          <w:tcPr>
            <w:tcW w:w="0" w:type="auto"/>
            <w:shd w:val="clear" w:color="auto" w:fill="auto"/>
            <w:tcMar>
              <w:top w:w="96" w:type="dxa"/>
              <w:left w:w="96" w:type="dxa"/>
              <w:bottom w:w="96" w:type="dxa"/>
              <w:right w:w="96" w:type="dxa"/>
            </w:tcMar>
            <w:vAlign w:val="center"/>
          </w:tcPr>
          <w:p>
            <w:pPr>
              <w:widowControl/>
              <w:rPr>
                <w:rFonts w:hint="eastAsia" w:ascii="宋体" w:hAnsi="宋体" w:cs="宋体"/>
                <w:b/>
                <w:bCs/>
                <w:szCs w:val="21"/>
                <w:highlight w:val="none"/>
              </w:rPr>
            </w:pPr>
            <w:r>
              <w:rPr>
                <w:rFonts w:hint="eastAsia" w:ascii="宋体" w:hAnsi="宋体" w:cs="宋体"/>
                <w:b/>
                <w:bCs/>
                <w:szCs w:val="21"/>
                <w:highlight w:val="none"/>
              </w:rPr>
              <w:t>套件</w:t>
            </w:r>
          </w:p>
        </w:tc>
        <w:tc>
          <w:tcPr>
            <w:tcW w:w="0" w:type="auto"/>
            <w:shd w:val="clear" w:color="auto" w:fill="auto"/>
            <w:tcMar>
              <w:top w:w="96" w:type="dxa"/>
              <w:left w:w="96" w:type="dxa"/>
              <w:bottom w:w="96" w:type="dxa"/>
              <w:right w:w="96" w:type="dxa"/>
            </w:tcMar>
            <w:vAlign w:val="center"/>
          </w:tcPr>
          <w:p>
            <w:pPr>
              <w:widowControl/>
              <w:rPr>
                <w:rFonts w:hint="eastAsia" w:ascii="宋体" w:hAnsi="宋体" w:cs="宋体"/>
                <w:b/>
                <w:bCs/>
                <w:szCs w:val="21"/>
                <w:highlight w:val="none"/>
              </w:rPr>
            </w:pPr>
            <w:r>
              <w:rPr>
                <w:rFonts w:hint="eastAsia" w:ascii="宋体" w:hAnsi="宋体" w:cs="宋体"/>
                <w:b/>
                <w:bCs/>
                <w:szCs w:val="21"/>
                <w:highlight w:val="none"/>
              </w:rPr>
              <w:t>部件功能要求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小六足机器人</w:t>
            </w:r>
          </w:p>
          <w:p>
            <w:pPr>
              <w:widowControl/>
              <w:rPr>
                <w:rFonts w:hint="eastAsia" w:ascii="宋体" w:hAnsi="宋体" w:cs="宋体"/>
                <w:szCs w:val="21"/>
                <w:highlight w:val="none"/>
              </w:rPr>
            </w:pPr>
            <w:r>
              <w:rPr>
                <w:rFonts w:hint="eastAsia" w:ascii="宋体" w:hAnsi="宋体" w:cs="宋体"/>
                <w:szCs w:val="21"/>
                <w:highlight w:val="none"/>
              </w:rPr>
              <w:t>框架壳体</w:t>
            </w:r>
          </w:p>
        </w:tc>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1.在复杂地形下具有稳定性与扛冲击性。</w:t>
            </w:r>
          </w:p>
          <w:p>
            <w:pPr>
              <w:widowControl/>
              <w:rPr>
                <w:rFonts w:hint="eastAsia" w:ascii="宋体" w:hAnsi="宋体" w:cs="宋体"/>
                <w:szCs w:val="21"/>
                <w:highlight w:val="none"/>
              </w:rPr>
            </w:pPr>
            <w:r>
              <w:rPr>
                <w:rFonts w:hint="eastAsia" w:ascii="宋体" w:hAnsi="宋体" w:cs="宋体"/>
                <w:szCs w:val="21"/>
                <w:highlight w:val="none"/>
              </w:rPr>
              <w:t>2.整机的防水防尘不低于IP54</w:t>
            </w:r>
          </w:p>
          <w:p>
            <w:pPr>
              <w:widowControl/>
              <w:rPr>
                <w:rFonts w:hint="eastAsia" w:ascii="宋体" w:hAnsi="宋体" w:cs="宋体"/>
                <w:szCs w:val="21"/>
                <w:highlight w:val="none"/>
              </w:rPr>
            </w:pPr>
            <w:r>
              <w:rPr>
                <w:rFonts w:hint="eastAsia" w:ascii="宋体" w:hAnsi="宋体" w:cs="宋体"/>
                <w:szCs w:val="21"/>
                <w:highlight w:val="none"/>
              </w:rPr>
              <w:t>3.适用于应急巡查/巡检的场景下适用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大六足机器人</w:t>
            </w:r>
            <w:bookmarkStart w:id="2" w:name="OLE_LINK5"/>
            <w:r>
              <w:rPr>
                <w:rFonts w:hint="eastAsia" w:ascii="宋体" w:hAnsi="宋体" w:cs="宋体"/>
                <w:szCs w:val="21"/>
                <w:highlight w:val="none"/>
              </w:rPr>
              <w:t>框架壳体</w:t>
            </w:r>
            <w:bookmarkEnd w:id="2"/>
          </w:p>
        </w:tc>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1.在复杂地形下具有稳定性与扛冲击性。</w:t>
            </w:r>
          </w:p>
          <w:p>
            <w:pPr>
              <w:widowControl/>
              <w:rPr>
                <w:rFonts w:hint="eastAsia" w:ascii="宋体" w:hAnsi="宋体" w:cs="宋体"/>
                <w:szCs w:val="21"/>
                <w:highlight w:val="none"/>
              </w:rPr>
            </w:pPr>
            <w:r>
              <w:rPr>
                <w:rFonts w:hint="eastAsia" w:ascii="宋体" w:hAnsi="宋体" w:cs="宋体"/>
                <w:szCs w:val="21"/>
                <w:highlight w:val="none"/>
              </w:rPr>
              <w:t>2.整机的防水防尘不低于IP54</w:t>
            </w:r>
          </w:p>
          <w:p>
            <w:pPr>
              <w:widowControl/>
              <w:rPr>
                <w:rFonts w:hint="eastAsia" w:ascii="宋体" w:hAnsi="宋体" w:cs="宋体"/>
                <w:szCs w:val="21"/>
                <w:highlight w:val="none"/>
              </w:rPr>
            </w:pPr>
            <w:r>
              <w:rPr>
                <w:rFonts w:hint="eastAsia" w:ascii="宋体" w:hAnsi="宋体" w:cs="宋体"/>
                <w:szCs w:val="21"/>
                <w:highlight w:val="none"/>
              </w:rPr>
              <w:t>3.适用于应急巡查/巡检的场景下适用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小四轮足机器人框架壳体</w:t>
            </w:r>
          </w:p>
        </w:tc>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1.在复杂地形下具有稳定性与扛冲击性。</w:t>
            </w:r>
          </w:p>
          <w:p>
            <w:pPr>
              <w:widowControl/>
              <w:rPr>
                <w:rFonts w:hint="eastAsia" w:ascii="宋体" w:hAnsi="宋体" w:cs="宋体"/>
                <w:szCs w:val="21"/>
                <w:highlight w:val="none"/>
              </w:rPr>
            </w:pPr>
            <w:r>
              <w:rPr>
                <w:rFonts w:hint="eastAsia" w:ascii="宋体" w:hAnsi="宋体" w:cs="宋体"/>
                <w:szCs w:val="21"/>
                <w:highlight w:val="none"/>
              </w:rPr>
              <w:t>2.整机的防水防尘不低于IP54</w:t>
            </w:r>
          </w:p>
          <w:p>
            <w:pPr>
              <w:widowControl/>
              <w:rPr>
                <w:rFonts w:hint="eastAsia" w:ascii="宋体" w:hAnsi="宋体" w:cs="宋体"/>
                <w:szCs w:val="21"/>
                <w:highlight w:val="none"/>
              </w:rPr>
            </w:pPr>
            <w:r>
              <w:rPr>
                <w:rFonts w:hint="eastAsia" w:ascii="宋体" w:hAnsi="宋体" w:cs="宋体"/>
                <w:szCs w:val="21"/>
                <w:highlight w:val="none"/>
              </w:rPr>
              <w:t>3.适用于应急巡查/巡检/应急勘察的场景下适用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中型轮足机器人框架壳体</w:t>
            </w:r>
          </w:p>
        </w:tc>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1.能在复杂地形下的稳定性与扛冲击性</w:t>
            </w:r>
          </w:p>
          <w:p>
            <w:pPr>
              <w:widowControl/>
              <w:rPr>
                <w:rFonts w:hint="eastAsia" w:ascii="宋体" w:hAnsi="宋体" w:cs="宋体"/>
                <w:szCs w:val="21"/>
                <w:highlight w:val="none"/>
              </w:rPr>
            </w:pPr>
            <w:r>
              <w:rPr>
                <w:rFonts w:hint="eastAsia" w:ascii="宋体" w:hAnsi="宋体" w:cs="宋体"/>
                <w:szCs w:val="21"/>
                <w:highlight w:val="none"/>
              </w:rPr>
              <w:t>2. 整机的防水防尘不低于IP54</w:t>
            </w:r>
          </w:p>
          <w:p>
            <w:pPr>
              <w:widowControl/>
              <w:rPr>
                <w:rFonts w:hint="eastAsia" w:ascii="宋体" w:hAnsi="宋体" w:cs="宋体"/>
                <w:szCs w:val="21"/>
                <w:highlight w:val="none"/>
              </w:rPr>
            </w:pPr>
            <w:r>
              <w:rPr>
                <w:rFonts w:hint="eastAsia" w:ascii="宋体" w:hAnsi="宋体" w:cs="宋体"/>
                <w:szCs w:val="21"/>
                <w:highlight w:val="none"/>
              </w:rPr>
              <w:t>3. 适用于应急巡查/巡检的场景下适用</w:t>
            </w:r>
          </w:p>
          <w:p>
            <w:pPr>
              <w:widowControl/>
              <w:rPr>
                <w:rFonts w:hint="eastAsia" w:ascii="宋体" w:hAnsi="宋体" w:cs="宋体"/>
                <w:szCs w:val="21"/>
                <w:highlight w:val="none"/>
              </w:rPr>
            </w:pPr>
            <w:r>
              <w:rPr>
                <w:rFonts w:hint="eastAsia" w:ascii="宋体" w:hAnsi="宋体" w:cs="宋体"/>
                <w:szCs w:val="21"/>
                <w:highlight w:val="none"/>
              </w:rPr>
              <w:t>4.具有负载能力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26" w:hRule="atLeast"/>
          <w:tblHeader/>
        </w:trPr>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大型轮足机器人框架壳体</w:t>
            </w:r>
          </w:p>
        </w:tc>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1.能在复杂地形下的稳定性与扛冲击性</w:t>
            </w:r>
          </w:p>
          <w:p>
            <w:pPr>
              <w:widowControl/>
              <w:rPr>
                <w:rFonts w:hint="eastAsia" w:ascii="宋体" w:hAnsi="宋体" w:cs="宋体"/>
                <w:szCs w:val="21"/>
                <w:highlight w:val="none"/>
              </w:rPr>
            </w:pPr>
            <w:r>
              <w:rPr>
                <w:rFonts w:hint="eastAsia" w:ascii="宋体" w:hAnsi="宋体" w:cs="宋体"/>
                <w:szCs w:val="21"/>
                <w:highlight w:val="none"/>
              </w:rPr>
              <w:t>2. 整机的防水防尘不低于IP65</w:t>
            </w:r>
          </w:p>
          <w:p>
            <w:pPr>
              <w:widowControl/>
              <w:rPr>
                <w:rFonts w:hint="eastAsia" w:ascii="宋体" w:hAnsi="宋体" w:cs="宋体"/>
                <w:szCs w:val="21"/>
                <w:highlight w:val="none"/>
              </w:rPr>
            </w:pPr>
            <w:r>
              <w:rPr>
                <w:rFonts w:hint="eastAsia" w:ascii="宋体" w:hAnsi="宋体" w:cs="宋体"/>
                <w:szCs w:val="21"/>
                <w:highlight w:val="none"/>
              </w:rPr>
              <w:t>3. 适用于应急巡查/巡检的场景下适用</w:t>
            </w:r>
          </w:p>
          <w:p>
            <w:pPr>
              <w:widowControl/>
              <w:rPr>
                <w:rFonts w:hint="eastAsia" w:ascii="宋体" w:hAnsi="宋体" w:cs="宋体"/>
                <w:szCs w:val="21"/>
                <w:highlight w:val="none"/>
              </w:rPr>
            </w:pPr>
            <w:r>
              <w:rPr>
                <w:rFonts w:hint="eastAsia" w:ascii="宋体" w:hAnsi="宋体" w:cs="宋体"/>
                <w:szCs w:val="21"/>
                <w:highlight w:val="none"/>
              </w:rPr>
              <w:t>4.具有负载能力。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26" w:hRule="atLeast"/>
          <w:tblHeader/>
        </w:trPr>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运动控制模块</w:t>
            </w:r>
          </w:p>
        </w:tc>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 xml:space="preserve">1.实时控制各关节精准运动 </w:t>
            </w:r>
          </w:p>
          <w:p>
            <w:pPr>
              <w:widowControl/>
              <w:rPr>
                <w:rFonts w:hint="eastAsia" w:ascii="宋体" w:hAnsi="宋体" w:cs="宋体"/>
                <w:szCs w:val="21"/>
                <w:highlight w:val="none"/>
              </w:rPr>
            </w:pPr>
            <w:r>
              <w:rPr>
                <w:rFonts w:hint="eastAsia" w:ascii="宋体" w:hAnsi="宋体" w:cs="宋体"/>
                <w:szCs w:val="21"/>
                <w:highlight w:val="none"/>
              </w:rPr>
              <w:t>2.保障机器人动作稳定、步态协调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26" w:hRule="atLeast"/>
          <w:tblHeader/>
        </w:trPr>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感知模块</w:t>
            </w:r>
          </w:p>
        </w:tc>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 xml:space="preserve">1.处理雷达、视觉等环境感知数据 </w:t>
            </w:r>
          </w:p>
          <w:p>
            <w:pPr>
              <w:widowControl/>
              <w:rPr>
                <w:rFonts w:hint="eastAsia" w:ascii="宋体" w:hAnsi="宋体" w:cs="宋体"/>
                <w:szCs w:val="21"/>
                <w:highlight w:val="none"/>
              </w:rPr>
            </w:pPr>
            <w:r>
              <w:rPr>
                <w:rFonts w:hint="eastAsia" w:ascii="宋体" w:hAnsi="宋体" w:cs="宋体"/>
                <w:szCs w:val="21"/>
                <w:highlight w:val="none"/>
              </w:rPr>
              <w:t xml:space="preserve">2.完成定位、避障与路径规划 </w:t>
            </w:r>
          </w:p>
          <w:p>
            <w:pPr>
              <w:widowControl/>
              <w:rPr>
                <w:rFonts w:hint="eastAsia" w:ascii="宋体" w:hAnsi="宋体" w:cs="宋体"/>
                <w:szCs w:val="21"/>
                <w:highlight w:val="none"/>
              </w:rPr>
            </w:pPr>
            <w:r>
              <w:rPr>
                <w:rFonts w:hint="eastAsia" w:ascii="宋体" w:hAnsi="宋体" w:cs="宋体"/>
                <w:szCs w:val="21"/>
                <w:highlight w:val="none"/>
              </w:rPr>
              <w:t>3.下发运动指令并与运控主机协同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26" w:hRule="atLeast"/>
          <w:tblHeader/>
        </w:trPr>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关节</w:t>
            </w:r>
          </w:p>
        </w:tc>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 xml:space="preserve">1.满足对应扭矩，执行运动指令 </w:t>
            </w:r>
          </w:p>
          <w:p>
            <w:pPr>
              <w:widowControl/>
              <w:rPr>
                <w:rFonts w:hint="eastAsia" w:ascii="宋体" w:hAnsi="宋体" w:cs="宋体"/>
                <w:szCs w:val="21"/>
                <w:highlight w:val="none"/>
              </w:rPr>
            </w:pPr>
            <w:r>
              <w:rPr>
                <w:rFonts w:hint="eastAsia" w:ascii="宋体" w:hAnsi="宋体" w:cs="宋体"/>
                <w:szCs w:val="21"/>
                <w:highlight w:val="none"/>
              </w:rPr>
              <w:t xml:space="preserve">2.高精度定位，响应快速稳定 </w:t>
            </w:r>
          </w:p>
          <w:p>
            <w:pPr>
              <w:widowControl/>
              <w:rPr>
                <w:rFonts w:hint="eastAsia" w:ascii="宋体" w:hAnsi="宋体" w:cs="宋体"/>
                <w:szCs w:val="21"/>
                <w:highlight w:val="none"/>
              </w:rPr>
            </w:pPr>
            <w:r>
              <w:rPr>
                <w:rFonts w:hint="eastAsia" w:ascii="宋体" w:hAnsi="宋体" w:cs="宋体"/>
                <w:szCs w:val="21"/>
                <w:highlight w:val="none"/>
              </w:rPr>
              <w:t>3.实时反馈位置、力矩等运行状态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26" w:hRule="atLeast"/>
          <w:tblHeader/>
        </w:trPr>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激光雷达</w:t>
            </w:r>
          </w:p>
        </w:tc>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 xml:space="preserve">1.具备稳定测距与环境感知功能，满足机器人避障与导航需求。 </w:t>
            </w:r>
          </w:p>
          <w:p>
            <w:pPr>
              <w:widowControl/>
              <w:rPr>
                <w:rFonts w:hint="eastAsia" w:ascii="宋体" w:hAnsi="宋体" w:cs="宋体"/>
                <w:szCs w:val="21"/>
                <w:highlight w:val="none"/>
              </w:rPr>
            </w:pPr>
            <w:r>
              <w:rPr>
                <w:rFonts w:hint="eastAsia" w:ascii="宋体" w:hAnsi="宋体" w:cs="宋体"/>
                <w:szCs w:val="21"/>
                <w:highlight w:val="none"/>
              </w:rPr>
              <w:t xml:space="preserve">2.扫描角度与频率适配整机运行，抗环境干扰能力强，在常规光照下可稳定工作。 </w:t>
            </w:r>
          </w:p>
          <w:p>
            <w:pPr>
              <w:widowControl/>
              <w:rPr>
                <w:rFonts w:hint="eastAsia" w:ascii="宋体" w:hAnsi="宋体" w:cs="宋体"/>
                <w:szCs w:val="21"/>
                <w:highlight w:val="none"/>
              </w:rPr>
            </w:pPr>
            <w:r>
              <w:rPr>
                <w:rFonts w:hint="eastAsia" w:ascii="宋体" w:hAnsi="宋体" w:cs="宋体"/>
                <w:szCs w:val="21"/>
                <w:highlight w:val="none"/>
              </w:rPr>
              <w:t>3.接口标准化，安装结构匹配机器人本体，便于集成装配，运行可靠无频繁故障。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26" w:hRule="atLeast"/>
          <w:tblHeader/>
        </w:trPr>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color w:val="000000" w:themeColor="text1"/>
                <w:szCs w:val="21"/>
                <w:highlight w:val="none"/>
                <w14:textFill>
                  <w14:solidFill>
                    <w14:schemeClr w14:val="tx1"/>
                  </w14:solidFill>
                </w14:textFill>
              </w:rPr>
              <w:t>电池</w:t>
            </w:r>
          </w:p>
        </w:tc>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1.提供稳定持续供电，电压与容量匹配整机功耗，保证机器人足够续航时长。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0" w:type="auto"/>
            <w:shd w:val="clear" w:color="auto" w:fill="auto"/>
            <w:tcMar>
              <w:top w:w="96" w:type="dxa"/>
              <w:left w:w="96" w:type="dxa"/>
              <w:bottom w:w="96" w:type="dxa"/>
              <w:right w:w="96" w:type="dxa"/>
            </w:tcMar>
            <w:vAlign w:val="center"/>
          </w:tcPr>
          <w:p>
            <w:pPr>
              <w:widowControl/>
              <w:rPr>
                <w:rFonts w:hint="eastAsia" w:ascii="宋体" w:hAnsi="宋体" w:cs="宋体"/>
                <w:b/>
                <w:bCs/>
                <w:szCs w:val="21"/>
                <w:highlight w:val="none"/>
              </w:rPr>
            </w:pPr>
            <w:r>
              <w:rPr>
                <w:rFonts w:hint="eastAsia" w:ascii="宋体" w:hAnsi="宋体" w:cs="宋体"/>
                <w:szCs w:val="21"/>
                <w:highlight w:val="none"/>
              </w:rPr>
              <w:t>双光相机</w:t>
            </w:r>
          </w:p>
        </w:tc>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1.接口与协议完全适配机器狗平台，可实时传输高清视频/图片。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轻量化双光相机</w:t>
            </w:r>
          </w:p>
        </w:tc>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1.重量轻，接口与协议完全适配机器狗平台，可实时传输视频/图片。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ULP相机</w:t>
            </w:r>
          </w:p>
        </w:tc>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1.支持蓝牙或者WIFI通讯，支持无部署电和网络，设备满电后在不充电条件下可以拍摄，支持充电或者换电池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应急设备（四合一喊话器） </w:t>
            </w:r>
          </w:p>
        </w:tc>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1.</w:t>
            </w:r>
            <w:r>
              <w:rPr>
                <w:rFonts w:hint="eastAsia"/>
                <w:highlight w:val="none"/>
              </w:rPr>
              <w:t>可以进行</w:t>
            </w:r>
            <w:r>
              <w:rPr>
                <w:highlight w:val="none"/>
              </w:rPr>
              <w:t>远程喊话、探照灯、红蓝警示灯、双向收音功能于一体的多功能负载设备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巡视一体机</w:t>
            </w:r>
          </w:p>
        </w:tc>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1. 全新稳定</w:t>
            </w:r>
          </w:p>
          <w:p>
            <w:pPr>
              <w:widowControl/>
              <w:rPr>
                <w:rFonts w:hint="eastAsia" w:ascii="宋体" w:hAnsi="宋体" w:cs="宋体"/>
                <w:szCs w:val="21"/>
                <w:highlight w:val="none"/>
              </w:rPr>
            </w:pPr>
            <w:r>
              <w:rPr>
                <w:rFonts w:hint="eastAsia" w:ascii="宋体" w:hAnsi="宋体" w:cs="宋体"/>
                <w:szCs w:val="21"/>
                <w:highlight w:val="none"/>
              </w:rPr>
              <w:t>2.具有任务管理、巡视监控、告警确认、巡视结果归档、巡视报告、用户设置、实时监控、台账管理、系统自检等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远程遥控一体机</w:t>
            </w:r>
          </w:p>
        </w:tc>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1.可以对机器狗进行远程控制 </w:t>
            </w:r>
          </w:p>
          <w:p>
            <w:pPr>
              <w:widowControl/>
              <w:rPr>
                <w:rFonts w:hint="eastAsia" w:ascii="宋体" w:hAnsi="宋体" w:cs="宋体"/>
                <w:szCs w:val="21"/>
                <w:highlight w:val="none"/>
              </w:rPr>
            </w:pPr>
            <w:r>
              <w:rPr>
                <w:rFonts w:hint="eastAsia" w:ascii="宋体" w:hAnsi="宋体" w:cs="宋体"/>
                <w:szCs w:val="21"/>
                <w:highlight w:val="none"/>
              </w:rPr>
              <w:t>2.可以对上装云台进行远程控制 </w:t>
            </w:r>
          </w:p>
          <w:p>
            <w:pPr>
              <w:widowControl/>
              <w:rPr>
                <w:rFonts w:hint="eastAsia" w:ascii="宋体" w:hAnsi="宋体" w:cs="宋体"/>
                <w:szCs w:val="21"/>
                <w:highlight w:val="none"/>
              </w:rPr>
            </w:pPr>
            <w:r>
              <w:rPr>
                <w:rFonts w:hint="eastAsia" w:ascii="宋体" w:hAnsi="宋体" w:cs="宋体"/>
                <w:szCs w:val="21"/>
                <w:highlight w:val="none"/>
              </w:rPr>
              <w:t>3.可以针对视频数据进行实时回传显示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巡检点位识别模块</w:t>
            </w:r>
          </w:p>
        </w:tc>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1.可提供机器狗巡检点位识别模块数据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赋能模块</w:t>
            </w:r>
          </w:p>
        </w:tc>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1.可对机器狗的</w:t>
            </w:r>
            <w:r>
              <w:rPr>
                <w:rFonts w:hint="eastAsia" w:ascii="宋体" w:hAnsi="宋体" w:cs="宋体"/>
                <w:szCs w:val="21"/>
                <w:highlight w:val="none"/>
                <w:lang w:val="en-US" w:eastAsia="zh-CN"/>
              </w:rPr>
              <w:t>自主巡逻</w:t>
            </w:r>
            <w:r>
              <w:rPr>
                <w:rFonts w:hint="eastAsia" w:ascii="宋体" w:hAnsi="宋体" w:cs="宋体"/>
                <w:szCs w:val="21"/>
                <w:highlight w:val="none"/>
              </w:rPr>
              <w:t>识别模块数据进行赋能训练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充电桩</w:t>
            </w:r>
          </w:p>
        </w:tc>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1.保障机器狗充电安全与补给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算力板模块</w:t>
            </w:r>
          </w:p>
        </w:tc>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1.可以语音交互</w:t>
            </w:r>
          </w:p>
          <w:p>
            <w:pPr>
              <w:widowControl/>
              <w:rPr>
                <w:rFonts w:hint="eastAsia" w:ascii="宋体" w:hAnsi="宋体" w:cs="宋体"/>
                <w:szCs w:val="21"/>
                <w:highlight w:val="none"/>
              </w:rPr>
            </w:pPr>
            <w:r>
              <w:rPr>
                <w:rFonts w:hint="eastAsia" w:ascii="宋体" w:hAnsi="宋体" w:cs="宋体"/>
                <w:szCs w:val="21"/>
                <w:highlight w:val="none"/>
              </w:rPr>
              <w:t>2.支持二次开发</w:t>
            </w:r>
          </w:p>
        </w:tc>
      </w:tr>
    </w:tbl>
    <w:p>
      <w:pPr>
        <w:rPr>
          <w:highlight w:val="none"/>
        </w:rPr>
      </w:pPr>
    </w:p>
    <w:p>
      <w:pPr>
        <w:pStyle w:val="6"/>
        <w:keepNext w:val="0"/>
        <w:keepLines w:val="0"/>
        <w:widowControl/>
        <w:tabs>
          <w:tab w:val="left" w:pos="1276"/>
        </w:tabs>
        <w:rPr>
          <w:rFonts w:hint="eastAsia" w:ascii="宋体" w:hAnsi="宋体" w:eastAsia="宋体"/>
          <w:color w:val="000000"/>
          <w:sz w:val="28"/>
          <w:szCs w:val="28"/>
          <w:highlight w:val="none"/>
        </w:rPr>
      </w:pPr>
      <w:r>
        <w:rPr>
          <w:rFonts w:hint="eastAsia" w:ascii="宋体" w:hAnsi="宋体" w:eastAsia="宋体"/>
          <w:color w:val="000000"/>
          <w:sz w:val="28"/>
          <w:szCs w:val="28"/>
          <w:highlight w:val="none"/>
        </w:rPr>
        <w:t>7.3 关键技术参数</w:t>
      </w:r>
    </w:p>
    <w:p>
      <w:pPr>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rPr>
        <w:t>1、代工方提供的关键技术参数必须完全适配委托方指定的要求，投标方需提供第三方检测报告</w:t>
      </w:r>
      <w:r>
        <w:rPr>
          <w:rFonts w:hint="eastAsia" w:ascii="宋体" w:hAnsi="宋体" w:cs="宋体"/>
          <w:szCs w:val="21"/>
          <w:highlight w:val="none"/>
          <w:lang w:val="en-US" w:eastAsia="zh-CN"/>
        </w:rPr>
        <w:t>证明该项技术参数</w:t>
      </w:r>
      <w:r>
        <w:rPr>
          <w:rFonts w:hint="eastAsia" w:ascii="宋体" w:hAnsi="宋体" w:cs="宋体"/>
          <w:szCs w:val="21"/>
          <w:highlight w:val="none"/>
        </w:rPr>
        <w:t>，</w:t>
      </w:r>
      <w:r>
        <w:rPr>
          <w:rFonts w:hint="eastAsia" w:ascii="宋体" w:hAnsi="宋体" w:cs="宋体"/>
          <w:szCs w:val="21"/>
          <w:highlight w:val="none"/>
          <w:lang w:val="en-US" w:eastAsia="zh-CN"/>
        </w:rPr>
        <w:t>才视为</w:t>
      </w:r>
      <w:r>
        <w:rPr>
          <w:rFonts w:hint="eastAsia" w:ascii="宋体" w:hAnsi="宋体" w:cs="宋体"/>
          <w:szCs w:val="21"/>
          <w:highlight w:val="none"/>
        </w:rPr>
        <w:t>满足该类条款要求</w:t>
      </w:r>
      <w:r>
        <w:rPr>
          <w:rFonts w:hint="eastAsia" w:ascii="宋体" w:hAnsi="宋体" w:cs="宋体"/>
          <w:szCs w:val="21"/>
          <w:highlight w:val="none"/>
          <w:lang w:eastAsia="zh-CN"/>
        </w:rPr>
        <w:t>，</w:t>
      </w:r>
      <w:r>
        <w:rPr>
          <w:rFonts w:hint="eastAsia" w:ascii="宋体" w:hAnsi="宋体" w:cs="宋体"/>
          <w:szCs w:val="21"/>
          <w:highlight w:val="none"/>
          <w:lang w:val="en-US" w:eastAsia="zh-CN"/>
        </w:rPr>
        <w:t>根据投标人提供的材料，进</w:t>
      </w:r>
      <w:bookmarkStart w:id="9" w:name="_GoBack"/>
      <w:bookmarkEnd w:id="9"/>
      <w:r>
        <w:rPr>
          <w:rFonts w:hint="eastAsia" w:ascii="宋体" w:hAnsi="宋体" w:cs="宋体"/>
          <w:szCs w:val="21"/>
          <w:highlight w:val="none"/>
          <w:lang w:val="en-US" w:eastAsia="zh-CN"/>
        </w:rPr>
        <w:t>行横向比较评审</w:t>
      </w:r>
      <w:r>
        <w:rPr>
          <w:rFonts w:hint="eastAsia" w:ascii="宋体" w:hAnsi="宋体" w:cs="宋体"/>
          <w:szCs w:val="21"/>
          <w:highlight w:val="none"/>
        </w:rPr>
        <w:t>：</w:t>
      </w:r>
    </w:p>
    <w:tbl>
      <w:tblPr>
        <w:tblStyle w:val="1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2274"/>
        <w:gridCol w:w="79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3" w:hRule="atLeast"/>
          <w:tblHeader/>
        </w:trPr>
        <w:tc>
          <w:tcPr>
            <w:tcW w:w="1107" w:type="pct"/>
            <w:shd w:val="clear" w:color="auto" w:fill="auto"/>
            <w:tcMar>
              <w:top w:w="96" w:type="dxa"/>
              <w:left w:w="96" w:type="dxa"/>
              <w:bottom w:w="96" w:type="dxa"/>
              <w:right w:w="96" w:type="dxa"/>
            </w:tcMar>
            <w:vAlign w:val="center"/>
          </w:tcPr>
          <w:p>
            <w:pPr>
              <w:widowControl/>
              <w:rPr>
                <w:rFonts w:hint="eastAsia" w:ascii="宋体" w:hAnsi="宋体" w:cs="宋体"/>
                <w:b/>
                <w:bCs/>
                <w:color w:val="auto"/>
                <w:szCs w:val="21"/>
                <w:highlight w:val="none"/>
              </w:rPr>
            </w:pPr>
            <w:r>
              <w:rPr>
                <w:rFonts w:hint="eastAsia" w:ascii="宋体" w:hAnsi="宋体" w:cs="宋体"/>
                <w:b/>
                <w:bCs/>
                <w:color w:val="auto"/>
                <w:szCs w:val="21"/>
                <w:highlight w:val="none"/>
              </w:rPr>
              <w:t>套件</w:t>
            </w:r>
          </w:p>
        </w:tc>
        <w:tc>
          <w:tcPr>
            <w:tcW w:w="3892" w:type="pct"/>
            <w:shd w:val="clear" w:color="auto" w:fill="auto"/>
            <w:tcMar>
              <w:top w:w="96" w:type="dxa"/>
              <w:left w:w="96" w:type="dxa"/>
              <w:bottom w:w="96" w:type="dxa"/>
              <w:right w:w="96" w:type="dxa"/>
            </w:tcMar>
            <w:vAlign w:val="center"/>
          </w:tcPr>
          <w:p>
            <w:pPr>
              <w:widowControl/>
              <w:rPr>
                <w:rFonts w:hint="eastAsia" w:ascii="宋体" w:hAnsi="宋体" w:cs="宋体"/>
                <w:b/>
                <w:bCs/>
                <w:color w:val="auto"/>
                <w:szCs w:val="21"/>
                <w:highlight w:val="none"/>
              </w:rPr>
            </w:pPr>
            <w:r>
              <w:rPr>
                <w:rFonts w:hint="eastAsia" w:ascii="宋体" w:hAnsi="宋体" w:cs="宋体"/>
                <w:b/>
                <w:bCs/>
                <w:color w:val="auto"/>
                <w:kern w:val="0"/>
                <w:szCs w:val="21"/>
                <w:highlight w:val="none"/>
                <w:lang w:bidi="ar"/>
              </w:rPr>
              <w:t>关键参数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1107" w:type="pct"/>
            <w:shd w:val="clear" w:color="auto" w:fill="auto"/>
            <w:tcMar>
              <w:top w:w="96" w:type="dxa"/>
              <w:left w:w="96" w:type="dxa"/>
              <w:bottom w:w="96" w:type="dxa"/>
              <w:right w:w="96" w:type="dxa"/>
            </w:tcMar>
            <w:vAlign w:val="center"/>
          </w:tcPr>
          <w:p>
            <w:pPr>
              <w:widowControl/>
              <w:rPr>
                <w:rFonts w:hint="eastAsia" w:ascii="宋体" w:hAnsi="宋体" w:cs="宋体"/>
                <w:color w:val="auto"/>
                <w:szCs w:val="21"/>
                <w:highlight w:val="none"/>
              </w:rPr>
            </w:pPr>
            <w:r>
              <w:rPr>
                <w:rFonts w:hint="eastAsia" w:ascii="宋体" w:hAnsi="宋体" w:cs="宋体"/>
                <w:color w:val="auto"/>
                <w:szCs w:val="21"/>
                <w:highlight w:val="none"/>
              </w:rPr>
              <w:t>小六足机器人</w:t>
            </w:r>
          </w:p>
          <w:p>
            <w:pPr>
              <w:widowControl/>
              <w:rPr>
                <w:rFonts w:hint="eastAsia" w:ascii="宋体" w:hAnsi="宋体" w:cs="宋体"/>
                <w:b/>
                <w:bCs/>
                <w:color w:val="auto"/>
                <w:szCs w:val="21"/>
                <w:highlight w:val="none"/>
              </w:rPr>
            </w:pPr>
            <w:r>
              <w:rPr>
                <w:rFonts w:hint="eastAsia" w:ascii="宋体" w:hAnsi="宋体" w:cs="宋体"/>
                <w:color w:val="auto"/>
                <w:szCs w:val="21"/>
                <w:highlight w:val="none"/>
              </w:rPr>
              <w:t>框架壳体</w:t>
            </w:r>
          </w:p>
        </w:tc>
        <w:tc>
          <w:tcPr>
            <w:tcW w:w="3892" w:type="pct"/>
            <w:shd w:val="clear" w:color="auto" w:fill="auto"/>
            <w:tcMar>
              <w:top w:w="96" w:type="dxa"/>
              <w:left w:w="96" w:type="dxa"/>
              <w:bottom w:w="96" w:type="dxa"/>
              <w:right w:w="96" w:type="dxa"/>
            </w:tcMar>
            <w:vAlign w:val="center"/>
          </w:tcPr>
          <w:p>
            <w:pPr>
              <w:pStyle w:val="2"/>
              <w:ind w:firstLine="0" w:firstLineChars="0"/>
              <w:rPr>
                <w:rFonts w:hint="eastAsia" w:ascii="宋体" w:hAnsi="宋体" w:cs="宋体"/>
                <w:color w:val="auto"/>
                <w:sz w:val="21"/>
                <w:szCs w:val="21"/>
                <w:highlight w:val="none"/>
              </w:rPr>
            </w:pPr>
            <w:r>
              <w:rPr>
                <w:rFonts w:hint="eastAsia" w:ascii="宋体" w:hAnsi="宋体" w:cs="宋体"/>
                <w:color w:val="auto"/>
                <w:sz w:val="21"/>
                <w:szCs w:val="21"/>
                <w:highlight w:val="none"/>
              </w:rPr>
              <w:t>1.站立尺寸：≤</w:t>
            </w:r>
            <w:r>
              <w:rPr>
                <w:color w:val="auto"/>
                <w:sz w:val="20"/>
                <w:szCs w:val="20"/>
                <w:highlight w:val="none"/>
              </w:rPr>
              <w:t>9</w:t>
            </w:r>
            <w:r>
              <w:rPr>
                <w:rFonts w:hint="eastAsia"/>
                <w:color w:val="auto"/>
                <w:sz w:val="20"/>
                <w:szCs w:val="20"/>
                <w:highlight w:val="none"/>
              </w:rPr>
              <w:t>90×</w:t>
            </w:r>
            <w:r>
              <w:rPr>
                <w:color w:val="auto"/>
                <w:sz w:val="20"/>
                <w:szCs w:val="20"/>
                <w:highlight w:val="none"/>
              </w:rPr>
              <w:t>5</w:t>
            </w:r>
            <w:r>
              <w:rPr>
                <w:rFonts w:hint="eastAsia"/>
                <w:color w:val="auto"/>
                <w:sz w:val="20"/>
                <w:szCs w:val="20"/>
                <w:highlight w:val="none"/>
              </w:rPr>
              <w:t>9</w:t>
            </w:r>
            <w:r>
              <w:rPr>
                <w:color w:val="auto"/>
                <w:sz w:val="20"/>
                <w:szCs w:val="20"/>
                <w:highlight w:val="none"/>
              </w:rPr>
              <w:t xml:space="preserve">0 </w:t>
            </w:r>
            <w:r>
              <w:rPr>
                <w:rFonts w:hint="eastAsia"/>
                <w:color w:val="auto"/>
                <w:sz w:val="20"/>
                <w:szCs w:val="20"/>
                <w:highlight w:val="none"/>
              </w:rPr>
              <w:t>×495mm</w:t>
            </w:r>
          </w:p>
          <w:p>
            <w:pPr>
              <w:pStyle w:val="2"/>
              <w:ind w:firstLine="0" w:firstLineChars="0"/>
              <w:rPr>
                <w:rFonts w:hint="eastAsia" w:ascii="宋体" w:hAnsi="宋体" w:cs="宋体"/>
                <w:color w:val="auto"/>
                <w:sz w:val="21"/>
                <w:szCs w:val="21"/>
                <w:highlight w:val="none"/>
              </w:rPr>
            </w:pPr>
            <w:r>
              <w:rPr>
                <w:rFonts w:hint="eastAsia" w:ascii="宋体" w:hAnsi="宋体" w:cs="宋体"/>
                <w:color w:val="auto"/>
                <w:sz w:val="21"/>
                <w:szCs w:val="21"/>
                <w:highlight w:val="none"/>
              </w:rPr>
              <w:t>2.外接接口：48V*1，12V*3，USB2.0*1，Ethernet*4</w:t>
            </w:r>
          </w:p>
          <w:p>
            <w:pPr>
              <w:pStyle w:val="2"/>
              <w:ind w:firstLine="0" w:firstLineChars="0"/>
              <w:rPr>
                <w:rFonts w:hint="eastAsia" w:ascii="宋体" w:hAnsi="宋体" w:cs="宋体"/>
                <w:color w:val="auto"/>
                <w:sz w:val="21"/>
                <w:szCs w:val="21"/>
                <w:highlight w:val="none"/>
              </w:rPr>
            </w:pPr>
            <w:r>
              <w:rPr>
                <w:rFonts w:hint="eastAsia" w:ascii="宋体" w:hAnsi="宋体" w:cs="宋体"/>
                <w:color w:val="auto"/>
                <w:sz w:val="21"/>
                <w:szCs w:val="21"/>
                <w:highlight w:val="none"/>
              </w:rPr>
              <w:t>3.最大攀爬角度: ≥45°</w:t>
            </w:r>
          </w:p>
          <w:p>
            <w:pPr>
              <w:pStyle w:val="2"/>
              <w:ind w:firstLine="0" w:firstLineChars="0"/>
              <w:rPr>
                <w:rFonts w:hint="eastAsia" w:ascii="宋体" w:hAnsi="宋体" w:cs="宋体"/>
                <w:color w:val="auto"/>
                <w:sz w:val="21"/>
                <w:szCs w:val="21"/>
                <w:highlight w:val="none"/>
              </w:rPr>
            </w:pPr>
            <w:r>
              <w:rPr>
                <w:rFonts w:hint="eastAsia" w:ascii="宋体" w:hAnsi="宋体" w:cs="宋体"/>
                <w:color w:val="auto"/>
                <w:sz w:val="21"/>
                <w:szCs w:val="21"/>
                <w:highlight w:val="none"/>
              </w:rPr>
              <w:t>4.连续楼梯高度：≥20cm</w:t>
            </w:r>
          </w:p>
          <w:p>
            <w:pPr>
              <w:pStyle w:val="2"/>
              <w:ind w:firstLine="0" w:firstLineChars="0"/>
              <w:rPr>
                <w:rFonts w:hint="eastAsia" w:ascii="宋体" w:hAnsi="宋体" w:cs="宋体"/>
                <w:color w:val="auto"/>
                <w:sz w:val="21"/>
                <w:szCs w:val="21"/>
                <w:highlight w:val="none"/>
              </w:rPr>
            </w:pPr>
            <w:r>
              <w:rPr>
                <w:rFonts w:hint="eastAsia" w:ascii="宋体" w:hAnsi="宋体" w:cs="宋体"/>
                <w:color w:val="auto"/>
                <w:sz w:val="21"/>
                <w:szCs w:val="21"/>
                <w:highlight w:val="none"/>
              </w:rPr>
              <w:t>5.行走负载：≥20kg</w:t>
            </w:r>
          </w:p>
          <w:p>
            <w:pPr>
              <w:pStyle w:val="2"/>
              <w:ind w:firstLine="0" w:firstLineChars="0"/>
              <w:rPr>
                <w:rFonts w:hint="eastAsia" w:ascii="宋体" w:hAnsi="宋体" w:cs="宋体"/>
                <w:color w:val="auto"/>
                <w:sz w:val="21"/>
                <w:szCs w:val="21"/>
                <w:highlight w:val="none"/>
              </w:rPr>
            </w:pPr>
            <w:r>
              <w:rPr>
                <w:rFonts w:hint="eastAsia" w:ascii="宋体" w:hAnsi="宋体" w:cs="宋体"/>
                <w:color w:val="auto"/>
                <w:sz w:val="21"/>
                <w:szCs w:val="21"/>
                <w:highlight w:val="none"/>
              </w:rPr>
              <w:t>6.站立负载：≥30kg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1107" w:type="pct"/>
            <w:shd w:val="clear" w:color="auto" w:fill="auto"/>
            <w:tcMar>
              <w:top w:w="96" w:type="dxa"/>
              <w:left w:w="96" w:type="dxa"/>
              <w:bottom w:w="96" w:type="dxa"/>
              <w:right w:w="96" w:type="dxa"/>
            </w:tcMar>
            <w:vAlign w:val="center"/>
          </w:tcPr>
          <w:p>
            <w:pPr>
              <w:widowControl/>
              <w:rPr>
                <w:rFonts w:hint="eastAsia" w:ascii="宋体" w:hAnsi="宋体" w:cs="宋体"/>
                <w:color w:val="auto"/>
                <w:szCs w:val="21"/>
                <w:highlight w:val="none"/>
              </w:rPr>
            </w:pPr>
            <w:r>
              <w:rPr>
                <w:rFonts w:hint="eastAsia" w:ascii="宋体" w:hAnsi="宋体" w:cs="宋体"/>
                <w:color w:val="auto"/>
                <w:szCs w:val="21"/>
                <w:highlight w:val="none"/>
              </w:rPr>
              <w:t>大六足机器人框架壳体</w:t>
            </w:r>
          </w:p>
        </w:tc>
        <w:tc>
          <w:tcPr>
            <w:tcW w:w="3892" w:type="pct"/>
            <w:shd w:val="clear" w:color="auto" w:fill="auto"/>
            <w:tcMar>
              <w:top w:w="96" w:type="dxa"/>
              <w:left w:w="96" w:type="dxa"/>
              <w:bottom w:w="96" w:type="dxa"/>
              <w:right w:w="96" w:type="dxa"/>
            </w:tcMar>
            <w:vAlign w:val="center"/>
          </w:tcPr>
          <w:p>
            <w:pPr>
              <w:pStyle w:val="2"/>
              <w:ind w:firstLine="0" w:firstLineChars="0"/>
              <w:rPr>
                <w:rFonts w:hint="eastAsia" w:ascii="宋体" w:hAnsi="宋体" w:cs="宋体"/>
                <w:color w:val="auto"/>
                <w:sz w:val="21"/>
                <w:szCs w:val="21"/>
                <w:highlight w:val="none"/>
              </w:rPr>
            </w:pPr>
            <w:r>
              <w:rPr>
                <w:rFonts w:hint="eastAsia" w:ascii="宋体" w:hAnsi="宋体" w:cs="宋体"/>
                <w:color w:val="auto"/>
                <w:sz w:val="21"/>
                <w:szCs w:val="21"/>
                <w:highlight w:val="none"/>
              </w:rPr>
              <w:t>1.站立尺寸：≤1290×700×590 mm</w:t>
            </w:r>
          </w:p>
          <w:p>
            <w:pPr>
              <w:pStyle w:val="2"/>
              <w:ind w:firstLine="0" w:firstLineChars="0"/>
              <w:rPr>
                <w:rFonts w:hint="eastAsia" w:ascii="宋体" w:hAnsi="宋体" w:cs="宋体"/>
                <w:color w:val="auto"/>
                <w:sz w:val="21"/>
                <w:szCs w:val="21"/>
                <w:highlight w:val="none"/>
              </w:rPr>
            </w:pPr>
            <w:r>
              <w:rPr>
                <w:rFonts w:hint="eastAsia" w:ascii="宋体" w:hAnsi="宋体" w:cs="宋体"/>
                <w:color w:val="auto"/>
                <w:sz w:val="21"/>
                <w:szCs w:val="21"/>
                <w:highlight w:val="none"/>
              </w:rPr>
              <w:t>2. 外接接口：Ethernet/USB2.0/WiFi</w:t>
            </w:r>
          </w:p>
          <w:p>
            <w:pPr>
              <w:pStyle w:val="2"/>
              <w:ind w:firstLine="0" w:firstLineChars="0"/>
              <w:rPr>
                <w:rFonts w:hint="eastAsia" w:ascii="宋体" w:hAnsi="宋体" w:cs="宋体"/>
                <w:color w:val="auto"/>
                <w:sz w:val="21"/>
                <w:szCs w:val="21"/>
                <w:highlight w:val="none"/>
              </w:rPr>
            </w:pPr>
            <w:r>
              <w:rPr>
                <w:rFonts w:hint="eastAsia" w:ascii="宋体" w:hAnsi="宋体" w:cs="宋体"/>
                <w:color w:val="auto"/>
                <w:sz w:val="21"/>
                <w:szCs w:val="21"/>
                <w:highlight w:val="none"/>
              </w:rPr>
              <w:t>3. 最大攀爬角度:≥45°</w:t>
            </w:r>
          </w:p>
          <w:p>
            <w:pPr>
              <w:pStyle w:val="2"/>
              <w:ind w:firstLine="0" w:firstLineChars="0"/>
              <w:rPr>
                <w:rFonts w:hint="eastAsia" w:ascii="宋体" w:hAnsi="宋体" w:cs="宋体"/>
                <w:color w:val="auto"/>
                <w:sz w:val="21"/>
                <w:szCs w:val="21"/>
                <w:highlight w:val="none"/>
              </w:rPr>
            </w:pPr>
            <w:r>
              <w:rPr>
                <w:rFonts w:hint="eastAsia" w:ascii="宋体" w:hAnsi="宋体" w:cs="宋体"/>
                <w:color w:val="auto"/>
                <w:sz w:val="21"/>
                <w:szCs w:val="21"/>
                <w:highlight w:val="none"/>
              </w:rPr>
              <w:t>4.连续楼梯高度：≥20cm</w:t>
            </w:r>
          </w:p>
          <w:p>
            <w:pPr>
              <w:pStyle w:val="2"/>
              <w:tabs>
                <w:tab w:val="left" w:pos="0"/>
                <w:tab w:val="left" w:pos="1440"/>
              </w:tabs>
              <w:ind w:firstLine="0" w:firstLineChars="0"/>
              <w:rPr>
                <w:rFonts w:hint="eastAsia" w:ascii="宋体" w:hAnsi="宋体" w:cs="宋体"/>
                <w:color w:val="auto"/>
                <w:sz w:val="21"/>
                <w:szCs w:val="21"/>
                <w:highlight w:val="none"/>
              </w:rPr>
            </w:pPr>
            <w:r>
              <w:rPr>
                <w:rFonts w:hint="eastAsia" w:ascii="宋体" w:hAnsi="宋体" w:cs="宋体"/>
                <w:color w:val="auto"/>
                <w:sz w:val="21"/>
                <w:szCs w:val="21"/>
                <w:highlight w:val="none"/>
              </w:rPr>
              <w:t>5.行走负载：70kg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1107" w:type="pct"/>
            <w:shd w:val="clear" w:color="auto" w:fill="auto"/>
            <w:tcMar>
              <w:top w:w="96" w:type="dxa"/>
              <w:left w:w="96" w:type="dxa"/>
              <w:bottom w:w="96" w:type="dxa"/>
              <w:right w:w="96" w:type="dxa"/>
            </w:tcMar>
            <w:vAlign w:val="center"/>
          </w:tcPr>
          <w:p>
            <w:pPr>
              <w:widowControl/>
              <w:rPr>
                <w:rFonts w:hint="eastAsia" w:ascii="宋体" w:hAnsi="宋体" w:cs="宋体"/>
                <w:b/>
                <w:bCs/>
                <w:color w:val="auto"/>
                <w:szCs w:val="21"/>
                <w:highlight w:val="none"/>
              </w:rPr>
            </w:pPr>
            <w:r>
              <w:rPr>
                <w:rFonts w:hint="eastAsia" w:ascii="宋体" w:hAnsi="宋体" w:cs="宋体"/>
                <w:color w:val="auto"/>
                <w:szCs w:val="21"/>
                <w:highlight w:val="none"/>
              </w:rPr>
              <w:t>小四轮足机器人</w:t>
            </w:r>
            <w:bookmarkStart w:id="3" w:name="OLE_LINK6"/>
            <w:r>
              <w:rPr>
                <w:rFonts w:hint="eastAsia" w:ascii="宋体" w:hAnsi="宋体" w:cs="宋体"/>
                <w:color w:val="auto"/>
                <w:szCs w:val="21"/>
                <w:highlight w:val="none"/>
              </w:rPr>
              <w:t>框架壳体</w:t>
            </w:r>
            <w:bookmarkEnd w:id="3"/>
          </w:p>
        </w:tc>
        <w:tc>
          <w:tcPr>
            <w:tcW w:w="3892" w:type="pct"/>
            <w:shd w:val="clear" w:color="auto" w:fill="auto"/>
            <w:tcMar>
              <w:top w:w="96" w:type="dxa"/>
              <w:left w:w="96" w:type="dxa"/>
              <w:bottom w:w="96" w:type="dxa"/>
              <w:right w:w="96" w:type="dxa"/>
            </w:tcMar>
            <w:vAlign w:val="center"/>
          </w:tcPr>
          <w:p>
            <w:pPr>
              <w:widowControl/>
              <w:tabs>
                <w:tab w:val="left" w:pos="0"/>
                <w:tab w:val="left" w:pos="1440"/>
              </w:tabs>
              <w:jc w:val="left"/>
              <w:rPr>
                <w:rFonts w:hint="eastAsia" w:ascii="宋体" w:hAnsi="宋体" w:cs="宋体"/>
                <w:color w:val="auto"/>
                <w:szCs w:val="21"/>
                <w:highlight w:val="none"/>
              </w:rPr>
            </w:pPr>
            <w:r>
              <w:rPr>
                <w:rFonts w:hint="eastAsia" w:ascii="宋体" w:hAnsi="宋体" w:cs="宋体"/>
                <w:color w:val="auto"/>
                <w:szCs w:val="21"/>
                <w:highlight w:val="none"/>
              </w:rPr>
              <w:t>1.站立尺寸：≤</w:t>
            </w:r>
            <w:r>
              <w:rPr>
                <w:rFonts w:ascii="宋体" w:hAnsi="宋体" w:cs="宋体"/>
                <w:color w:val="auto"/>
                <w:szCs w:val="21"/>
                <w:highlight w:val="none"/>
              </w:rPr>
              <w:t>6</w:t>
            </w:r>
            <w:r>
              <w:rPr>
                <w:rFonts w:hint="eastAsia" w:ascii="宋体" w:hAnsi="宋体" w:cs="宋体"/>
                <w:color w:val="auto"/>
                <w:szCs w:val="21"/>
                <w:highlight w:val="none"/>
              </w:rPr>
              <w:t>5</w:t>
            </w:r>
            <w:r>
              <w:rPr>
                <w:rFonts w:ascii="宋体" w:hAnsi="宋体" w:cs="宋体"/>
                <w:color w:val="auto"/>
                <w:szCs w:val="21"/>
                <w:highlight w:val="none"/>
              </w:rPr>
              <w:t>0</w:t>
            </w:r>
            <w:r>
              <w:rPr>
                <w:rFonts w:hint="eastAsia" w:ascii="宋体" w:hAnsi="宋体" w:cs="宋体"/>
                <w:color w:val="auto"/>
                <w:szCs w:val="21"/>
                <w:highlight w:val="none"/>
              </w:rPr>
              <w:t>×</w:t>
            </w:r>
            <w:r>
              <w:rPr>
                <w:rFonts w:ascii="宋体" w:hAnsi="宋体" w:cs="宋体"/>
                <w:color w:val="auto"/>
                <w:szCs w:val="21"/>
                <w:highlight w:val="none"/>
              </w:rPr>
              <w:t>3</w:t>
            </w:r>
            <w:r>
              <w:rPr>
                <w:rFonts w:hint="eastAsia" w:ascii="宋体" w:hAnsi="宋体" w:cs="宋体"/>
                <w:color w:val="auto"/>
                <w:szCs w:val="21"/>
                <w:highlight w:val="none"/>
              </w:rPr>
              <w:t>9</w:t>
            </w:r>
            <w:r>
              <w:rPr>
                <w:rFonts w:ascii="宋体" w:hAnsi="宋体" w:cs="宋体"/>
                <w:color w:val="auto"/>
                <w:szCs w:val="21"/>
                <w:highlight w:val="none"/>
              </w:rPr>
              <w:t>0</w:t>
            </w:r>
            <w:r>
              <w:rPr>
                <w:rFonts w:hint="eastAsia" w:ascii="宋体" w:hAnsi="宋体" w:cs="宋体"/>
                <w:color w:val="auto"/>
                <w:szCs w:val="21"/>
                <w:highlight w:val="none"/>
              </w:rPr>
              <w:t>×</w:t>
            </w:r>
            <w:r>
              <w:rPr>
                <w:rFonts w:ascii="宋体" w:hAnsi="宋体" w:cs="宋体"/>
                <w:color w:val="auto"/>
                <w:szCs w:val="21"/>
                <w:highlight w:val="none"/>
              </w:rPr>
              <w:t>4</w:t>
            </w:r>
            <w:r>
              <w:rPr>
                <w:rFonts w:hint="eastAsia" w:ascii="宋体" w:hAnsi="宋体" w:cs="宋体"/>
                <w:color w:val="auto"/>
                <w:szCs w:val="21"/>
                <w:highlight w:val="none"/>
              </w:rPr>
              <w:t>7</w:t>
            </w:r>
            <w:r>
              <w:rPr>
                <w:rFonts w:ascii="宋体" w:hAnsi="宋体" w:cs="宋体"/>
                <w:color w:val="auto"/>
                <w:szCs w:val="21"/>
                <w:highlight w:val="none"/>
              </w:rPr>
              <w:t>0</w:t>
            </w:r>
            <w:r>
              <w:rPr>
                <w:rFonts w:hint="eastAsia" w:ascii="宋体" w:hAnsi="宋体" w:cs="宋体"/>
                <w:color w:val="auto"/>
                <w:szCs w:val="21"/>
                <w:highlight w:val="none"/>
              </w:rPr>
              <w:t xml:space="preserve"> mm</w:t>
            </w:r>
          </w:p>
          <w:p>
            <w:pPr>
              <w:pStyle w:val="2"/>
              <w:ind w:firstLine="0" w:firstLineChars="0"/>
              <w:rPr>
                <w:rFonts w:hint="eastAsia" w:ascii="宋体" w:hAnsi="宋体" w:cs="宋体"/>
                <w:color w:val="auto"/>
                <w:sz w:val="21"/>
                <w:szCs w:val="21"/>
                <w:highlight w:val="none"/>
              </w:rPr>
            </w:pPr>
            <w:r>
              <w:rPr>
                <w:rFonts w:hint="eastAsia" w:ascii="宋体" w:hAnsi="宋体" w:cs="宋体"/>
                <w:color w:val="auto"/>
                <w:sz w:val="21"/>
                <w:szCs w:val="21"/>
                <w:highlight w:val="none"/>
              </w:rPr>
              <w:t>2.</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外接接口：</w:t>
            </w:r>
            <w:r>
              <w:rPr>
                <w:rFonts w:ascii="宋体" w:hAnsi="宋体" w:cs="宋体"/>
                <w:color w:val="auto"/>
                <w:sz w:val="21"/>
                <w:szCs w:val="21"/>
                <w:highlight w:val="none"/>
              </w:rPr>
              <w:t>12V*1</w:t>
            </w:r>
            <w:r>
              <w:rPr>
                <w:rFonts w:hint="eastAsia" w:ascii="宋体" w:hAnsi="宋体" w:cs="宋体"/>
                <w:color w:val="auto"/>
                <w:sz w:val="21"/>
                <w:szCs w:val="21"/>
                <w:highlight w:val="none"/>
              </w:rPr>
              <w:t>，</w:t>
            </w:r>
            <w:r>
              <w:rPr>
                <w:rFonts w:ascii="宋体" w:hAnsi="宋体" w:cs="宋体"/>
                <w:color w:val="auto"/>
                <w:sz w:val="21"/>
                <w:szCs w:val="21"/>
                <w:highlight w:val="none"/>
              </w:rPr>
              <w:t>24V*1</w:t>
            </w:r>
            <w:r>
              <w:rPr>
                <w:rFonts w:hint="eastAsia" w:ascii="宋体" w:hAnsi="宋体" w:cs="宋体"/>
                <w:color w:val="auto"/>
                <w:sz w:val="21"/>
                <w:szCs w:val="21"/>
                <w:highlight w:val="none"/>
              </w:rPr>
              <w:t>，</w:t>
            </w:r>
            <w:r>
              <w:rPr>
                <w:rFonts w:ascii="宋体" w:hAnsi="宋体" w:cs="宋体"/>
                <w:color w:val="auto"/>
                <w:sz w:val="21"/>
                <w:szCs w:val="21"/>
                <w:highlight w:val="none"/>
              </w:rPr>
              <w:t>USB3.0*1</w:t>
            </w:r>
            <w:r>
              <w:rPr>
                <w:rFonts w:hint="eastAsia" w:ascii="宋体" w:hAnsi="宋体" w:cs="宋体"/>
                <w:color w:val="auto"/>
                <w:sz w:val="21"/>
                <w:szCs w:val="21"/>
                <w:highlight w:val="none"/>
              </w:rPr>
              <w:t>，</w:t>
            </w:r>
            <w:r>
              <w:rPr>
                <w:rFonts w:ascii="宋体" w:hAnsi="宋体" w:cs="宋体"/>
                <w:color w:val="auto"/>
                <w:sz w:val="21"/>
                <w:szCs w:val="21"/>
                <w:highlight w:val="none"/>
              </w:rPr>
              <w:t>USB2.0*1</w:t>
            </w:r>
            <w:r>
              <w:rPr>
                <w:rFonts w:hint="eastAsia" w:ascii="宋体" w:hAnsi="宋体" w:cs="宋体"/>
                <w:color w:val="auto"/>
                <w:sz w:val="21"/>
                <w:szCs w:val="21"/>
                <w:highlight w:val="none"/>
              </w:rPr>
              <w:t>，</w:t>
            </w:r>
          </w:p>
          <w:p>
            <w:pPr>
              <w:pStyle w:val="2"/>
              <w:ind w:firstLine="0" w:firstLineChars="0"/>
              <w:rPr>
                <w:rFonts w:hint="eastAsia" w:ascii="宋体" w:hAnsi="宋体" w:cs="宋体"/>
                <w:color w:val="auto"/>
                <w:sz w:val="21"/>
                <w:szCs w:val="21"/>
                <w:highlight w:val="none"/>
              </w:rPr>
            </w:pPr>
            <w:r>
              <w:rPr>
                <w:rFonts w:ascii="宋体" w:hAnsi="宋体" w:cs="宋体"/>
                <w:color w:val="auto"/>
                <w:sz w:val="21"/>
                <w:szCs w:val="21"/>
                <w:highlight w:val="none"/>
              </w:rPr>
              <w:t>Ethernet*1</w:t>
            </w:r>
          </w:p>
          <w:p>
            <w:pPr>
              <w:pStyle w:val="2"/>
              <w:ind w:firstLine="0" w:firstLineChars="0"/>
              <w:rPr>
                <w:rFonts w:hint="eastAsia" w:ascii="宋体" w:hAnsi="宋体" w:cs="宋体"/>
                <w:color w:val="auto"/>
                <w:sz w:val="21"/>
                <w:szCs w:val="21"/>
                <w:highlight w:val="none"/>
              </w:rPr>
            </w:pPr>
            <w:r>
              <w:rPr>
                <w:rFonts w:hint="eastAsia" w:ascii="宋体" w:hAnsi="宋体" w:cs="宋体"/>
                <w:color w:val="auto"/>
                <w:sz w:val="21"/>
                <w:szCs w:val="21"/>
                <w:highlight w:val="none"/>
              </w:rPr>
              <w:t>2. 最大攀爬角度:≥30°</w:t>
            </w:r>
          </w:p>
          <w:p>
            <w:pPr>
              <w:pStyle w:val="2"/>
              <w:ind w:firstLine="0" w:firstLineChars="0"/>
              <w:rPr>
                <w:rFonts w:hint="eastAsia" w:ascii="宋体" w:hAnsi="宋体" w:cs="宋体"/>
                <w:color w:val="auto"/>
                <w:sz w:val="21"/>
                <w:szCs w:val="21"/>
                <w:highlight w:val="none"/>
              </w:rPr>
            </w:pPr>
            <w:r>
              <w:rPr>
                <w:rFonts w:hint="eastAsia" w:ascii="宋体" w:hAnsi="宋体" w:cs="宋体"/>
                <w:color w:val="auto"/>
                <w:sz w:val="21"/>
                <w:szCs w:val="21"/>
                <w:highlight w:val="none"/>
              </w:rPr>
              <w:t>3.连续楼梯高度：≥14cm</w:t>
            </w:r>
          </w:p>
          <w:p>
            <w:pPr>
              <w:pStyle w:val="2"/>
              <w:ind w:firstLine="0" w:firstLineChars="0"/>
              <w:rPr>
                <w:rFonts w:hint="eastAsia" w:ascii="宋体" w:hAnsi="宋体" w:cs="宋体"/>
                <w:color w:val="auto"/>
                <w:sz w:val="21"/>
                <w:szCs w:val="21"/>
                <w:highlight w:val="none"/>
              </w:rPr>
            </w:pPr>
            <w:r>
              <w:rPr>
                <w:rFonts w:hint="eastAsia" w:ascii="宋体" w:hAnsi="宋体" w:cs="宋体"/>
                <w:color w:val="auto"/>
                <w:sz w:val="21"/>
                <w:szCs w:val="21"/>
                <w:highlight w:val="none"/>
              </w:rPr>
              <w:t>4.行走负载：≥7.5kg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1107" w:type="pct"/>
            <w:shd w:val="clear" w:color="auto" w:fill="auto"/>
            <w:tcMar>
              <w:top w:w="96" w:type="dxa"/>
              <w:left w:w="96" w:type="dxa"/>
              <w:bottom w:w="96" w:type="dxa"/>
              <w:right w:w="96" w:type="dxa"/>
            </w:tcMar>
            <w:vAlign w:val="center"/>
          </w:tcPr>
          <w:p>
            <w:pPr>
              <w:widowControl/>
              <w:numPr>
                <w:ilvl w:val="255"/>
                <w:numId w:val="0"/>
              </w:numPr>
              <w:rPr>
                <w:rFonts w:hint="eastAsia" w:ascii="宋体" w:hAnsi="宋体" w:cs="宋体"/>
                <w:b/>
                <w:bCs/>
                <w:color w:val="auto"/>
                <w:szCs w:val="21"/>
                <w:highlight w:val="none"/>
              </w:rPr>
            </w:pPr>
            <w:r>
              <w:rPr>
                <w:rFonts w:hint="eastAsia" w:ascii="宋体" w:hAnsi="宋体" w:cs="宋体"/>
                <w:color w:val="auto"/>
                <w:szCs w:val="21"/>
                <w:highlight w:val="none"/>
              </w:rPr>
              <w:t>中型轮足机器人框架壳体</w:t>
            </w:r>
          </w:p>
        </w:tc>
        <w:tc>
          <w:tcPr>
            <w:tcW w:w="3892" w:type="pct"/>
            <w:shd w:val="clear" w:color="auto" w:fill="auto"/>
            <w:tcMar>
              <w:top w:w="96" w:type="dxa"/>
              <w:left w:w="96" w:type="dxa"/>
              <w:bottom w:w="96" w:type="dxa"/>
              <w:right w:w="96" w:type="dxa"/>
            </w:tcMar>
            <w:vAlign w:val="center"/>
          </w:tcPr>
          <w:p>
            <w:pPr>
              <w:widowControl/>
              <w:tabs>
                <w:tab w:val="left" w:pos="0"/>
                <w:tab w:val="left" w:pos="1440"/>
              </w:tabs>
              <w:jc w:val="left"/>
              <w:rPr>
                <w:rFonts w:hint="eastAsia" w:ascii="宋体" w:hAnsi="宋体" w:cs="宋体"/>
                <w:color w:val="auto"/>
                <w:szCs w:val="21"/>
                <w:highlight w:val="none"/>
              </w:rPr>
            </w:pPr>
            <w:r>
              <w:rPr>
                <w:rFonts w:hint="eastAsia" w:ascii="宋体" w:hAnsi="宋体" w:cs="宋体"/>
                <w:color w:val="auto"/>
                <w:szCs w:val="21"/>
                <w:highlight w:val="none"/>
              </w:rPr>
              <w:t>1.站立尺寸：≤</w:t>
            </w:r>
            <w:r>
              <w:rPr>
                <w:rFonts w:ascii="宋体" w:hAnsi="宋体" w:cs="宋体"/>
                <w:color w:val="auto"/>
                <w:szCs w:val="21"/>
                <w:highlight w:val="none"/>
              </w:rPr>
              <w:t>9</w:t>
            </w:r>
            <w:r>
              <w:rPr>
                <w:rFonts w:hint="eastAsia" w:ascii="宋体" w:hAnsi="宋体" w:cs="宋体"/>
                <w:color w:val="auto"/>
                <w:szCs w:val="21"/>
                <w:highlight w:val="none"/>
              </w:rPr>
              <w:t>95</w:t>
            </w:r>
            <w:r>
              <w:rPr>
                <w:rFonts w:ascii="宋体" w:hAnsi="宋体" w:cs="宋体"/>
                <w:color w:val="auto"/>
                <w:szCs w:val="21"/>
                <w:highlight w:val="none"/>
              </w:rPr>
              <w:t>×5</w:t>
            </w:r>
            <w:r>
              <w:rPr>
                <w:rFonts w:hint="eastAsia" w:ascii="宋体" w:hAnsi="宋体" w:cs="宋体"/>
                <w:color w:val="auto"/>
                <w:szCs w:val="21"/>
                <w:highlight w:val="none"/>
              </w:rPr>
              <w:t>2</w:t>
            </w:r>
            <w:r>
              <w:rPr>
                <w:rFonts w:ascii="宋体" w:hAnsi="宋体" w:cs="宋体"/>
                <w:color w:val="auto"/>
                <w:szCs w:val="21"/>
                <w:highlight w:val="none"/>
              </w:rPr>
              <w:t>0×5</w:t>
            </w:r>
            <w:r>
              <w:rPr>
                <w:rFonts w:hint="eastAsia" w:ascii="宋体" w:hAnsi="宋体" w:cs="宋体"/>
                <w:color w:val="auto"/>
                <w:szCs w:val="21"/>
                <w:highlight w:val="none"/>
              </w:rPr>
              <w:t>70</w:t>
            </w:r>
            <w:r>
              <w:rPr>
                <w:rFonts w:ascii="宋体" w:hAnsi="宋体" w:cs="宋体"/>
                <w:color w:val="auto"/>
                <w:szCs w:val="21"/>
                <w:highlight w:val="none"/>
              </w:rPr>
              <w:t>mm</w:t>
            </w:r>
          </w:p>
          <w:p>
            <w:pPr>
              <w:pStyle w:val="2"/>
              <w:ind w:firstLine="0" w:firstLineChars="0"/>
              <w:rPr>
                <w:rFonts w:hint="eastAsia" w:ascii="宋体" w:hAnsi="宋体" w:cs="宋体"/>
                <w:color w:val="auto"/>
                <w:sz w:val="21"/>
                <w:szCs w:val="21"/>
                <w:highlight w:val="none"/>
              </w:rPr>
            </w:pPr>
            <w:r>
              <w:rPr>
                <w:rFonts w:hint="eastAsia" w:ascii="宋体" w:hAnsi="宋体" w:cs="宋体"/>
                <w:color w:val="auto"/>
                <w:sz w:val="21"/>
                <w:szCs w:val="21"/>
                <w:highlight w:val="none"/>
              </w:rPr>
              <w:t>2.</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外接接口：</w:t>
            </w:r>
            <w:r>
              <w:rPr>
                <w:rFonts w:ascii="宋体" w:hAnsi="宋体" w:cs="宋体"/>
                <w:color w:val="auto"/>
                <w:sz w:val="21"/>
                <w:szCs w:val="21"/>
                <w:highlight w:val="none"/>
              </w:rPr>
              <w:t>24V USB LAN *1 , 24V 485 WAN*1 , BAT LAN*1,24V LAN*1</w:t>
            </w:r>
            <w:r>
              <w:rPr>
                <w:rFonts w:hint="eastAsia" w:ascii="宋体" w:hAnsi="宋体" w:cs="宋体"/>
                <w:color w:val="auto"/>
                <w:sz w:val="21"/>
                <w:szCs w:val="21"/>
                <w:highlight w:val="none"/>
              </w:rPr>
              <w:t xml:space="preserve"> </w:t>
            </w:r>
          </w:p>
          <w:p>
            <w:pPr>
              <w:pStyle w:val="2"/>
              <w:ind w:firstLine="0" w:firstLineChars="0"/>
              <w:rPr>
                <w:rFonts w:hint="eastAsia" w:ascii="宋体" w:hAnsi="宋体" w:cs="宋体"/>
                <w:color w:val="auto"/>
                <w:sz w:val="21"/>
                <w:szCs w:val="21"/>
                <w:highlight w:val="none"/>
              </w:rPr>
            </w:pPr>
            <w:r>
              <w:rPr>
                <w:rFonts w:hint="eastAsia" w:ascii="宋体" w:hAnsi="宋体" w:cs="宋体"/>
                <w:color w:val="auto"/>
                <w:sz w:val="21"/>
                <w:szCs w:val="21"/>
                <w:highlight w:val="none"/>
              </w:rPr>
              <w:t>3. 最大攀爬角度: ≥44°</w:t>
            </w:r>
          </w:p>
          <w:p>
            <w:pPr>
              <w:pStyle w:val="2"/>
              <w:ind w:firstLine="0" w:firstLineChars="0"/>
              <w:rPr>
                <w:rFonts w:hint="eastAsia" w:ascii="宋体" w:hAnsi="宋体" w:cs="宋体"/>
                <w:color w:val="auto"/>
                <w:sz w:val="21"/>
                <w:szCs w:val="21"/>
                <w:highlight w:val="none"/>
              </w:rPr>
            </w:pPr>
            <w:r>
              <w:rPr>
                <w:rFonts w:hint="eastAsia" w:ascii="宋体" w:hAnsi="宋体" w:cs="宋体"/>
                <w:color w:val="auto"/>
                <w:sz w:val="21"/>
                <w:szCs w:val="21"/>
                <w:highlight w:val="none"/>
              </w:rPr>
              <w:t>4.连续楼梯高度：≥29cm</w:t>
            </w:r>
          </w:p>
          <w:p>
            <w:pPr>
              <w:pStyle w:val="26"/>
              <w:widowControl/>
              <w:tabs>
                <w:tab w:val="left" w:pos="0"/>
              </w:tabs>
              <w:ind w:firstLine="0" w:firstLineChars="0"/>
              <w:jc w:val="left"/>
              <w:rPr>
                <w:rFonts w:hint="eastAsia" w:ascii="宋体" w:hAnsi="宋体" w:cs="宋体"/>
                <w:color w:val="auto"/>
                <w:szCs w:val="21"/>
                <w:highlight w:val="none"/>
              </w:rPr>
            </w:pPr>
            <w:r>
              <w:rPr>
                <w:rFonts w:hint="eastAsia" w:ascii="宋体" w:hAnsi="宋体" w:cs="宋体"/>
                <w:color w:val="auto"/>
                <w:szCs w:val="21"/>
                <w:highlight w:val="none"/>
              </w:rPr>
              <w:t xml:space="preserve">5.行走负载：≥39.5kg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26" w:hRule="atLeast"/>
          <w:tblHeader/>
        </w:trPr>
        <w:tc>
          <w:tcPr>
            <w:tcW w:w="1107" w:type="pct"/>
            <w:shd w:val="clear" w:color="auto" w:fill="auto"/>
            <w:tcMar>
              <w:top w:w="96" w:type="dxa"/>
              <w:left w:w="96" w:type="dxa"/>
              <w:bottom w:w="96" w:type="dxa"/>
              <w:right w:w="96" w:type="dxa"/>
            </w:tcMar>
            <w:vAlign w:val="center"/>
          </w:tcPr>
          <w:p>
            <w:pPr>
              <w:widowControl/>
              <w:rPr>
                <w:rFonts w:hint="eastAsia" w:ascii="宋体" w:hAnsi="宋体" w:cs="宋体"/>
                <w:color w:val="auto"/>
                <w:szCs w:val="21"/>
                <w:highlight w:val="none"/>
              </w:rPr>
            </w:pPr>
            <w:r>
              <w:rPr>
                <w:rFonts w:hint="eastAsia" w:ascii="宋体" w:hAnsi="宋体" w:cs="宋体"/>
                <w:color w:val="auto"/>
                <w:szCs w:val="21"/>
                <w:highlight w:val="none"/>
              </w:rPr>
              <w:t>大型轮足机器人框架壳体</w:t>
            </w:r>
          </w:p>
        </w:tc>
        <w:tc>
          <w:tcPr>
            <w:tcW w:w="3892" w:type="pct"/>
            <w:shd w:val="clear" w:color="auto" w:fill="auto"/>
            <w:tcMar>
              <w:top w:w="96" w:type="dxa"/>
              <w:left w:w="96" w:type="dxa"/>
              <w:bottom w:w="96" w:type="dxa"/>
              <w:right w:w="96" w:type="dxa"/>
            </w:tcMar>
            <w:vAlign w:val="center"/>
          </w:tcPr>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1.站立尺寸：≤</w:t>
            </w:r>
            <w:r>
              <w:rPr>
                <w:rFonts w:ascii="宋体" w:hAnsi="宋体" w:cs="宋体"/>
                <w:color w:val="auto"/>
                <w:szCs w:val="21"/>
                <w:highlight w:val="none"/>
              </w:rPr>
              <w:t>11</w:t>
            </w:r>
            <w:r>
              <w:rPr>
                <w:rFonts w:hint="eastAsia" w:ascii="宋体" w:hAnsi="宋体" w:cs="宋体"/>
                <w:color w:val="auto"/>
                <w:szCs w:val="21"/>
                <w:highlight w:val="none"/>
              </w:rPr>
              <w:t>1</w:t>
            </w:r>
            <w:r>
              <w:rPr>
                <w:rFonts w:ascii="宋体" w:hAnsi="宋体" w:cs="宋体"/>
                <w:color w:val="auto"/>
                <w:szCs w:val="21"/>
                <w:highlight w:val="none"/>
              </w:rPr>
              <w:t>0*6</w:t>
            </w:r>
            <w:r>
              <w:rPr>
                <w:rFonts w:hint="eastAsia" w:ascii="宋体" w:hAnsi="宋体" w:cs="宋体"/>
                <w:color w:val="auto"/>
                <w:szCs w:val="21"/>
                <w:highlight w:val="none"/>
              </w:rPr>
              <w:t>2</w:t>
            </w:r>
            <w:r>
              <w:rPr>
                <w:rFonts w:ascii="宋体" w:hAnsi="宋体" w:cs="宋体"/>
                <w:color w:val="auto"/>
                <w:szCs w:val="21"/>
                <w:highlight w:val="none"/>
              </w:rPr>
              <w:t>0* 7</w:t>
            </w:r>
            <w:r>
              <w:rPr>
                <w:rFonts w:hint="eastAsia" w:ascii="宋体" w:hAnsi="宋体" w:cs="宋体"/>
                <w:color w:val="auto"/>
                <w:szCs w:val="21"/>
                <w:highlight w:val="none"/>
              </w:rPr>
              <w:t>50</w:t>
            </w:r>
            <w:r>
              <w:rPr>
                <w:rFonts w:ascii="宋体" w:hAnsi="宋体" w:cs="宋体"/>
                <w:color w:val="auto"/>
                <w:szCs w:val="21"/>
                <w:highlight w:val="none"/>
              </w:rPr>
              <w:t xml:space="preserve">mm </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2.最大攀爬角度: ≥44°</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 xml:space="preserve">3.最高速度：≥6.9m/s， </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 xml:space="preserve">4.可攀爬斜坡最大角度：≥44°  </w:t>
            </w:r>
          </w:p>
          <w:p>
            <w:pPr>
              <w:widowControl/>
              <w:jc w:val="left"/>
              <w:rPr>
                <w:color w:val="auto"/>
                <w:highlight w:val="none"/>
              </w:rPr>
            </w:pPr>
            <w:r>
              <w:rPr>
                <w:rFonts w:hint="eastAsia" w:ascii="宋体" w:hAnsi="宋体" w:cs="宋体"/>
                <w:color w:val="auto"/>
                <w:szCs w:val="21"/>
                <w:highlight w:val="none"/>
              </w:rPr>
              <w:t>5.有效负载：≥79.5kg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26" w:hRule="atLeast"/>
          <w:tblHeader/>
        </w:trPr>
        <w:tc>
          <w:tcPr>
            <w:tcW w:w="1107" w:type="pct"/>
            <w:shd w:val="clear" w:color="auto" w:fill="auto"/>
            <w:tcMar>
              <w:top w:w="96" w:type="dxa"/>
              <w:left w:w="96" w:type="dxa"/>
              <w:bottom w:w="96" w:type="dxa"/>
              <w:right w:w="96" w:type="dxa"/>
            </w:tcMar>
            <w:vAlign w:val="center"/>
          </w:tcPr>
          <w:p>
            <w:pPr>
              <w:widowControl/>
              <w:rPr>
                <w:rFonts w:hint="eastAsia" w:ascii="宋体" w:hAnsi="宋体" w:cs="宋体"/>
                <w:color w:val="auto"/>
                <w:szCs w:val="21"/>
                <w:highlight w:val="none"/>
              </w:rPr>
            </w:pPr>
            <w:r>
              <w:rPr>
                <w:rFonts w:hint="eastAsia" w:ascii="宋体" w:hAnsi="宋体" w:cs="宋体"/>
                <w:color w:val="auto"/>
                <w:szCs w:val="21"/>
                <w:highlight w:val="none"/>
              </w:rPr>
              <w:t>运动控制模块Ⅰ型</w:t>
            </w:r>
          </w:p>
        </w:tc>
        <w:tc>
          <w:tcPr>
            <w:tcW w:w="3892" w:type="pct"/>
            <w:shd w:val="clear" w:color="auto" w:fill="auto"/>
            <w:tcMar>
              <w:top w:w="96" w:type="dxa"/>
              <w:left w:w="96" w:type="dxa"/>
              <w:bottom w:w="96" w:type="dxa"/>
              <w:right w:w="96" w:type="dxa"/>
            </w:tcMar>
            <w:vAlign w:val="center"/>
          </w:tcPr>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1.SOC：RK3588S</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2.核心：四核Cortex -A76 + 四核Cortex -A55</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3.RAM+ROM：8G+64G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26" w:hRule="atLeast"/>
          <w:tblHeader/>
        </w:trPr>
        <w:tc>
          <w:tcPr>
            <w:tcW w:w="1107" w:type="pct"/>
            <w:shd w:val="clear" w:color="auto" w:fill="auto"/>
            <w:tcMar>
              <w:top w:w="96" w:type="dxa"/>
              <w:left w:w="96" w:type="dxa"/>
              <w:bottom w:w="96" w:type="dxa"/>
              <w:right w:w="96" w:type="dxa"/>
            </w:tcMar>
            <w:vAlign w:val="center"/>
          </w:tcPr>
          <w:p>
            <w:pPr>
              <w:widowControl/>
              <w:rPr>
                <w:rFonts w:hint="eastAsia" w:ascii="宋体" w:hAnsi="宋体" w:cs="宋体"/>
                <w:color w:val="auto"/>
                <w:szCs w:val="21"/>
                <w:highlight w:val="none"/>
              </w:rPr>
            </w:pPr>
            <w:r>
              <w:rPr>
                <w:rFonts w:hint="eastAsia" w:ascii="宋体" w:hAnsi="宋体" w:cs="宋体"/>
                <w:color w:val="auto"/>
                <w:szCs w:val="21"/>
                <w:highlight w:val="none"/>
              </w:rPr>
              <w:t>运动控制模块Ⅱ型</w:t>
            </w:r>
          </w:p>
        </w:tc>
        <w:tc>
          <w:tcPr>
            <w:tcW w:w="3892" w:type="pct"/>
            <w:shd w:val="clear" w:color="auto" w:fill="auto"/>
            <w:tcMar>
              <w:top w:w="96" w:type="dxa"/>
              <w:left w:w="96" w:type="dxa"/>
              <w:bottom w:w="96" w:type="dxa"/>
              <w:right w:w="96" w:type="dxa"/>
            </w:tcMar>
            <w:vAlign w:val="center"/>
          </w:tcPr>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1.SOC：RK3588</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2.核心：四核Cortex -A76 + 四核Cortex -A55</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3.RAM+ROM：8G+128G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26" w:hRule="atLeast"/>
          <w:tblHeader/>
        </w:trPr>
        <w:tc>
          <w:tcPr>
            <w:tcW w:w="1107" w:type="pct"/>
            <w:shd w:val="clear" w:color="auto" w:fill="auto"/>
            <w:tcMar>
              <w:top w:w="96" w:type="dxa"/>
              <w:left w:w="96" w:type="dxa"/>
              <w:bottom w:w="96" w:type="dxa"/>
              <w:right w:w="96" w:type="dxa"/>
            </w:tcMar>
            <w:vAlign w:val="center"/>
          </w:tcPr>
          <w:p>
            <w:pPr>
              <w:widowControl/>
              <w:rPr>
                <w:rFonts w:hint="eastAsia" w:ascii="宋体" w:hAnsi="宋体" w:cs="宋体"/>
                <w:color w:val="auto"/>
                <w:szCs w:val="21"/>
                <w:highlight w:val="none"/>
              </w:rPr>
            </w:pPr>
            <w:r>
              <w:rPr>
                <w:rFonts w:hint="eastAsia" w:ascii="宋体" w:hAnsi="宋体" w:cs="宋体"/>
                <w:color w:val="auto"/>
                <w:szCs w:val="21"/>
                <w:highlight w:val="none"/>
              </w:rPr>
              <w:t>运动控制模块Ⅲ型</w:t>
            </w:r>
          </w:p>
        </w:tc>
        <w:tc>
          <w:tcPr>
            <w:tcW w:w="3892" w:type="pct"/>
            <w:shd w:val="clear" w:color="auto" w:fill="auto"/>
            <w:tcMar>
              <w:top w:w="96" w:type="dxa"/>
              <w:left w:w="96" w:type="dxa"/>
              <w:bottom w:w="96" w:type="dxa"/>
              <w:right w:w="96" w:type="dxa"/>
            </w:tcMar>
            <w:vAlign w:val="center"/>
          </w:tcPr>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1.SOC：RK3588</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2.核心：四核 Cortex -A76 + 四核 Cortex -A55</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3.RAM+ROM：16G+64G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26" w:hRule="atLeast"/>
          <w:tblHeader/>
        </w:trPr>
        <w:tc>
          <w:tcPr>
            <w:tcW w:w="1107" w:type="pct"/>
            <w:shd w:val="clear" w:color="auto" w:fill="auto"/>
            <w:tcMar>
              <w:top w:w="96" w:type="dxa"/>
              <w:left w:w="96" w:type="dxa"/>
              <w:bottom w:w="96" w:type="dxa"/>
              <w:right w:w="96" w:type="dxa"/>
            </w:tcMar>
            <w:vAlign w:val="center"/>
          </w:tcPr>
          <w:p>
            <w:pPr>
              <w:widowControl/>
              <w:rPr>
                <w:rFonts w:hint="eastAsia" w:ascii="宋体" w:hAnsi="宋体" w:cs="宋体"/>
                <w:color w:val="auto"/>
                <w:szCs w:val="21"/>
                <w:highlight w:val="none"/>
              </w:rPr>
            </w:pPr>
            <w:r>
              <w:rPr>
                <w:rFonts w:hint="eastAsia" w:ascii="宋体" w:hAnsi="宋体" w:cs="宋体"/>
                <w:color w:val="auto"/>
                <w:szCs w:val="21"/>
                <w:highlight w:val="none"/>
              </w:rPr>
              <w:t>感知模块</w:t>
            </w:r>
          </w:p>
          <w:p>
            <w:pPr>
              <w:widowControl/>
              <w:rPr>
                <w:rFonts w:hint="eastAsia" w:ascii="宋体" w:hAnsi="宋体" w:cs="宋体"/>
                <w:color w:val="auto"/>
                <w:szCs w:val="21"/>
                <w:highlight w:val="none"/>
              </w:rPr>
            </w:pPr>
            <w:r>
              <w:rPr>
                <w:rFonts w:hint="eastAsia" w:ascii="宋体" w:hAnsi="宋体" w:cs="宋体"/>
                <w:color w:val="auto"/>
                <w:szCs w:val="21"/>
                <w:highlight w:val="none"/>
              </w:rPr>
              <w:t>Ⅰ型</w:t>
            </w:r>
          </w:p>
        </w:tc>
        <w:tc>
          <w:tcPr>
            <w:tcW w:w="3892" w:type="pct"/>
            <w:shd w:val="clear" w:color="auto" w:fill="auto"/>
            <w:tcMar>
              <w:top w:w="96" w:type="dxa"/>
              <w:left w:w="96" w:type="dxa"/>
              <w:bottom w:w="96" w:type="dxa"/>
              <w:right w:w="96" w:type="dxa"/>
            </w:tcMar>
            <w:vAlign w:val="center"/>
          </w:tcPr>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1.SOC：Orin NX</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2.核心：八核 ARM Cortex -A78AE</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3.RAM+ROM：16G+256G SSD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26" w:hRule="atLeast"/>
          <w:tblHeader/>
        </w:trPr>
        <w:tc>
          <w:tcPr>
            <w:tcW w:w="1836" w:type="dxa"/>
            <w:shd w:val="clear" w:color="auto" w:fill="auto"/>
            <w:tcMar>
              <w:top w:w="96" w:type="dxa"/>
              <w:left w:w="96" w:type="dxa"/>
              <w:bottom w:w="96" w:type="dxa"/>
              <w:right w:w="96" w:type="dxa"/>
            </w:tcMar>
            <w:vAlign w:val="center"/>
          </w:tcPr>
          <w:p>
            <w:pPr>
              <w:widowControl/>
              <w:rPr>
                <w:rFonts w:hint="eastAsia" w:ascii="宋体" w:hAnsi="宋体" w:cs="宋体"/>
                <w:color w:val="auto"/>
                <w:szCs w:val="21"/>
                <w:highlight w:val="none"/>
              </w:rPr>
            </w:pPr>
            <w:r>
              <w:rPr>
                <w:rFonts w:hint="eastAsia" w:ascii="宋体" w:hAnsi="宋体" w:cs="宋体"/>
                <w:color w:val="auto"/>
                <w:szCs w:val="21"/>
                <w:highlight w:val="none"/>
              </w:rPr>
              <w:t>感知模块</w:t>
            </w:r>
          </w:p>
          <w:p>
            <w:pPr>
              <w:widowControl/>
              <w:rPr>
                <w:rFonts w:hint="eastAsia" w:ascii="宋体" w:hAnsi="宋体" w:cs="宋体"/>
                <w:color w:val="auto"/>
                <w:szCs w:val="21"/>
                <w:highlight w:val="none"/>
              </w:rPr>
            </w:pPr>
            <w:r>
              <w:rPr>
                <w:rFonts w:hint="eastAsia" w:ascii="宋体" w:hAnsi="宋体" w:cs="宋体"/>
                <w:color w:val="auto"/>
                <w:szCs w:val="21"/>
                <w:highlight w:val="none"/>
              </w:rPr>
              <w:t>Ⅱ型</w:t>
            </w:r>
          </w:p>
        </w:tc>
        <w:tc>
          <w:tcPr>
            <w:tcW w:w="6458" w:type="dxa"/>
            <w:shd w:val="clear" w:color="auto" w:fill="auto"/>
            <w:tcMar>
              <w:top w:w="96" w:type="dxa"/>
              <w:left w:w="96" w:type="dxa"/>
              <w:bottom w:w="96" w:type="dxa"/>
              <w:right w:w="96" w:type="dxa"/>
            </w:tcMar>
            <w:vAlign w:val="center"/>
          </w:tcPr>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 xml:space="preserve">1.SOC：Jetson Orin NX </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2.核心：八 核 ARM Cortex -A78AE</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3.RAM+ROM：16G+256G SSD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26" w:hRule="atLeast"/>
          <w:tblHeader/>
        </w:trPr>
        <w:tc>
          <w:tcPr>
            <w:tcW w:w="1107" w:type="pct"/>
            <w:shd w:val="clear" w:color="auto" w:fill="auto"/>
            <w:tcMar>
              <w:top w:w="96" w:type="dxa"/>
              <w:left w:w="96" w:type="dxa"/>
              <w:bottom w:w="96" w:type="dxa"/>
              <w:right w:w="96" w:type="dxa"/>
            </w:tcMar>
            <w:vAlign w:val="center"/>
          </w:tcPr>
          <w:p>
            <w:pPr>
              <w:widowControl/>
              <w:rPr>
                <w:rFonts w:hint="eastAsia" w:ascii="宋体" w:hAnsi="宋体" w:cs="宋体"/>
                <w:color w:val="auto"/>
                <w:szCs w:val="21"/>
                <w:highlight w:val="none"/>
              </w:rPr>
            </w:pPr>
            <w:r>
              <w:rPr>
                <w:rFonts w:hint="eastAsia" w:ascii="宋体" w:hAnsi="宋体" w:cs="宋体"/>
                <w:color w:val="auto"/>
                <w:szCs w:val="21"/>
                <w:highlight w:val="none"/>
              </w:rPr>
              <w:t>感知模块</w:t>
            </w:r>
          </w:p>
          <w:p>
            <w:pPr>
              <w:widowControl/>
              <w:rPr>
                <w:rFonts w:hint="eastAsia" w:ascii="宋体" w:hAnsi="宋体" w:cs="宋体"/>
                <w:color w:val="auto"/>
                <w:szCs w:val="21"/>
                <w:highlight w:val="none"/>
              </w:rPr>
            </w:pPr>
            <w:r>
              <w:rPr>
                <w:rFonts w:hint="eastAsia" w:ascii="宋体" w:hAnsi="宋体" w:cs="宋体"/>
                <w:color w:val="auto"/>
                <w:szCs w:val="21"/>
                <w:highlight w:val="none"/>
              </w:rPr>
              <w:t>Ⅲ型</w:t>
            </w:r>
          </w:p>
        </w:tc>
        <w:tc>
          <w:tcPr>
            <w:tcW w:w="3892" w:type="pct"/>
            <w:shd w:val="clear" w:color="auto" w:fill="auto"/>
            <w:tcMar>
              <w:top w:w="96" w:type="dxa"/>
              <w:left w:w="96" w:type="dxa"/>
              <w:bottom w:w="96" w:type="dxa"/>
              <w:right w:w="96" w:type="dxa"/>
            </w:tcMar>
            <w:vAlign w:val="center"/>
          </w:tcPr>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1.SOC：Orin nano</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2.核心：6 核 Arm® Cortex® A78AE v8.2 64 位 CPU</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3.RAM+ROM：1.5MB L2 + 4MB L3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26" w:hRule="atLeast"/>
          <w:tblHeader/>
        </w:trPr>
        <w:tc>
          <w:tcPr>
            <w:tcW w:w="1107" w:type="pct"/>
            <w:shd w:val="clear" w:color="auto" w:fill="auto"/>
            <w:tcMar>
              <w:top w:w="96" w:type="dxa"/>
              <w:left w:w="96" w:type="dxa"/>
              <w:bottom w:w="96" w:type="dxa"/>
              <w:right w:w="96" w:type="dxa"/>
            </w:tcMar>
            <w:vAlign w:val="center"/>
          </w:tcPr>
          <w:p>
            <w:pPr>
              <w:widowControl/>
              <w:rPr>
                <w:rFonts w:hint="eastAsia" w:ascii="宋体" w:hAnsi="宋体" w:cs="宋体"/>
                <w:color w:val="auto"/>
                <w:szCs w:val="21"/>
                <w:highlight w:val="none"/>
              </w:rPr>
            </w:pPr>
            <w:r>
              <w:rPr>
                <w:rFonts w:hint="eastAsia" w:ascii="宋体" w:hAnsi="宋体" w:cs="宋体"/>
                <w:color w:val="auto"/>
                <w:szCs w:val="21"/>
                <w:highlight w:val="none"/>
              </w:rPr>
              <w:t>关节Ⅰ型</w:t>
            </w:r>
          </w:p>
        </w:tc>
        <w:tc>
          <w:tcPr>
            <w:tcW w:w="3892" w:type="pct"/>
            <w:shd w:val="clear" w:color="auto" w:fill="auto"/>
            <w:tcMar>
              <w:top w:w="96" w:type="dxa"/>
              <w:left w:w="96" w:type="dxa"/>
              <w:bottom w:w="96" w:type="dxa"/>
              <w:right w:w="96" w:type="dxa"/>
            </w:tcMar>
            <w:vAlign w:val="center"/>
          </w:tcPr>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1.12+4 Dof</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2.减速器类型：行星减速器</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3.峰值扭矩：48 Nm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26" w:hRule="atLeast"/>
          <w:tblHeader/>
        </w:trPr>
        <w:tc>
          <w:tcPr>
            <w:tcW w:w="1107" w:type="pct"/>
            <w:shd w:val="clear" w:color="auto" w:fill="auto"/>
            <w:tcMar>
              <w:top w:w="96" w:type="dxa"/>
              <w:left w:w="96" w:type="dxa"/>
              <w:bottom w:w="96" w:type="dxa"/>
              <w:right w:w="96" w:type="dxa"/>
            </w:tcMar>
            <w:vAlign w:val="center"/>
          </w:tcPr>
          <w:p>
            <w:pPr>
              <w:widowControl/>
              <w:rPr>
                <w:rFonts w:hint="eastAsia" w:ascii="宋体" w:hAnsi="宋体" w:cs="宋体"/>
                <w:color w:val="auto"/>
                <w:szCs w:val="21"/>
                <w:highlight w:val="none"/>
              </w:rPr>
            </w:pPr>
            <w:r>
              <w:rPr>
                <w:rFonts w:hint="eastAsia" w:ascii="宋体" w:hAnsi="宋体" w:cs="宋体"/>
                <w:color w:val="auto"/>
                <w:szCs w:val="21"/>
                <w:highlight w:val="none"/>
              </w:rPr>
              <w:t>关节Ⅱ型</w:t>
            </w:r>
          </w:p>
        </w:tc>
        <w:tc>
          <w:tcPr>
            <w:tcW w:w="3892" w:type="pct"/>
            <w:shd w:val="clear" w:color="auto" w:fill="auto"/>
            <w:tcMar>
              <w:top w:w="96" w:type="dxa"/>
              <w:left w:w="96" w:type="dxa"/>
              <w:bottom w:w="96" w:type="dxa"/>
              <w:right w:w="96" w:type="dxa"/>
            </w:tcMar>
            <w:vAlign w:val="center"/>
          </w:tcPr>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1.12+4 Dof</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2.减速器类型：行星减速器</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3.峰值扭矩：155 Nm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26" w:hRule="atLeast"/>
          <w:tblHeader/>
        </w:trPr>
        <w:tc>
          <w:tcPr>
            <w:tcW w:w="1107" w:type="pct"/>
            <w:shd w:val="clear" w:color="auto" w:fill="auto"/>
            <w:tcMar>
              <w:top w:w="96" w:type="dxa"/>
              <w:left w:w="96" w:type="dxa"/>
              <w:bottom w:w="96" w:type="dxa"/>
              <w:right w:w="96" w:type="dxa"/>
            </w:tcMar>
            <w:vAlign w:val="center"/>
          </w:tcPr>
          <w:p>
            <w:pPr>
              <w:widowControl/>
              <w:rPr>
                <w:rFonts w:hint="eastAsia" w:ascii="宋体" w:hAnsi="宋体" w:cs="宋体"/>
                <w:color w:val="auto"/>
                <w:szCs w:val="21"/>
                <w:highlight w:val="none"/>
              </w:rPr>
            </w:pPr>
            <w:r>
              <w:rPr>
                <w:rFonts w:hint="eastAsia" w:ascii="宋体" w:hAnsi="宋体" w:cs="宋体"/>
                <w:color w:val="auto"/>
                <w:szCs w:val="21"/>
                <w:highlight w:val="none"/>
              </w:rPr>
              <w:t>关节Ⅲ型</w:t>
            </w:r>
          </w:p>
        </w:tc>
        <w:tc>
          <w:tcPr>
            <w:tcW w:w="3892" w:type="pct"/>
            <w:shd w:val="clear" w:color="auto" w:fill="auto"/>
            <w:tcMar>
              <w:top w:w="96" w:type="dxa"/>
              <w:left w:w="96" w:type="dxa"/>
              <w:bottom w:w="96" w:type="dxa"/>
              <w:right w:w="96" w:type="dxa"/>
            </w:tcMar>
            <w:vAlign w:val="center"/>
          </w:tcPr>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1.18 Dof</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2.减速器类型：行星减速器</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3.峰值扭矩：75 Nm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26" w:hRule="atLeast"/>
          <w:tblHeader/>
        </w:trPr>
        <w:tc>
          <w:tcPr>
            <w:tcW w:w="1107" w:type="pct"/>
            <w:shd w:val="clear" w:color="auto" w:fill="auto"/>
            <w:tcMar>
              <w:top w:w="96" w:type="dxa"/>
              <w:left w:w="96" w:type="dxa"/>
              <w:bottom w:w="96" w:type="dxa"/>
              <w:right w:w="96" w:type="dxa"/>
            </w:tcMar>
            <w:vAlign w:val="center"/>
          </w:tcPr>
          <w:p>
            <w:pPr>
              <w:widowControl/>
              <w:rPr>
                <w:rFonts w:hint="eastAsia" w:ascii="宋体" w:hAnsi="宋体" w:cs="宋体"/>
                <w:color w:val="auto"/>
                <w:szCs w:val="21"/>
                <w:highlight w:val="none"/>
              </w:rPr>
            </w:pPr>
            <w:r>
              <w:rPr>
                <w:rFonts w:hint="eastAsia" w:ascii="宋体" w:hAnsi="宋体" w:cs="宋体"/>
                <w:color w:val="auto"/>
                <w:szCs w:val="21"/>
                <w:highlight w:val="none"/>
              </w:rPr>
              <w:t>关节Ⅳ型</w:t>
            </w:r>
          </w:p>
        </w:tc>
        <w:tc>
          <w:tcPr>
            <w:tcW w:w="3892" w:type="pct"/>
            <w:shd w:val="clear" w:color="auto" w:fill="auto"/>
            <w:tcMar>
              <w:top w:w="96" w:type="dxa"/>
              <w:left w:w="96" w:type="dxa"/>
              <w:bottom w:w="96" w:type="dxa"/>
              <w:right w:w="96" w:type="dxa"/>
            </w:tcMar>
            <w:vAlign w:val="center"/>
          </w:tcPr>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1.18 Dof</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2.减速器类型：行星减速器</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3.峰值扭矩：360 Nm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26" w:hRule="atLeast"/>
          <w:tblHeader/>
        </w:trPr>
        <w:tc>
          <w:tcPr>
            <w:tcW w:w="1107" w:type="pct"/>
            <w:shd w:val="clear" w:color="auto" w:fill="auto"/>
            <w:tcMar>
              <w:top w:w="96" w:type="dxa"/>
              <w:left w:w="96" w:type="dxa"/>
              <w:bottom w:w="96" w:type="dxa"/>
              <w:right w:w="96" w:type="dxa"/>
            </w:tcMar>
            <w:vAlign w:val="center"/>
          </w:tcPr>
          <w:p>
            <w:pPr>
              <w:widowControl/>
              <w:rPr>
                <w:rFonts w:hint="eastAsia" w:ascii="宋体" w:hAnsi="宋体" w:cs="宋体"/>
                <w:color w:val="auto"/>
                <w:szCs w:val="21"/>
                <w:highlight w:val="none"/>
              </w:rPr>
            </w:pPr>
            <w:r>
              <w:rPr>
                <w:rFonts w:hint="eastAsia" w:ascii="宋体" w:hAnsi="宋体" w:cs="宋体"/>
                <w:color w:val="auto"/>
                <w:szCs w:val="21"/>
                <w:highlight w:val="none"/>
              </w:rPr>
              <w:t>关节Ⅴ型</w:t>
            </w:r>
          </w:p>
        </w:tc>
        <w:tc>
          <w:tcPr>
            <w:tcW w:w="3892" w:type="pct"/>
            <w:shd w:val="clear" w:color="auto" w:fill="auto"/>
            <w:tcMar>
              <w:top w:w="96" w:type="dxa"/>
              <w:left w:w="96" w:type="dxa"/>
              <w:bottom w:w="96" w:type="dxa"/>
              <w:right w:w="96" w:type="dxa"/>
            </w:tcMar>
            <w:vAlign w:val="center"/>
          </w:tcPr>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1.12+4 Dof</w:t>
            </w:r>
          </w:p>
          <w:p>
            <w:pPr>
              <w:widowControl/>
              <w:jc w:val="left"/>
              <w:rPr>
                <w:rFonts w:hint="eastAsia" w:ascii="宋体" w:hAnsi="宋体" w:cs="宋体"/>
                <w:color w:val="auto"/>
                <w:szCs w:val="21"/>
                <w:highlight w:val="none"/>
              </w:rPr>
            </w:pPr>
            <w:bookmarkStart w:id="4" w:name="OLE_LINK2"/>
            <w:r>
              <w:rPr>
                <w:rFonts w:hint="eastAsia" w:ascii="宋体" w:hAnsi="宋体" w:cs="宋体"/>
                <w:color w:val="auto"/>
                <w:szCs w:val="21"/>
                <w:highlight w:val="none"/>
              </w:rPr>
              <w:t>2.减速器类型：行星减速器</w:t>
            </w:r>
          </w:p>
          <w:bookmarkEnd w:id="4"/>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3.峰值扭矩：300 Nm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26" w:hRule="atLeast"/>
          <w:tblHeader/>
        </w:trPr>
        <w:tc>
          <w:tcPr>
            <w:tcW w:w="1107" w:type="pct"/>
            <w:shd w:val="clear" w:color="auto" w:fill="auto"/>
            <w:tcMar>
              <w:top w:w="96" w:type="dxa"/>
              <w:left w:w="96" w:type="dxa"/>
              <w:bottom w:w="96" w:type="dxa"/>
              <w:right w:w="96" w:type="dxa"/>
            </w:tcMar>
            <w:vAlign w:val="center"/>
          </w:tcPr>
          <w:p>
            <w:pPr>
              <w:widowControl/>
              <w:rPr>
                <w:rFonts w:hint="eastAsia" w:ascii="宋体" w:hAnsi="宋体" w:cs="宋体"/>
                <w:color w:val="auto"/>
                <w:szCs w:val="21"/>
                <w:highlight w:val="none"/>
              </w:rPr>
            </w:pPr>
            <w:r>
              <w:rPr>
                <w:rFonts w:hint="eastAsia" w:ascii="宋体" w:hAnsi="宋体" w:cs="宋体"/>
                <w:color w:val="auto"/>
                <w:szCs w:val="21"/>
                <w:highlight w:val="none"/>
              </w:rPr>
              <w:t>激光雷达</w:t>
            </w:r>
          </w:p>
        </w:tc>
        <w:tc>
          <w:tcPr>
            <w:tcW w:w="3892" w:type="pct"/>
            <w:shd w:val="clear" w:color="auto" w:fill="auto"/>
            <w:tcMar>
              <w:top w:w="96" w:type="dxa"/>
              <w:left w:w="96" w:type="dxa"/>
              <w:bottom w:w="96" w:type="dxa"/>
              <w:right w:w="96" w:type="dxa"/>
            </w:tcMar>
            <w:vAlign w:val="center"/>
          </w:tcPr>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1.</w:t>
            </w:r>
            <w:r>
              <w:rPr>
                <w:rFonts w:ascii="宋体" w:hAnsi="宋体" w:cs="宋体"/>
                <w:color w:val="auto"/>
                <w:szCs w:val="21"/>
                <w:highlight w:val="none"/>
              </w:rPr>
              <w:t>线数</w:t>
            </w:r>
            <w:r>
              <w:rPr>
                <w:rFonts w:hint="eastAsia" w:ascii="宋体" w:hAnsi="宋体" w:cs="宋体"/>
                <w:color w:val="auto"/>
                <w:szCs w:val="21"/>
                <w:highlight w:val="none"/>
              </w:rPr>
              <w:t>:</w:t>
            </w:r>
            <w:r>
              <w:rPr>
                <w:rFonts w:ascii="宋体" w:hAnsi="宋体" w:cs="宋体"/>
                <w:color w:val="auto"/>
                <w:szCs w:val="21"/>
                <w:highlight w:val="none"/>
              </w:rPr>
              <w:t>96</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2.</w:t>
            </w:r>
            <w:r>
              <w:rPr>
                <w:rFonts w:ascii="宋体" w:hAnsi="宋体" w:cs="宋体"/>
                <w:color w:val="auto"/>
                <w:szCs w:val="21"/>
                <w:highlight w:val="none"/>
              </w:rPr>
              <w:t>水平视场角</w:t>
            </w:r>
            <w:r>
              <w:rPr>
                <w:rFonts w:hint="eastAsia" w:ascii="宋体" w:hAnsi="宋体" w:cs="宋体"/>
                <w:color w:val="auto"/>
                <w:szCs w:val="21"/>
                <w:highlight w:val="none"/>
              </w:rPr>
              <w:t>:</w:t>
            </w:r>
            <w:r>
              <w:rPr>
                <w:rFonts w:ascii="宋体" w:hAnsi="宋体" w:cs="宋体"/>
                <w:color w:val="auto"/>
                <w:szCs w:val="21"/>
                <w:highlight w:val="none"/>
              </w:rPr>
              <w:t>0~360°</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3.</w:t>
            </w:r>
            <w:r>
              <w:rPr>
                <w:rFonts w:ascii="宋体" w:hAnsi="宋体" w:cs="宋体"/>
                <w:color w:val="auto"/>
                <w:szCs w:val="21"/>
                <w:highlight w:val="none"/>
              </w:rPr>
              <w:t>激光波长</w:t>
            </w:r>
            <w:r>
              <w:rPr>
                <w:rFonts w:hint="eastAsia" w:ascii="宋体" w:hAnsi="宋体" w:cs="宋体"/>
                <w:color w:val="auto"/>
                <w:szCs w:val="21"/>
                <w:highlight w:val="none"/>
              </w:rPr>
              <w:t>:</w:t>
            </w:r>
            <w:r>
              <w:rPr>
                <w:rFonts w:ascii="宋体" w:hAnsi="宋体" w:cs="宋体"/>
                <w:color w:val="auto"/>
                <w:szCs w:val="21"/>
                <w:highlight w:val="none"/>
              </w:rPr>
              <w:t>940 nm</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4.</w:t>
            </w:r>
            <w:r>
              <w:rPr>
                <w:rFonts w:ascii="宋体" w:hAnsi="宋体" w:cs="宋体"/>
                <w:color w:val="auto"/>
                <w:szCs w:val="21"/>
                <w:highlight w:val="none"/>
              </w:rPr>
              <w:t>垂直视场角</w:t>
            </w:r>
            <w:r>
              <w:rPr>
                <w:rFonts w:hint="eastAsia" w:ascii="宋体" w:hAnsi="宋体" w:cs="宋体"/>
                <w:color w:val="auto"/>
                <w:szCs w:val="21"/>
                <w:highlight w:val="none"/>
              </w:rPr>
              <w:t>:</w:t>
            </w:r>
            <w:r>
              <w:rPr>
                <w:rFonts w:ascii="宋体" w:hAnsi="宋体" w:cs="宋体"/>
                <w:color w:val="auto"/>
                <w:szCs w:val="21"/>
                <w:highlight w:val="none"/>
              </w:rPr>
              <w:t>0~90°</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5.</w:t>
            </w:r>
            <w:r>
              <w:rPr>
                <w:rFonts w:ascii="宋体" w:hAnsi="宋体" w:cs="宋体"/>
                <w:color w:val="auto"/>
                <w:szCs w:val="21"/>
                <w:highlight w:val="none"/>
              </w:rPr>
              <w:t>激光安全等级</w:t>
            </w:r>
            <w:r>
              <w:rPr>
                <w:rFonts w:hint="eastAsia" w:ascii="宋体" w:hAnsi="宋体" w:cs="宋体"/>
                <w:color w:val="auto"/>
                <w:szCs w:val="21"/>
                <w:highlight w:val="none"/>
              </w:rPr>
              <w:t>:</w:t>
            </w:r>
            <w:r>
              <w:rPr>
                <w:rFonts w:ascii="宋体" w:hAnsi="宋体" w:cs="宋体"/>
                <w:color w:val="auto"/>
                <w:szCs w:val="21"/>
                <w:highlight w:val="none"/>
              </w:rPr>
              <w:t>Class1</w:t>
            </w:r>
            <w:r>
              <w:rPr>
                <w:rFonts w:hint="eastAsia" w:ascii="宋体" w:hAnsi="宋体" w:cs="宋体"/>
                <w:color w:val="auto"/>
                <w:szCs w:val="21"/>
                <w:highlight w:val="none"/>
              </w:rPr>
              <w:t>，</w:t>
            </w:r>
            <w:r>
              <w:rPr>
                <w:rFonts w:ascii="宋体" w:hAnsi="宋体" w:cs="宋体"/>
                <w:color w:val="auto"/>
                <w:szCs w:val="21"/>
                <w:highlight w:val="none"/>
              </w:rPr>
              <w:t>人眼安全</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6.</w:t>
            </w:r>
            <w:r>
              <w:rPr>
                <w:rFonts w:ascii="宋体" w:hAnsi="宋体" w:cs="宋体"/>
                <w:color w:val="auto"/>
                <w:szCs w:val="21"/>
                <w:highlight w:val="none"/>
              </w:rPr>
              <w:t>水平角分辨率</w:t>
            </w:r>
            <w:r>
              <w:rPr>
                <w:rFonts w:hint="eastAsia" w:ascii="宋体" w:hAnsi="宋体" w:cs="宋体"/>
                <w:color w:val="auto"/>
                <w:szCs w:val="21"/>
                <w:highlight w:val="none"/>
              </w:rPr>
              <w:t>:</w:t>
            </w:r>
            <w:r>
              <w:rPr>
                <w:rFonts w:ascii="宋体" w:hAnsi="宋体" w:cs="宋体"/>
                <w:color w:val="auto"/>
                <w:szCs w:val="21"/>
                <w:highlight w:val="none"/>
              </w:rPr>
              <w:t>0.4</w:t>
            </w:r>
            <w:r>
              <w:rPr>
                <w:rFonts w:hint="eastAsia" w:ascii="宋体" w:hAnsi="宋体" w:cs="宋体"/>
                <w:color w:val="auto"/>
                <w:szCs w:val="21"/>
                <w:highlight w:val="none"/>
              </w:rPr>
              <w:t>°</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7.</w:t>
            </w:r>
            <w:r>
              <w:rPr>
                <w:rFonts w:ascii="宋体" w:hAnsi="宋体" w:cs="宋体"/>
                <w:color w:val="auto"/>
                <w:szCs w:val="21"/>
                <w:highlight w:val="none"/>
              </w:rPr>
              <w:t>测距能力</w:t>
            </w:r>
            <w:r>
              <w:rPr>
                <w:rFonts w:hint="eastAsia" w:ascii="宋体" w:hAnsi="宋体" w:cs="宋体"/>
                <w:color w:val="auto"/>
                <w:szCs w:val="21"/>
                <w:highlight w:val="none"/>
              </w:rPr>
              <w:t>:</w:t>
            </w:r>
            <w:r>
              <w:rPr>
                <w:rFonts w:ascii="宋体" w:hAnsi="宋体" w:cs="宋体"/>
                <w:color w:val="auto"/>
                <w:szCs w:val="21"/>
                <w:highlight w:val="none"/>
              </w:rPr>
              <w:t>60m(30m@10%NIST)</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8.</w:t>
            </w:r>
            <w:r>
              <w:rPr>
                <w:rFonts w:ascii="宋体" w:hAnsi="宋体" w:cs="宋体"/>
                <w:color w:val="auto"/>
                <w:szCs w:val="21"/>
                <w:highlight w:val="none"/>
              </w:rPr>
              <w:t>垂直角分辨率</w:t>
            </w:r>
            <w:r>
              <w:rPr>
                <w:rFonts w:hint="eastAsia" w:ascii="宋体" w:hAnsi="宋体" w:cs="宋体"/>
                <w:color w:val="auto"/>
                <w:szCs w:val="21"/>
                <w:highlight w:val="none"/>
              </w:rPr>
              <w:t>:</w:t>
            </w:r>
            <w:r>
              <w:rPr>
                <w:rFonts w:ascii="宋体" w:hAnsi="宋体" w:cs="宋体"/>
                <w:color w:val="auto"/>
                <w:szCs w:val="21"/>
                <w:highlight w:val="none"/>
              </w:rPr>
              <w:t>0.947°</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9.</w:t>
            </w:r>
            <w:r>
              <w:rPr>
                <w:rFonts w:ascii="宋体" w:hAnsi="宋体" w:cs="宋体"/>
                <w:color w:val="auto"/>
                <w:szCs w:val="21"/>
                <w:highlight w:val="none"/>
              </w:rPr>
              <w:t>盲区</w:t>
            </w:r>
            <w:r>
              <w:rPr>
                <w:rFonts w:hint="eastAsia" w:ascii="宋体" w:hAnsi="宋体" w:cs="宋体"/>
                <w:color w:val="auto"/>
                <w:szCs w:val="21"/>
                <w:highlight w:val="none"/>
              </w:rPr>
              <w:t>:</w:t>
            </w:r>
            <w:r>
              <w:rPr>
                <w:rFonts w:ascii="宋体" w:hAnsi="宋体" w:cs="宋体"/>
                <w:color w:val="auto"/>
                <w:szCs w:val="21"/>
                <w:highlight w:val="none"/>
              </w:rPr>
              <w:t>0.1m</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10.</w:t>
            </w:r>
            <w:r>
              <w:rPr>
                <w:rFonts w:ascii="宋体" w:hAnsi="宋体" w:cs="宋体"/>
                <w:color w:val="auto"/>
                <w:szCs w:val="21"/>
                <w:highlight w:val="none"/>
              </w:rPr>
              <w:t>精度(典型值)</w:t>
            </w:r>
            <w:r>
              <w:rPr>
                <w:rFonts w:hint="eastAsia" w:ascii="宋体" w:hAnsi="宋体" w:cs="宋体"/>
                <w:color w:val="auto"/>
                <w:szCs w:val="21"/>
                <w:highlight w:val="none"/>
              </w:rPr>
              <w:t>:</w:t>
            </w:r>
            <w:r>
              <w:rPr>
                <w:rFonts w:ascii="宋体" w:hAnsi="宋体" w:cs="宋体"/>
                <w:color w:val="auto"/>
                <w:szCs w:val="21"/>
                <w:highlight w:val="none"/>
              </w:rPr>
              <w:t>³1.5cm(1σ)</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11.</w:t>
            </w:r>
            <w:r>
              <w:rPr>
                <w:rFonts w:ascii="宋体" w:hAnsi="宋体" w:cs="宋体"/>
                <w:color w:val="auto"/>
                <w:szCs w:val="21"/>
                <w:highlight w:val="none"/>
              </w:rPr>
              <w:t>转速</w:t>
            </w:r>
            <w:r>
              <w:rPr>
                <w:rFonts w:hint="eastAsia" w:ascii="宋体" w:hAnsi="宋体" w:cs="宋体"/>
                <w:color w:val="auto"/>
                <w:szCs w:val="21"/>
                <w:highlight w:val="none"/>
              </w:rPr>
              <w:t>:</w:t>
            </w:r>
            <w:r>
              <w:rPr>
                <w:rFonts w:ascii="宋体" w:hAnsi="宋体" w:cs="宋体"/>
                <w:color w:val="auto"/>
                <w:szCs w:val="21"/>
                <w:highlight w:val="none"/>
              </w:rPr>
              <w:t>600</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12.</w:t>
            </w:r>
            <w:r>
              <w:rPr>
                <w:rFonts w:ascii="宋体" w:hAnsi="宋体" w:cs="宋体"/>
                <w:color w:val="auto"/>
                <w:szCs w:val="21"/>
                <w:highlight w:val="none"/>
              </w:rPr>
              <w:t>帧率</w:t>
            </w:r>
            <w:r>
              <w:rPr>
                <w:rFonts w:hint="eastAsia" w:ascii="宋体" w:hAnsi="宋体" w:cs="宋体"/>
                <w:color w:val="auto"/>
                <w:szCs w:val="21"/>
                <w:highlight w:val="none"/>
              </w:rPr>
              <w:t>:</w:t>
            </w:r>
            <w:r>
              <w:rPr>
                <w:rFonts w:ascii="宋体" w:hAnsi="宋体" w:cs="宋体"/>
                <w:color w:val="auto"/>
                <w:szCs w:val="21"/>
                <w:highlight w:val="none"/>
              </w:rPr>
              <w:t>10Hz</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13.</w:t>
            </w:r>
            <w:r>
              <w:rPr>
                <w:rFonts w:ascii="宋体" w:hAnsi="宋体" w:cs="宋体"/>
                <w:color w:val="auto"/>
                <w:szCs w:val="21"/>
                <w:highlight w:val="none"/>
              </w:rPr>
              <w:t>出点数</w:t>
            </w:r>
            <w:r>
              <w:rPr>
                <w:rFonts w:hint="eastAsia" w:ascii="宋体" w:hAnsi="宋体" w:cs="宋体"/>
                <w:color w:val="auto"/>
                <w:szCs w:val="21"/>
                <w:highlight w:val="none"/>
              </w:rPr>
              <w:t>:</w:t>
            </w:r>
            <w:r>
              <w:rPr>
                <w:rFonts w:ascii="宋体" w:hAnsi="宋体" w:cs="宋体"/>
                <w:color w:val="auto"/>
                <w:szCs w:val="21"/>
                <w:highlight w:val="none"/>
              </w:rPr>
              <w:t>856,320pts/s(单回波模式),1,712,640pts/s(双回波模式)</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14.</w:t>
            </w:r>
            <w:r>
              <w:rPr>
                <w:rFonts w:ascii="宋体" w:hAnsi="宋体" w:cs="宋体"/>
                <w:color w:val="auto"/>
                <w:szCs w:val="21"/>
                <w:highlight w:val="none"/>
              </w:rPr>
              <w:t>以太网传输速率</w:t>
            </w:r>
            <w:r>
              <w:rPr>
                <w:rFonts w:hint="eastAsia" w:ascii="宋体" w:hAnsi="宋体" w:cs="宋体"/>
                <w:color w:val="auto"/>
                <w:szCs w:val="21"/>
                <w:highlight w:val="none"/>
              </w:rPr>
              <w:t>:</w:t>
            </w:r>
            <w:r>
              <w:rPr>
                <w:rFonts w:ascii="宋体" w:hAnsi="宋体" w:cs="宋体"/>
                <w:color w:val="auto"/>
                <w:szCs w:val="21"/>
                <w:highlight w:val="none"/>
              </w:rPr>
              <w:t>100Mbps</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15.</w:t>
            </w:r>
            <w:r>
              <w:rPr>
                <w:rFonts w:ascii="宋体" w:hAnsi="宋体" w:cs="宋体"/>
                <w:color w:val="auto"/>
                <w:szCs w:val="21"/>
                <w:highlight w:val="none"/>
              </w:rPr>
              <w:t>输出数据协议</w:t>
            </w:r>
            <w:r>
              <w:rPr>
                <w:rFonts w:hint="eastAsia" w:ascii="宋体" w:hAnsi="宋体" w:cs="宋体"/>
                <w:color w:val="auto"/>
                <w:szCs w:val="21"/>
                <w:highlight w:val="none"/>
              </w:rPr>
              <w:t>:</w:t>
            </w:r>
            <w:r>
              <w:rPr>
                <w:rFonts w:ascii="宋体" w:hAnsi="宋体" w:cs="宋体"/>
                <w:color w:val="auto"/>
                <w:szCs w:val="21"/>
                <w:highlight w:val="none"/>
              </w:rPr>
              <w:t>UDPPacketsOverEthernet</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16.</w:t>
            </w:r>
            <w:r>
              <w:rPr>
                <w:rFonts w:ascii="宋体" w:hAnsi="宋体" w:cs="宋体"/>
                <w:color w:val="auto"/>
                <w:szCs w:val="21"/>
                <w:highlight w:val="none"/>
              </w:rPr>
              <w:t>激光雷达数据</w:t>
            </w:r>
            <w:r>
              <w:rPr>
                <w:rFonts w:hint="eastAsia" w:ascii="宋体" w:hAnsi="宋体" w:cs="宋体"/>
                <w:color w:val="auto"/>
                <w:szCs w:val="21"/>
                <w:highlight w:val="none"/>
              </w:rPr>
              <w:t>：</w:t>
            </w:r>
            <w:r>
              <w:rPr>
                <w:rFonts w:ascii="宋体" w:hAnsi="宋体" w:cs="宋体"/>
                <w:color w:val="auto"/>
                <w:szCs w:val="21"/>
                <w:highlight w:val="none"/>
              </w:rPr>
              <w:t>包内容距离、反射强度、时间戳等</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17.</w:t>
            </w:r>
            <w:r>
              <w:rPr>
                <w:rFonts w:ascii="宋体" w:hAnsi="宋体" w:cs="宋体"/>
                <w:color w:val="auto"/>
                <w:szCs w:val="21"/>
                <w:highlight w:val="none"/>
              </w:rPr>
              <w:t>工作电压</w:t>
            </w:r>
            <w:r>
              <w:rPr>
                <w:rFonts w:hint="eastAsia" w:ascii="宋体" w:hAnsi="宋体" w:cs="宋体"/>
                <w:color w:val="auto"/>
                <w:szCs w:val="21"/>
                <w:highlight w:val="none"/>
              </w:rPr>
              <w:t>:</w:t>
            </w:r>
            <w:r>
              <w:rPr>
                <w:rFonts w:ascii="宋体" w:hAnsi="宋体" w:cs="宋体"/>
                <w:color w:val="auto"/>
                <w:szCs w:val="21"/>
                <w:highlight w:val="none"/>
              </w:rPr>
              <w:t>9V-32V</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18.</w:t>
            </w:r>
            <w:r>
              <w:rPr>
                <w:rFonts w:ascii="宋体" w:hAnsi="宋体" w:cs="宋体"/>
                <w:color w:val="auto"/>
                <w:szCs w:val="21"/>
                <w:highlight w:val="none"/>
              </w:rPr>
              <w:t>尺寸直径</w:t>
            </w:r>
            <w:r>
              <w:rPr>
                <w:rFonts w:hint="eastAsia" w:ascii="宋体" w:hAnsi="宋体" w:cs="宋体"/>
                <w:color w:val="auto"/>
                <w:szCs w:val="21"/>
                <w:highlight w:val="none"/>
              </w:rPr>
              <w:t>:</w:t>
            </w:r>
            <w:r>
              <w:rPr>
                <w:rFonts w:ascii="宋体" w:hAnsi="宋体" w:cs="宋体"/>
                <w:color w:val="auto"/>
                <w:szCs w:val="21"/>
                <w:highlight w:val="none"/>
              </w:rPr>
              <w:t>60mm×高63mm</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19.</w:t>
            </w:r>
            <w:r>
              <w:rPr>
                <w:rFonts w:ascii="宋体" w:hAnsi="宋体" w:cs="宋体"/>
                <w:color w:val="auto"/>
                <w:szCs w:val="21"/>
                <w:highlight w:val="none"/>
              </w:rPr>
              <w:t>产品功率</w:t>
            </w:r>
            <w:r>
              <w:rPr>
                <w:rFonts w:hint="eastAsia" w:ascii="微软雅黑" w:hAnsi="微软雅黑" w:eastAsia="微软雅黑" w:cs="微软雅黑"/>
                <w:color w:val="auto"/>
                <w:szCs w:val="21"/>
                <w:highlight w:val="none"/>
              </w:rPr>
              <w:t>:</w:t>
            </w:r>
            <w:r>
              <w:rPr>
                <w:rFonts w:ascii="宋体" w:hAnsi="宋体" w:cs="宋体"/>
                <w:color w:val="auto"/>
                <w:szCs w:val="21"/>
                <w:highlight w:val="none"/>
              </w:rPr>
              <w:t>8W(典型值)</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20.</w:t>
            </w:r>
            <w:r>
              <w:rPr>
                <w:rFonts w:ascii="宋体" w:hAnsi="宋体" w:cs="宋体"/>
                <w:color w:val="auto"/>
                <w:szCs w:val="21"/>
                <w:highlight w:val="none"/>
              </w:rPr>
              <w:t>工作温度</w:t>
            </w:r>
            <w:r>
              <w:rPr>
                <w:rFonts w:hint="eastAsia" w:ascii="微软雅黑" w:hAnsi="微软雅黑" w:eastAsia="微软雅黑" w:cs="微软雅黑"/>
                <w:color w:val="auto"/>
                <w:szCs w:val="21"/>
                <w:highlight w:val="none"/>
              </w:rPr>
              <w:t>:</w:t>
            </w:r>
            <w:r>
              <w:rPr>
                <w:rFonts w:ascii="宋体" w:hAnsi="宋体" w:cs="宋体"/>
                <w:color w:val="auto"/>
                <w:szCs w:val="21"/>
                <w:highlight w:val="none"/>
              </w:rPr>
              <w:t>-40℃~+60℃</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21.</w:t>
            </w:r>
            <w:r>
              <w:rPr>
                <w:rFonts w:ascii="宋体" w:hAnsi="宋体" w:cs="宋体"/>
                <w:color w:val="auto"/>
                <w:szCs w:val="21"/>
                <w:highlight w:val="none"/>
              </w:rPr>
              <w:t>重量</w:t>
            </w:r>
            <w:r>
              <w:rPr>
                <w:rFonts w:hint="eastAsia" w:ascii="宋体" w:hAnsi="宋体" w:cs="宋体"/>
                <w:color w:val="auto"/>
                <w:szCs w:val="21"/>
                <w:highlight w:val="none"/>
              </w:rPr>
              <w:t>：</w:t>
            </w:r>
            <w:r>
              <w:rPr>
                <w:rFonts w:ascii="宋体" w:hAnsi="宋体" w:cs="宋体"/>
                <w:color w:val="auto"/>
                <w:szCs w:val="21"/>
                <w:highlight w:val="none"/>
              </w:rPr>
              <w:t>230g±20g(激光雷达本体)</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22.</w:t>
            </w:r>
            <w:r>
              <w:rPr>
                <w:rFonts w:ascii="宋体" w:hAnsi="宋体" w:cs="宋体"/>
                <w:color w:val="auto"/>
                <w:szCs w:val="21"/>
                <w:highlight w:val="none"/>
              </w:rPr>
              <w:t>存储温度</w:t>
            </w:r>
            <w:r>
              <w:rPr>
                <w:rFonts w:hint="eastAsia" w:ascii="宋体" w:hAnsi="宋体" w:cs="宋体"/>
                <w:color w:val="auto"/>
                <w:szCs w:val="21"/>
                <w:highlight w:val="none"/>
              </w:rPr>
              <w:t>:</w:t>
            </w:r>
            <w:r>
              <w:rPr>
                <w:rFonts w:ascii="宋体" w:hAnsi="宋体" w:cs="宋体"/>
                <w:color w:val="auto"/>
                <w:szCs w:val="21"/>
                <w:highlight w:val="none"/>
              </w:rPr>
              <w:t>-40℃~+85℃</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23.</w:t>
            </w:r>
            <w:r>
              <w:rPr>
                <w:rFonts w:ascii="宋体" w:hAnsi="宋体" w:cs="宋体"/>
                <w:color w:val="auto"/>
                <w:szCs w:val="21"/>
                <w:highlight w:val="none"/>
              </w:rPr>
              <w:t>时间同步</w:t>
            </w:r>
            <w:r>
              <w:rPr>
                <w:rFonts w:hint="eastAsia" w:ascii="宋体" w:hAnsi="宋体" w:cs="宋体"/>
                <w:color w:val="auto"/>
                <w:szCs w:val="21"/>
                <w:highlight w:val="none"/>
              </w:rPr>
              <w:t>：</w:t>
            </w:r>
            <w:r>
              <w:rPr>
                <w:rFonts w:ascii="宋体" w:hAnsi="宋体" w:cs="宋体"/>
                <w:color w:val="auto"/>
                <w:szCs w:val="21"/>
                <w:highlight w:val="none"/>
              </w:rPr>
              <w:t>GPS，PTP&amp;gPTP</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24.</w:t>
            </w:r>
            <w:r>
              <w:rPr>
                <w:rFonts w:ascii="宋体" w:hAnsi="宋体" w:cs="宋体"/>
                <w:color w:val="auto"/>
                <w:szCs w:val="21"/>
                <w:highlight w:val="none"/>
              </w:rPr>
              <w:t>防护等级</w:t>
            </w:r>
            <w:r>
              <w:rPr>
                <w:rFonts w:hint="eastAsia" w:ascii="宋体" w:hAnsi="宋体" w:cs="宋体"/>
                <w:color w:val="auto"/>
                <w:szCs w:val="21"/>
                <w:highlight w:val="none"/>
              </w:rPr>
              <w:t>:</w:t>
            </w:r>
            <w:r>
              <w:rPr>
                <w:rFonts w:ascii="宋体" w:hAnsi="宋体" w:cs="宋体"/>
                <w:color w:val="auto"/>
                <w:szCs w:val="21"/>
                <w:highlight w:val="none"/>
              </w:rPr>
              <w:t>IP67/IP6K9K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26" w:hRule="atLeast"/>
          <w:tblHeader/>
        </w:trPr>
        <w:tc>
          <w:tcPr>
            <w:tcW w:w="1107" w:type="pct"/>
            <w:shd w:val="clear" w:color="auto" w:fill="auto"/>
            <w:tcMar>
              <w:top w:w="96" w:type="dxa"/>
              <w:left w:w="96" w:type="dxa"/>
              <w:bottom w:w="96" w:type="dxa"/>
              <w:right w:w="96" w:type="dxa"/>
            </w:tcMar>
            <w:vAlign w:val="center"/>
          </w:tcPr>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电池Ⅰ型</w:t>
            </w:r>
          </w:p>
        </w:tc>
        <w:tc>
          <w:tcPr>
            <w:tcW w:w="3892" w:type="pct"/>
            <w:shd w:val="clear" w:color="auto" w:fill="auto"/>
            <w:tcMar>
              <w:top w:w="96" w:type="dxa"/>
              <w:left w:w="96" w:type="dxa"/>
              <w:bottom w:w="96" w:type="dxa"/>
              <w:right w:w="96" w:type="dxa"/>
            </w:tcMar>
            <w:vAlign w:val="center"/>
          </w:tcPr>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1.电池容量≥4Ah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26" w:hRule="atLeast"/>
          <w:tblHeader/>
        </w:trPr>
        <w:tc>
          <w:tcPr>
            <w:tcW w:w="1107" w:type="pct"/>
            <w:tcBorders>
              <w:bottom w:val="single" w:color="auto" w:sz="4" w:space="0"/>
            </w:tcBorders>
            <w:shd w:val="clear" w:color="auto" w:fill="auto"/>
            <w:tcMar>
              <w:top w:w="96" w:type="dxa"/>
              <w:left w:w="96" w:type="dxa"/>
              <w:bottom w:w="96" w:type="dxa"/>
              <w:right w:w="96" w:type="dxa"/>
            </w:tcMar>
            <w:vAlign w:val="center"/>
          </w:tcPr>
          <w:p>
            <w:pPr>
              <w:widowControl/>
              <w:rPr>
                <w:rFonts w:hint="eastAsia" w:ascii="宋体" w:hAnsi="宋体" w:cs="宋体"/>
                <w:color w:val="auto"/>
                <w:szCs w:val="21"/>
                <w:highlight w:val="none"/>
              </w:rPr>
            </w:pPr>
            <w:r>
              <w:rPr>
                <w:rFonts w:hint="eastAsia" w:ascii="宋体" w:hAnsi="宋体" w:cs="宋体"/>
                <w:color w:val="auto"/>
                <w:szCs w:val="21"/>
                <w:highlight w:val="none"/>
              </w:rPr>
              <w:t>电池Ⅱ型</w:t>
            </w:r>
          </w:p>
        </w:tc>
        <w:tc>
          <w:tcPr>
            <w:tcW w:w="3892" w:type="pct"/>
            <w:tcBorders>
              <w:bottom w:val="single" w:color="auto" w:sz="4" w:space="0"/>
            </w:tcBorders>
            <w:shd w:val="clear" w:color="auto" w:fill="auto"/>
            <w:tcMar>
              <w:top w:w="96" w:type="dxa"/>
              <w:left w:w="96" w:type="dxa"/>
              <w:bottom w:w="96" w:type="dxa"/>
              <w:right w:w="96" w:type="dxa"/>
            </w:tcMar>
            <w:vAlign w:val="center"/>
          </w:tcPr>
          <w:p>
            <w:pPr>
              <w:widowControl/>
              <w:jc w:val="left"/>
              <w:rPr>
                <w:rFonts w:hint="eastAsia" w:ascii="宋体" w:hAnsi="宋体" w:cs="宋体"/>
                <w:color w:val="auto"/>
                <w:szCs w:val="21"/>
                <w:highlight w:val="none"/>
              </w:rPr>
            </w:pPr>
            <w:bookmarkStart w:id="5" w:name="OLE_LINK3"/>
            <w:r>
              <w:rPr>
                <w:rFonts w:hint="eastAsia" w:ascii="宋体" w:hAnsi="宋体" w:cs="宋体"/>
                <w:color w:val="auto"/>
                <w:szCs w:val="21"/>
                <w:highlight w:val="none"/>
              </w:rPr>
              <w:t>1.电池容量≥18Ah</w:t>
            </w:r>
            <w:bookmarkEnd w:id="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26" w:hRule="atLeast"/>
          <w:tblHeader/>
        </w:trPr>
        <w:tc>
          <w:tcPr>
            <w:tcW w:w="1107"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pPr>
              <w:widowControl/>
              <w:rPr>
                <w:rFonts w:hint="eastAsia" w:ascii="宋体" w:hAnsi="宋体" w:cs="宋体"/>
                <w:color w:val="auto"/>
                <w:szCs w:val="21"/>
                <w:highlight w:val="none"/>
              </w:rPr>
            </w:pPr>
            <w:r>
              <w:rPr>
                <w:rFonts w:hint="eastAsia" w:ascii="宋体" w:hAnsi="宋体" w:cs="宋体"/>
                <w:color w:val="auto"/>
                <w:szCs w:val="21"/>
                <w:highlight w:val="none"/>
              </w:rPr>
              <w:t>电池Ⅲ型</w:t>
            </w:r>
          </w:p>
        </w:tc>
        <w:tc>
          <w:tcPr>
            <w:tcW w:w="3892"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1.电池容量≥60Ah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26" w:hRule="atLeast"/>
          <w:tblHeader/>
        </w:trPr>
        <w:tc>
          <w:tcPr>
            <w:tcW w:w="1107"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pPr>
              <w:widowControl/>
              <w:rPr>
                <w:rFonts w:hint="eastAsia" w:ascii="宋体" w:hAnsi="宋体" w:cs="宋体"/>
                <w:color w:val="auto"/>
                <w:szCs w:val="21"/>
                <w:highlight w:val="none"/>
              </w:rPr>
            </w:pPr>
            <w:r>
              <w:rPr>
                <w:rFonts w:hint="eastAsia" w:ascii="宋体" w:hAnsi="宋体" w:cs="宋体"/>
                <w:color w:val="auto"/>
                <w:szCs w:val="21"/>
                <w:highlight w:val="none"/>
              </w:rPr>
              <w:t>电池Ⅳ型</w:t>
            </w:r>
          </w:p>
        </w:tc>
        <w:tc>
          <w:tcPr>
            <w:tcW w:w="3892"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1.电池容量≥30Ah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26" w:hRule="atLeast"/>
          <w:tblHeader/>
        </w:trPr>
        <w:tc>
          <w:tcPr>
            <w:tcW w:w="1107" w:type="pct"/>
            <w:tcBorders>
              <w:top w:val="single" w:color="auto" w:sz="4" w:space="0"/>
            </w:tcBorders>
            <w:shd w:val="clear" w:color="auto" w:fill="auto"/>
            <w:tcMar>
              <w:top w:w="96" w:type="dxa"/>
              <w:left w:w="96" w:type="dxa"/>
              <w:bottom w:w="96" w:type="dxa"/>
              <w:right w:w="96" w:type="dxa"/>
            </w:tcMar>
            <w:vAlign w:val="center"/>
          </w:tcPr>
          <w:p>
            <w:pPr>
              <w:widowControl/>
              <w:rPr>
                <w:rFonts w:hint="eastAsia" w:ascii="宋体" w:hAnsi="宋体" w:cs="宋体"/>
                <w:color w:val="auto"/>
                <w:szCs w:val="21"/>
                <w:highlight w:val="none"/>
              </w:rPr>
            </w:pPr>
            <w:r>
              <w:rPr>
                <w:rFonts w:hint="eastAsia" w:ascii="宋体" w:hAnsi="宋体" w:cs="宋体"/>
                <w:color w:val="auto"/>
                <w:szCs w:val="21"/>
                <w:highlight w:val="none"/>
              </w:rPr>
              <w:t>电池Ⅴ型</w:t>
            </w:r>
          </w:p>
        </w:tc>
        <w:tc>
          <w:tcPr>
            <w:tcW w:w="3892" w:type="pct"/>
            <w:tcBorders>
              <w:top w:val="single" w:color="auto" w:sz="4" w:space="0"/>
            </w:tcBorders>
            <w:shd w:val="clear" w:color="auto" w:fill="auto"/>
            <w:tcMar>
              <w:top w:w="96" w:type="dxa"/>
              <w:left w:w="96" w:type="dxa"/>
              <w:bottom w:w="96" w:type="dxa"/>
              <w:right w:w="96" w:type="dxa"/>
            </w:tcMar>
            <w:vAlign w:val="center"/>
          </w:tcPr>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1.电池容量≥9Ah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26" w:hRule="atLeast"/>
          <w:tblHeader/>
        </w:trPr>
        <w:tc>
          <w:tcPr>
            <w:tcW w:w="1107" w:type="pct"/>
            <w:shd w:val="clear" w:color="auto" w:fill="auto"/>
            <w:tcMar>
              <w:top w:w="96" w:type="dxa"/>
              <w:left w:w="96" w:type="dxa"/>
              <w:bottom w:w="96" w:type="dxa"/>
              <w:right w:w="96" w:type="dxa"/>
            </w:tcMar>
            <w:vAlign w:val="center"/>
          </w:tcPr>
          <w:p>
            <w:pPr>
              <w:widowControl/>
              <w:rPr>
                <w:rFonts w:hint="eastAsia" w:ascii="宋体" w:hAnsi="宋体" w:cs="宋体"/>
                <w:color w:val="auto"/>
                <w:szCs w:val="21"/>
                <w:highlight w:val="none"/>
              </w:rPr>
            </w:pPr>
            <w:r>
              <w:rPr>
                <w:rFonts w:hint="eastAsia" w:ascii="宋体" w:hAnsi="宋体" w:cs="宋体"/>
                <w:color w:val="auto"/>
                <w:szCs w:val="21"/>
                <w:highlight w:val="none"/>
              </w:rPr>
              <w:t>双光相机</w:t>
            </w:r>
          </w:p>
        </w:tc>
        <w:tc>
          <w:tcPr>
            <w:tcW w:w="3892" w:type="pct"/>
            <w:shd w:val="clear" w:color="auto" w:fill="auto"/>
            <w:tcMar>
              <w:top w:w="96" w:type="dxa"/>
              <w:left w:w="96" w:type="dxa"/>
              <w:bottom w:w="96" w:type="dxa"/>
              <w:right w:w="96" w:type="dxa"/>
            </w:tcMar>
            <w:vAlign w:val="center"/>
          </w:tcPr>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1.旋转范围：水平360°连续旋转，垂直-90°~90°</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2.预置点精度：±0.1°</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3.预置点数量：300个</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4.巡航扫描：支持8条巡航路线，单条巡航可添加256个预置点</w:t>
            </w:r>
          </w:p>
          <w:p>
            <w:pPr>
              <w:pStyle w:val="2"/>
              <w:ind w:firstLine="0" w:firstLineChars="0"/>
              <w:rPr>
                <w:rFonts w:hint="eastAsia" w:ascii="宋体" w:hAnsi="宋体" w:cs="宋体"/>
                <w:color w:val="auto"/>
                <w:sz w:val="21"/>
                <w:szCs w:val="21"/>
                <w:highlight w:val="none"/>
              </w:rPr>
            </w:pPr>
            <w:r>
              <w:rPr>
                <w:rFonts w:hint="eastAsia" w:ascii="宋体" w:hAnsi="宋体" w:cs="宋体"/>
                <w:color w:val="auto"/>
                <w:sz w:val="21"/>
                <w:szCs w:val="21"/>
                <w:highlight w:val="none"/>
              </w:rPr>
              <w:t>5.扫描模式：自动扫描、帧扫描、全景扫描、垂直扫描、随机扫描、区域扫描、预置点扫描、巡航扫描</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热成像相机</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1.热成像传感器：氧化钒非制冷型探测器</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2.热成像分辨率：640×512</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3.响应波段：8~14μm</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4.热成像焦距：7mm</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5.热成像近摄距：0.6m</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6.最大光圈值：1.0</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7.热成像视场角：88.5°(H)×73.2°(V)</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8.测温精度：±2°C或量程的±2%</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9.测温范围：-20°C~150°C、0°C~550°C</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可见光相机</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1.可见光传感器：1/2.8"CMOS</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2.可见光最大分辨率：2688×1520</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3.聚焦模式：支持半自动/手动聚焦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26" w:hRule="atLeast"/>
          <w:tblHeader/>
        </w:trPr>
        <w:tc>
          <w:tcPr>
            <w:tcW w:w="1107" w:type="pct"/>
            <w:shd w:val="clear" w:color="auto" w:fill="auto"/>
            <w:tcMar>
              <w:top w:w="96" w:type="dxa"/>
              <w:left w:w="96" w:type="dxa"/>
              <w:bottom w:w="96" w:type="dxa"/>
              <w:right w:w="96" w:type="dxa"/>
            </w:tcMar>
            <w:vAlign w:val="center"/>
          </w:tcPr>
          <w:p>
            <w:pPr>
              <w:widowControl/>
              <w:rPr>
                <w:rFonts w:hint="eastAsia" w:ascii="宋体" w:hAnsi="宋体" w:cs="宋体"/>
                <w:color w:val="auto"/>
                <w:szCs w:val="21"/>
                <w:highlight w:val="none"/>
              </w:rPr>
            </w:pPr>
            <w:r>
              <w:rPr>
                <w:rFonts w:hint="eastAsia" w:ascii="宋体" w:hAnsi="宋体" w:cs="宋体"/>
                <w:color w:val="auto"/>
                <w:szCs w:val="21"/>
                <w:highlight w:val="none"/>
              </w:rPr>
              <w:t>轻量化双光相机</w:t>
            </w:r>
          </w:p>
        </w:tc>
        <w:tc>
          <w:tcPr>
            <w:tcW w:w="3892" w:type="pct"/>
            <w:shd w:val="clear" w:color="auto" w:fill="auto"/>
            <w:tcMar>
              <w:top w:w="96" w:type="dxa"/>
              <w:left w:w="96" w:type="dxa"/>
              <w:bottom w:w="96" w:type="dxa"/>
              <w:right w:w="96" w:type="dxa"/>
            </w:tcMar>
            <w:vAlign w:val="center"/>
          </w:tcPr>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1.</w:t>
            </w:r>
            <w:r>
              <w:rPr>
                <w:rFonts w:ascii="宋体" w:hAnsi="宋体" w:cs="宋体"/>
                <w:color w:val="auto"/>
                <w:szCs w:val="21"/>
                <w:highlight w:val="none"/>
              </w:rPr>
              <w:t>处理器算力</w:t>
            </w:r>
            <w:r>
              <w:rPr>
                <w:rFonts w:hint="eastAsia" w:ascii="宋体" w:hAnsi="宋体" w:cs="宋体"/>
                <w:color w:val="auto"/>
                <w:szCs w:val="21"/>
                <w:highlight w:val="none"/>
              </w:rPr>
              <w:t>：</w:t>
            </w:r>
            <w:r>
              <w:rPr>
                <w:rFonts w:ascii="宋体" w:hAnsi="宋体" w:cs="宋体"/>
                <w:color w:val="auto"/>
                <w:szCs w:val="21"/>
                <w:highlight w:val="none"/>
              </w:rPr>
              <w:t>10T</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2.</w:t>
            </w:r>
            <w:r>
              <w:rPr>
                <w:rFonts w:ascii="宋体" w:hAnsi="宋体" w:cs="宋体"/>
                <w:color w:val="auto"/>
                <w:szCs w:val="21"/>
                <w:highlight w:val="none"/>
              </w:rPr>
              <w:t>视频输出接口</w:t>
            </w:r>
            <w:r>
              <w:rPr>
                <w:rFonts w:hint="eastAsia" w:ascii="宋体" w:hAnsi="宋体" w:cs="宋体"/>
                <w:color w:val="auto"/>
                <w:szCs w:val="21"/>
                <w:highlight w:val="none"/>
              </w:rPr>
              <w:t>：</w:t>
            </w:r>
            <w:r>
              <w:rPr>
                <w:rFonts w:ascii="宋体" w:hAnsi="宋体" w:cs="宋体"/>
                <w:color w:val="auto"/>
                <w:szCs w:val="21"/>
                <w:highlight w:val="none"/>
              </w:rPr>
              <w:t>以太网口、HDMI</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3.</w:t>
            </w:r>
            <w:r>
              <w:rPr>
                <w:rFonts w:ascii="宋体" w:hAnsi="宋体" w:cs="宋体"/>
                <w:color w:val="auto"/>
                <w:szCs w:val="21"/>
                <w:highlight w:val="none"/>
              </w:rPr>
              <w:t>控制信号接口</w:t>
            </w:r>
            <w:r>
              <w:rPr>
                <w:rFonts w:hint="eastAsia" w:ascii="宋体" w:hAnsi="宋体" w:cs="宋体"/>
                <w:color w:val="auto"/>
                <w:szCs w:val="21"/>
                <w:highlight w:val="none"/>
              </w:rPr>
              <w:t>：</w:t>
            </w:r>
            <w:r>
              <w:rPr>
                <w:rFonts w:ascii="宋体" w:hAnsi="宋体" w:cs="宋体"/>
                <w:color w:val="auto"/>
                <w:szCs w:val="21"/>
                <w:highlight w:val="none"/>
              </w:rPr>
              <w:t>1路S.BUS、2</w:t>
            </w:r>
            <w:r>
              <w:rPr>
                <w:rFonts w:hint="eastAsia" w:ascii="宋体" w:hAnsi="宋体" w:cs="宋体"/>
                <w:color w:val="auto"/>
                <w:szCs w:val="21"/>
                <w:highlight w:val="none"/>
              </w:rPr>
              <w:t>路</w:t>
            </w:r>
            <w:r>
              <w:rPr>
                <w:rFonts w:ascii="宋体" w:hAnsi="宋体" w:cs="宋体"/>
                <w:color w:val="auto"/>
                <w:szCs w:val="21"/>
                <w:highlight w:val="none"/>
              </w:rPr>
              <w:t>RS422、1路网口</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4.</w:t>
            </w:r>
            <w:r>
              <w:rPr>
                <w:rFonts w:ascii="宋体" w:hAnsi="宋体" w:cs="宋体"/>
                <w:color w:val="auto"/>
                <w:szCs w:val="21"/>
                <w:highlight w:val="none"/>
              </w:rPr>
              <w:t>供电范围</w:t>
            </w:r>
            <w:r>
              <w:rPr>
                <w:rFonts w:hint="eastAsia" w:ascii="宋体" w:hAnsi="宋体" w:cs="宋体"/>
                <w:color w:val="auto"/>
                <w:szCs w:val="21"/>
                <w:highlight w:val="none"/>
              </w:rPr>
              <w:t>：</w:t>
            </w:r>
            <w:r>
              <w:rPr>
                <w:rFonts w:ascii="宋体" w:hAnsi="宋体" w:cs="宋体"/>
                <w:color w:val="auto"/>
                <w:szCs w:val="21"/>
                <w:highlight w:val="none"/>
              </w:rPr>
              <w:t>10V~28V</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5.</w:t>
            </w:r>
            <w:r>
              <w:rPr>
                <w:rFonts w:ascii="宋体" w:hAnsi="宋体" w:cs="宋体"/>
                <w:color w:val="auto"/>
                <w:szCs w:val="21"/>
                <w:highlight w:val="none"/>
              </w:rPr>
              <w:t>系统功耗平均功耗：≤15W</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6.</w:t>
            </w:r>
            <w:r>
              <w:rPr>
                <w:rFonts w:ascii="宋体" w:hAnsi="宋体" w:cs="宋体"/>
                <w:color w:val="auto"/>
                <w:szCs w:val="21"/>
                <w:highlight w:val="none"/>
              </w:rPr>
              <w:t>峰值功耗：≤30W</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7.</w:t>
            </w:r>
            <w:r>
              <w:rPr>
                <w:rFonts w:ascii="宋体" w:hAnsi="宋体" w:cs="宋体"/>
                <w:color w:val="auto"/>
                <w:szCs w:val="21"/>
                <w:highlight w:val="none"/>
              </w:rPr>
              <w:t>防护等级IP4X</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8.</w:t>
            </w:r>
            <w:r>
              <w:rPr>
                <w:rFonts w:ascii="宋体" w:hAnsi="宋体" w:cs="宋体"/>
                <w:color w:val="auto"/>
                <w:szCs w:val="21"/>
                <w:highlight w:val="none"/>
              </w:rPr>
              <w:t>工作温度-20℃~55℃</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9.</w:t>
            </w:r>
            <w:r>
              <w:rPr>
                <w:rFonts w:ascii="宋体" w:hAnsi="宋体" w:cs="宋体"/>
                <w:color w:val="auto"/>
                <w:szCs w:val="21"/>
                <w:highlight w:val="none"/>
              </w:rPr>
              <w:t>尺寸（不含减震）≤Φ90mm×148mm重量（不含减震）≤500g</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10.</w:t>
            </w:r>
            <w:r>
              <w:rPr>
                <w:rFonts w:ascii="宋体" w:hAnsi="宋体" w:cs="宋体"/>
                <w:color w:val="auto"/>
                <w:szCs w:val="21"/>
                <w:highlight w:val="none"/>
              </w:rPr>
              <w:t>机械接口类型</w:t>
            </w:r>
            <w:r>
              <w:rPr>
                <w:rFonts w:hint="eastAsia" w:ascii="宋体" w:hAnsi="宋体" w:cs="宋体"/>
                <w:color w:val="auto"/>
                <w:szCs w:val="21"/>
                <w:highlight w:val="none"/>
              </w:rPr>
              <w:t>：</w:t>
            </w:r>
            <w:r>
              <w:rPr>
                <w:rFonts w:ascii="宋体" w:hAnsi="宋体" w:cs="宋体"/>
                <w:color w:val="auto"/>
                <w:szCs w:val="21"/>
                <w:highlight w:val="none"/>
              </w:rPr>
              <w:t>快拆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26" w:hRule="atLeast"/>
          <w:tblHeader/>
        </w:trPr>
        <w:tc>
          <w:tcPr>
            <w:tcW w:w="1107" w:type="pct"/>
            <w:shd w:val="clear" w:color="auto" w:fill="auto"/>
            <w:tcMar>
              <w:top w:w="96" w:type="dxa"/>
              <w:left w:w="96" w:type="dxa"/>
              <w:bottom w:w="96" w:type="dxa"/>
              <w:right w:w="96" w:type="dxa"/>
            </w:tcMar>
            <w:vAlign w:val="center"/>
          </w:tcPr>
          <w:p>
            <w:pPr>
              <w:widowControl/>
              <w:rPr>
                <w:rFonts w:hint="eastAsia" w:ascii="宋体" w:hAnsi="宋体" w:cs="宋体"/>
                <w:color w:val="auto"/>
                <w:szCs w:val="21"/>
                <w:highlight w:val="none"/>
              </w:rPr>
            </w:pPr>
            <w:r>
              <w:rPr>
                <w:rFonts w:ascii="宋体" w:hAnsi="宋体" w:cs="宋体"/>
                <w:color w:val="auto"/>
                <w:szCs w:val="21"/>
                <w:highlight w:val="none"/>
              </w:rPr>
              <w:t>ULP</w:t>
            </w:r>
            <w:r>
              <w:rPr>
                <w:rFonts w:hint="eastAsia" w:ascii="宋体" w:hAnsi="宋体" w:cs="宋体"/>
                <w:color w:val="auto"/>
                <w:szCs w:val="21"/>
                <w:highlight w:val="none"/>
              </w:rPr>
              <w:t>相机</w:t>
            </w:r>
          </w:p>
        </w:tc>
        <w:tc>
          <w:tcPr>
            <w:tcW w:w="3892" w:type="pct"/>
            <w:shd w:val="clear" w:color="auto" w:fill="auto"/>
            <w:tcMar>
              <w:top w:w="96" w:type="dxa"/>
              <w:left w:w="96" w:type="dxa"/>
              <w:bottom w:w="96" w:type="dxa"/>
              <w:right w:w="96" w:type="dxa"/>
            </w:tcMar>
            <w:vAlign w:val="center"/>
          </w:tcPr>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1.可吸附固定</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2.成像颜色：彩色</w:t>
            </w:r>
          </w:p>
          <w:p>
            <w:pPr>
              <w:pStyle w:val="2"/>
              <w:ind w:firstLine="0" w:firstLineChars="0"/>
              <w:rPr>
                <w:rFonts w:hint="eastAsia" w:ascii="宋体" w:hAnsi="宋体" w:cs="宋体"/>
                <w:color w:val="auto"/>
                <w:sz w:val="21"/>
                <w:szCs w:val="21"/>
                <w:highlight w:val="none"/>
              </w:rPr>
            </w:pPr>
            <w:r>
              <w:rPr>
                <w:rFonts w:hint="eastAsia" w:ascii="宋体" w:hAnsi="宋体" w:cs="宋体"/>
                <w:color w:val="auto"/>
                <w:sz w:val="21"/>
                <w:szCs w:val="21"/>
                <w:highlight w:val="none"/>
              </w:rPr>
              <w:t>3.焦段：广角</w:t>
            </w:r>
          </w:p>
          <w:p>
            <w:pPr>
              <w:pStyle w:val="2"/>
              <w:ind w:firstLine="0" w:firstLineChars="0"/>
              <w:rPr>
                <w:rFonts w:hint="eastAsia" w:ascii="宋体" w:hAnsi="宋体" w:cs="宋体"/>
                <w:color w:val="auto"/>
                <w:sz w:val="21"/>
                <w:szCs w:val="21"/>
                <w:highlight w:val="none"/>
              </w:rPr>
            </w:pPr>
            <w:r>
              <w:rPr>
                <w:rFonts w:hint="eastAsia" w:ascii="宋体" w:hAnsi="宋体" w:cs="宋体"/>
                <w:color w:val="auto"/>
                <w:sz w:val="21"/>
                <w:szCs w:val="21"/>
                <w:highlight w:val="none"/>
              </w:rPr>
              <w:t>4.在不充电情况下，可续航≥1小时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26" w:hRule="atLeast"/>
          <w:tblHeader/>
        </w:trPr>
        <w:tc>
          <w:tcPr>
            <w:tcW w:w="1107" w:type="pct"/>
            <w:shd w:val="clear" w:color="auto" w:fill="auto"/>
            <w:tcMar>
              <w:top w:w="96" w:type="dxa"/>
              <w:left w:w="96" w:type="dxa"/>
              <w:bottom w:w="96" w:type="dxa"/>
              <w:right w:w="96" w:type="dxa"/>
            </w:tcMar>
            <w:vAlign w:val="center"/>
          </w:tcPr>
          <w:p>
            <w:pPr>
              <w:widowControl/>
              <w:rPr>
                <w:rFonts w:hint="eastAsia" w:ascii="宋体" w:hAnsi="宋体" w:cs="宋体"/>
                <w:color w:val="auto"/>
                <w:szCs w:val="21"/>
                <w:highlight w:val="none"/>
              </w:rPr>
            </w:pPr>
            <w:r>
              <w:rPr>
                <w:rFonts w:hint="eastAsia" w:ascii="宋体" w:hAnsi="宋体" w:cs="宋体"/>
                <w:color w:val="auto"/>
                <w:szCs w:val="21"/>
                <w:highlight w:val="none"/>
              </w:rPr>
              <w:t>应急设备（四合一喊话器） </w:t>
            </w:r>
          </w:p>
        </w:tc>
        <w:tc>
          <w:tcPr>
            <w:tcW w:w="3892" w:type="pct"/>
            <w:shd w:val="clear" w:color="auto" w:fill="auto"/>
            <w:tcMar>
              <w:top w:w="96" w:type="dxa"/>
              <w:left w:w="96" w:type="dxa"/>
              <w:bottom w:w="96" w:type="dxa"/>
              <w:right w:w="96" w:type="dxa"/>
            </w:tcMar>
            <w:vAlign w:val="center"/>
          </w:tcPr>
          <w:p>
            <w:pPr>
              <w:widowControl/>
              <w:rPr>
                <w:rFonts w:hint="eastAsia" w:ascii="宋体" w:hAnsi="宋体" w:cs="宋体"/>
                <w:color w:val="auto"/>
                <w:szCs w:val="21"/>
                <w:highlight w:val="none"/>
              </w:rPr>
            </w:pPr>
            <w:r>
              <w:rPr>
                <w:rFonts w:hint="eastAsia" w:ascii="宋体" w:hAnsi="宋体" w:cs="宋体"/>
                <w:color w:val="auto"/>
                <w:szCs w:val="21"/>
                <w:highlight w:val="none"/>
              </w:rPr>
              <w:t>1.</w:t>
            </w:r>
            <w:r>
              <w:rPr>
                <w:rFonts w:ascii="宋体" w:hAnsi="宋体" w:cs="宋体"/>
                <w:color w:val="auto"/>
                <w:szCs w:val="21"/>
                <w:highlight w:val="none"/>
              </w:rPr>
              <w:t>产品材质</w:t>
            </w:r>
            <w:r>
              <w:rPr>
                <w:rFonts w:hint="eastAsia" w:ascii="宋体" w:hAnsi="宋体" w:cs="宋体"/>
                <w:color w:val="auto"/>
                <w:szCs w:val="21"/>
                <w:highlight w:val="none"/>
              </w:rPr>
              <w:t>：</w:t>
            </w:r>
            <w:r>
              <w:rPr>
                <w:rFonts w:ascii="宋体" w:hAnsi="宋体" w:cs="宋体"/>
                <w:color w:val="auto"/>
                <w:szCs w:val="21"/>
                <w:highlight w:val="none"/>
              </w:rPr>
              <w:t>航空铝/不锈钢材质产品</w:t>
            </w:r>
          </w:p>
          <w:p>
            <w:pPr>
              <w:widowControl/>
              <w:rPr>
                <w:rFonts w:hint="eastAsia" w:ascii="宋体" w:hAnsi="宋体" w:cs="宋体"/>
                <w:color w:val="auto"/>
                <w:szCs w:val="21"/>
                <w:highlight w:val="none"/>
              </w:rPr>
            </w:pPr>
            <w:r>
              <w:rPr>
                <w:rFonts w:hint="eastAsia" w:ascii="宋体" w:hAnsi="宋体" w:cs="宋体"/>
                <w:color w:val="auto"/>
                <w:szCs w:val="21"/>
                <w:highlight w:val="none"/>
              </w:rPr>
              <w:t>2.</w:t>
            </w:r>
            <w:r>
              <w:rPr>
                <w:rFonts w:ascii="宋体" w:hAnsi="宋体" w:cs="宋体"/>
                <w:color w:val="auto"/>
                <w:szCs w:val="21"/>
                <w:highlight w:val="none"/>
              </w:rPr>
              <w:t>尺寸</w:t>
            </w:r>
            <w:r>
              <w:rPr>
                <w:rFonts w:hint="eastAsia" w:ascii="宋体" w:hAnsi="宋体" w:cs="宋体"/>
                <w:color w:val="auto"/>
                <w:szCs w:val="21"/>
                <w:highlight w:val="none"/>
              </w:rPr>
              <w:t>：</w:t>
            </w:r>
            <w:r>
              <w:rPr>
                <w:rFonts w:ascii="宋体" w:hAnsi="宋体" w:cs="宋体"/>
                <w:color w:val="auto"/>
                <w:szCs w:val="21"/>
                <w:highlight w:val="none"/>
              </w:rPr>
              <w:t>200mm150mm132mm(±2mm)</w:t>
            </w:r>
          </w:p>
          <w:p>
            <w:pPr>
              <w:widowControl/>
              <w:rPr>
                <w:rFonts w:hint="eastAsia" w:ascii="宋体" w:hAnsi="宋体" w:cs="宋体"/>
                <w:color w:val="auto"/>
                <w:szCs w:val="21"/>
                <w:highlight w:val="none"/>
              </w:rPr>
            </w:pPr>
            <w:r>
              <w:rPr>
                <w:rFonts w:hint="eastAsia" w:ascii="宋体" w:hAnsi="宋体" w:cs="宋体"/>
                <w:color w:val="auto"/>
                <w:szCs w:val="21"/>
                <w:highlight w:val="none"/>
              </w:rPr>
              <w:t>3.</w:t>
            </w:r>
            <w:r>
              <w:rPr>
                <w:rFonts w:ascii="宋体" w:hAnsi="宋体" w:cs="宋体"/>
                <w:color w:val="auto"/>
                <w:szCs w:val="21"/>
                <w:highlight w:val="none"/>
              </w:rPr>
              <w:t>产品重量970g（±10g）</w:t>
            </w:r>
          </w:p>
          <w:p>
            <w:pPr>
              <w:widowControl/>
              <w:rPr>
                <w:rFonts w:hint="eastAsia" w:ascii="宋体" w:hAnsi="宋体" w:cs="宋体"/>
                <w:color w:val="auto"/>
                <w:szCs w:val="21"/>
                <w:highlight w:val="none"/>
              </w:rPr>
            </w:pPr>
            <w:r>
              <w:rPr>
                <w:rFonts w:hint="eastAsia" w:ascii="宋体" w:hAnsi="宋体" w:cs="宋体"/>
                <w:color w:val="auto"/>
                <w:szCs w:val="21"/>
                <w:highlight w:val="none"/>
              </w:rPr>
              <w:t>4.</w:t>
            </w:r>
            <w:r>
              <w:rPr>
                <w:rFonts w:ascii="宋体" w:hAnsi="宋体" w:cs="宋体"/>
                <w:color w:val="auto"/>
                <w:szCs w:val="21"/>
                <w:highlight w:val="none"/>
              </w:rPr>
              <w:t>工作电压12-48v</w:t>
            </w:r>
          </w:p>
          <w:p>
            <w:pPr>
              <w:widowControl/>
              <w:rPr>
                <w:rFonts w:hint="eastAsia" w:ascii="宋体" w:hAnsi="宋体" w:cs="宋体"/>
                <w:color w:val="auto"/>
                <w:szCs w:val="21"/>
                <w:highlight w:val="none"/>
              </w:rPr>
            </w:pPr>
            <w:r>
              <w:rPr>
                <w:rFonts w:hint="eastAsia" w:ascii="宋体" w:hAnsi="宋体" w:cs="宋体"/>
                <w:color w:val="auto"/>
                <w:szCs w:val="21"/>
                <w:highlight w:val="none"/>
              </w:rPr>
              <w:t>5.</w:t>
            </w:r>
            <w:r>
              <w:rPr>
                <w:rFonts w:ascii="宋体" w:hAnsi="宋体" w:cs="宋体"/>
                <w:color w:val="auto"/>
                <w:szCs w:val="21"/>
                <w:highlight w:val="none"/>
              </w:rPr>
              <w:t>红蓝指示灯模式16种模式闪烁模式</w:t>
            </w:r>
          </w:p>
          <w:p>
            <w:pPr>
              <w:widowControl/>
              <w:rPr>
                <w:rFonts w:hint="eastAsia" w:ascii="宋体" w:hAnsi="宋体" w:cs="宋体"/>
                <w:color w:val="auto"/>
                <w:szCs w:val="21"/>
                <w:highlight w:val="none"/>
              </w:rPr>
            </w:pPr>
            <w:r>
              <w:rPr>
                <w:rFonts w:hint="eastAsia" w:ascii="宋体" w:hAnsi="宋体" w:cs="宋体"/>
                <w:color w:val="auto"/>
                <w:szCs w:val="21"/>
                <w:highlight w:val="none"/>
              </w:rPr>
              <w:t>6.</w:t>
            </w:r>
            <w:r>
              <w:rPr>
                <w:rFonts w:ascii="宋体" w:hAnsi="宋体" w:cs="宋体"/>
                <w:color w:val="auto"/>
                <w:szCs w:val="21"/>
                <w:highlight w:val="none"/>
              </w:rPr>
              <w:t>工作温度-10℃~40℃</w:t>
            </w:r>
          </w:p>
          <w:p>
            <w:pPr>
              <w:widowControl/>
              <w:rPr>
                <w:rFonts w:hint="eastAsia" w:ascii="宋体" w:hAnsi="宋体" w:cs="宋体"/>
                <w:color w:val="auto"/>
                <w:szCs w:val="21"/>
                <w:highlight w:val="none"/>
              </w:rPr>
            </w:pPr>
            <w:r>
              <w:rPr>
                <w:rFonts w:hint="eastAsia" w:ascii="宋体" w:hAnsi="宋体" w:cs="宋体"/>
                <w:color w:val="auto"/>
                <w:szCs w:val="21"/>
                <w:highlight w:val="none"/>
              </w:rPr>
              <w:t>7.</w:t>
            </w:r>
            <w:r>
              <w:rPr>
                <w:rFonts w:ascii="宋体" w:hAnsi="宋体" w:cs="宋体"/>
                <w:color w:val="auto"/>
                <w:szCs w:val="21"/>
                <w:highlight w:val="none"/>
              </w:rPr>
              <w:t>最大声压130dB</w:t>
            </w:r>
          </w:p>
          <w:p>
            <w:pPr>
              <w:widowControl/>
              <w:rPr>
                <w:rFonts w:hint="eastAsia" w:ascii="宋体" w:hAnsi="宋体" w:cs="宋体"/>
                <w:color w:val="auto"/>
                <w:szCs w:val="21"/>
                <w:highlight w:val="none"/>
              </w:rPr>
            </w:pPr>
            <w:r>
              <w:rPr>
                <w:rFonts w:hint="eastAsia" w:ascii="宋体" w:hAnsi="宋体" w:cs="宋体"/>
                <w:color w:val="auto"/>
                <w:szCs w:val="21"/>
                <w:highlight w:val="none"/>
              </w:rPr>
              <w:t>8.</w:t>
            </w:r>
            <w:r>
              <w:rPr>
                <w:rFonts w:ascii="宋体" w:hAnsi="宋体" w:cs="宋体"/>
                <w:color w:val="auto"/>
                <w:szCs w:val="21"/>
                <w:highlight w:val="none"/>
              </w:rPr>
              <w:t>声音有效传输距离500M</w:t>
            </w:r>
          </w:p>
          <w:p>
            <w:pPr>
              <w:widowControl/>
              <w:rPr>
                <w:rFonts w:hint="eastAsia" w:ascii="宋体" w:hAnsi="宋体" w:cs="宋体"/>
                <w:color w:val="auto"/>
                <w:szCs w:val="21"/>
                <w:highlight w:val="none"/>
              </w:rPr>
            </w:pPr>
            <w:r>
              <w:rPr>
                <w:rFonts w:hint="eastAsia" w:ascii="宋体" w:hAnsi="宋体" w:cs="宋体"/>
                <w:color w:val="auto"/>
                <w:szCs w:val="21"/>
                <w:highlight w:val="none"/>
              </w:rPr>
              <w:t>9.</w:t>
            </w:r>
            <w:r>
              <w:rPr>
                <w:rFonts w:ascii="宋体" w:hAnsi="宋体" w:cs="宋体"/>
                <w:color w:val="auto"/>
                <w:szCs w:val="21"/>
                <w:highlight w:val="none"/>
              </w:rPr>
              <w:t>声音最大传输距离800M</w:t>
            </w:r>
          </w:p>
          <w:p>
            <w:pPr>
              <w:widowControl/>
              <w:rPr>
                <w:rFonts w:hint="eastAsia" w:ascii="宋体" w:hAnsi="宋体" w:cs="宋体"/>
                <w:color w:val="auto"/>
                <w:szCs w:val="21"/>
                <w:highlight w:val="none"/>
              </w:rPr>
            </w:pPr>
            <w:r>
              <w:rPr>
                <w:rFonts w:hint="eastAsia" w:ascii="宋体" w:hAnsi="宋体" w:cs="宋体"/>
                <w:color w:val="auto"/>
                <w:szCs w:val="21"/>
                <w:highlight w:val="none"/>
              </w:rPr>
              <w:t>10.</w:t>
            </w:r>
            <w:r>
              <w:rPr>
                <w:rFonts w:ascii="宋体" w:hAnsi="宋体" w:cs="宋体"/>
                <w:color w:val="auto"/>
                <w:szCs w:val="21"/>
                <w:highlight w:val="none"/>
              </w:rPr>
              <w:t>最大亮度3000lm</w:t>
            </w:r>
          </w:p>
          <w:p>
            <w:pPr>
              <w:widowControl/>
              <w:rPr>
                <w:rFonts w:hint="eastAsia" w:ascii="宋体" w:hAnsi="宋体" w:cs="宋体"/>
                <w:color w:val="auto"/>
                <w:szCs w:val="21"/>
                <w:highlight w:val="none"/>
              </w:rPr>
            </w:pPr>
            <w:r>
              <w:rPr>
                <w:rFonts w:hint="eastAsia" w:ascii="宋体" w:hAnsi="宋体" w:cs="宋体"/>
                <w:color w:val="auto"/>
                <w:szCs w:val="21"/>
                <w:highlight w:val="none"/>
              </w:rPr>
              <w:t>11.</w:t>
            </w:r>
            <w:r>
              <w:rPr>
                <w:rFonts w:ascii="宋体" w:hAnsi="宋体" w:cs="宋体"/>
                <w:color w:val="auto"/>
                <w:szCs w:val="21"/>
                <w:highlight w:val="none"/>
              </w:rPr>
              <w:t>喊话器角度0-90°</w:t>
            </w:r>
          </w:p>
          <w:p>
            <w:pPr>
              <w:widowControl/>
              <w:rPr>
                <w:rFonts w:hint="eastAsia" w:ascii="宋体" w:hAnsi="宋体" w:cs="宋体"/>
                <w:color w:val="auto"/>
                <w:szCs w:val="21"/>
                <w:highlight w:val="none"/>
              </w:rPr>
            </w:pPr>
            <w:r>
              <w:rPr>
                <w:rFonts w:hint="eastAsia" w:ascii="宋体" w:hAnsi="宋体" w:cs="宋体"/>
                <w:color w:val="auto"/>
                <w:szCs w:val="21"/>
                <w:highlight w:val="none"/>
              </w:rPr>
              <w:t>12.</w:t>
            </w:r>
            <w:r>
              <w:rPr>
                <w:rFonts w:ascii="宋体" w:hAnsi="宋体" w:cs="宋体"/>
                <w:color w:val="auto"/>
                <w:szCs w:val="21"/>
                <w:highlight w:val="none"/>
              </w:rPr>
              <w:t>探照角度+30°</w:t>
            </w:r>
            <w:r>
              <w:rPr>
                <w:rFonts w:hint="eastAsia" w:ascii="宋体" w:hAnsi="宋体" w:cs="宋体"/>
                <w:color w:val="auto"/>
                <w:szCs w:val="21"/>
                <w:highlight w:val="none"/>
              </w:rPr>
              <w:t>~</w:t>
            </w:r>
            <w:r>
              <w:rPr>
                <w:rFonts w:ascii="宋体" w:hAnsi="宋体" w:cs="宋体"/>
                <w:color w:val="auto"/>
                <w:szCs w:val="21"/>
                <w:highlight w:val="none"/>
              </w:rPr>
              <w:t>70°</w:t>
            </w:r>
          </w:p>
          <w:p>
            <w:pPr>
              <w:widowControl/>
              <w:rPr>
                <w:rFonts w:hint="eastAsia" w:ascii="宋体" w:hAnsi="宋体" w:cs="宋体"/>
                <w:color w:val="auto"/>
                <w:szCs w:val="21"/>
                <w:highlight w:val="none"/>
              </w:rPr>
            </w:pPr>
            <w:r>
              <w:rPr>
                <w:rFonts w:hint="eastAsia" w:ascii="宋体" w:hAnsi="宋体" w:cs="宋体"/>
                <w:color w:val="auto"/>
                <w:szCs w:val="21"/>
                <w:highlight w:val="none"/>
              </w:rPr>
              <w:t>13.</w:t>
            </w:r>
            <w:r>
              <w:rPr>
                <w:rFonts w:ascii="宋体" w:hAnsi="宋体" w:cs="宋体"/>
                <w:color w:val="auto"/>
                <w:szCs w:val="21"/>
                <w:highlight w:val="none"/>
              </w:rPr>
              <w:t>灯出光角15°</w:t>
            </w:r>
          </w:p>
          <w:p>
            <w:pPr>
              <w:widowControl/>
              <w:rPr>
                <w:rFonts w:hint="eastAsia" w:ascii="宋体" w:hAnsi="宋体" w:cs="宋体"/>
                <w:color w:val="auto"/>
                <w:szCs w:val="21"/>
                <w:highlight w:val="none"/>
              </w:rPr>
            </w:pPr>
            <w:r>
              <w:rPr>
                <w:rFonts w:hint="eastAsia" w:ascii="宋体" w:hAnsi="宋体" w:cs="宋体"/>
                <w:color w:val="auto"/>
                <w:szCs w:val="21"/>
                <w:highlight w:val="none"/>
              </w:rPr>
              <w:t>14.</w:t>
            </w:r>
            <w:r>
              <w:rPr>
                <w:rFonts w:ascii="宋体" w:hAnsi="宋体" w:cs="宋体"/>
                <w:color w:val="auto"/>
                <w:szCs w:val="21"/>
                <w:highlight w:val="none"/>
              </w:rPr>
              <w:t>功率≤58W</w:t>
            </w:r>
            <w:r>
              <w:rPr>
                <w:rFonts w:hint="eastAsia" w:ascii="宋体" w:hAnsi="宋体" w:cs="宋体"/>
                <w:color w:val="auto"/>
                <w:szCs w:val="21"/>
                <w:highlight w:val="none"/>
              </w:rPr>
              <w:t>；</w:t>
            </w:r>
            <w:r>
              <w:rPr>
                <w:rFonts w:ascii="宋体" w:hAnsi="宋体" w:cs="宋体"/>
                <w:color w:val="auto"/>
                <w:szCs w:val="21"/>
                <w:highlight w:val="none"/>
              </w:rPr>
              <w:t>照明</w:t>
            </w:r>
            <w:r>
              <w:rPr>
                <w:rFonts w:hint="eastAsia" w:ascii="宋体" w:hAnsi="宋体" w:cs="宋体"/>
                <w:color w:val="auto"/>
                <w:szCs w:val="21"/>
                <w:highlight w:val="none"/>
              </w:rPr>
              <w:t>：</w:t>
            </w:r>
            <w:r>
              <w:rPr>
                <w:rFonts w:ascii="宋体" w:hAnsi="宋体" w:cs="宋体"/>
                <w:color w:val="auto"/>
                <w:szCs w:val="21"/>
                <w:highlight w:val="none"/>
              </w:rPr>
              <w:t>25W</w:t>
            </w:r>
            <w:r>
              <w:rPr>
                <w:rFonts w:hint="eastAsia" w:ascii="宋体" w:hAnsi="宋体" w:cs="宋体"/>
                <w:color w:val="auto"/>
                <w:szCs w:val="21"/>
                <w:highlight w:val="none"/>
              </w:rPr>
              <w:t>；</w:t>
            </w:r>
            <w:r>
              <w:rPr>
                <w:rFonts w:ascii="宋体" w:hAnsi="宋体" w:cs="宋体"/>
                <w:color w:val="auto"/>
                <w:szCs w:val="21"/>
                <w:highlight w:val="none"/>
              </w:rPr>
              <w:t>喊话器：30W</w:t>
            </w:r>
            <w:r>
              <w:rPr>
                <w:rFonts w:hint="eastAsia" w:ascii="宋体" w:hAnsi="宋体" w:cs="宋体"/>
                <w:color w:val="auto"/>
                <w:szCs w:val="21"/>
                <w:highlight w:val="none"/>
              </w:rPr>
              <w:t>：</w:t>
            </w:r>
            <w:r>
              <w:rPr>
                <w:rFonts w:ascii="宋体" w:hAnsi="宋体" w:cs="宋体"/>
                <w:color w:val="auto"/>
                <w:szCs w:val="21"/>
                <w:highlight w:val="none"/>
              </w:rPr>
              <w:t>红蓝：3W</w:t>
            </w:r>
          </w:p>
          <w:p>
            <w:pPr>
              <w:widowControl/>
              <w:rPr>
                <w:rFonts w:hint="eastAsia" w:ascii="宋体" w:hAnsi="宋体" w:cs="宋体"/>
                <w:color w:val="auto"/>
                <w:szCs w:val="21"/>
                <w:highlight w:val="none"/>
              </w:rPr>
            </w:pPr>
            <w:r>
              <w:rPr>
                <w:rFonts w:hint="eastAsia" w:ascii="宋体" w:hAnsi="宋体" w:cs="宋体"/>
                <w:color w:val="auto"/>
                <w:szCs w:val="21"/>
                <w:highlight w:val="none"/>
              </w:rPr>
              <w:t>15.</w:t>
            </w:r>
            <w:r>
              <w:rPr>
                <w:rFonts w:ascii="宋体" w:hAnsi="宋体" w:cs="宋体"/>
                <w:color w:val="auto"/>
                <w:szCs w:val="21"/>
                <w:highlight w:val="none"/>
              </w:rPr>
              <w:t>支持音频格式</w:t>
            </w:r>
            <w:r>
              <w:rPr>
                <w:rFonts w:hint="eastAsia" w:ascii="宋体" w:hAnsi="宋体" w:cs="宋体"/>
                <w:color w:val="auto"/>
                <w:szCs w:val="21"/>
                <w:highlight w:val="none"/>
              </w:rPr>
              <w:t>：</w:t>
            </w:r>
            <w:r>
              <w:rPr>
                <w:rFonts w:ascii="宋体" w:hAnsi="宋体" w:cs="宋体"/>
                <w:color w:val="auto"/>
                <w:szCs w:val="21"/>
                <w:highlight w:val="none"/>
              </w:rPr>
              <w:t>Mp3/Wav/Flac/AAC</w:t>
            </w:r>
          </w:p>
          <w:p>
            <w:pPr>
              <w:widowControl/>
              <w:rPr>
                <w:rFonts w:hint="eastAsia" w:ascii="宋体" w:hAnsi="宋体" w:cs="宋体"/>
                <w:color w:val="auto"/>
                <w:szCs w:val="21"/>
                <w:highlight w:val="none"/>
              </w:rPr>
            </w:pPr>
            <w:r>
              <w:rPr>
                <w:rFonts w:hint="eastAsia" w:ascii="宋体" w:hAnsi="宋体" w:cs="宋体"/>
                <w:color w:val="auto"/>
                <w:szCs w:val="21"/>
                <w:highlight w:val="none"/>
              </w:rPr>
              <w:t>16.</w:t>
            </w:r>
            <w:r>
              <w:rPr>
                <w:rFonts w:ascii="宋体" w:hAnsi="宋体" w:cs="宋体"/>
                <w:color w:val="auto"/>
                <w:szCs w:val="21"/>
                <w:highlight w:val="none"/>
              </w:rPr>
              <w:t>控制方式</w:t>
            </w:r>
            <w:r>
              <w:rPr>
                <w:rFonts w:hint="eastAsia" w:ascii="宋体" w:hAnsi="宋体" w:cs="宋体"/>
                <w:color w:val="auto"/>
                <w:szCs w:val="21"/>
                <w:highlight w:val="none"/>
              </w:rPr>
              <w:t>：</w:t>
            </w:r>
            <w:r>
              <w:rPr>
                <w:rFonts w:ascii="宋体" w:hAnsi="宋体" w:cs="宋体"/>
                <w:color w:val="auto"/>
                <w:szCs w:val="21"/>
                <w:highlight w:val="none"/>
              </w:rPr>
              <w:t>网口APP</w:t>
            </w:r>
          </w:p>
          <w:p>
            <w:pPr>
              <w:pStyle w:val="2"/>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17.控制距离链路设备距离一致</w:t>
            </w:r>
            <w:r>
              <w:rPr>
                <w:rFonts w:hint="eastAsia" w:ascii="宋体" w:hAnsi="宋体" w:cs="宋体"/>
                <w:color w:val="auto"/>
                <w:szCs w:val="21"/>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26" w:hRule="atLeast"/>
          <w:tblHeader/>
        </w:trPr>
        <w:tc>
          <w:tcPr>
            <w:tcW w:w="1107" w:type="pct"/>
            <w:shd w:val="clear" w:color="auto" w:fill="auto"/>
            <w:tcMar>
              <w:top w:w="96" w:type="dxa"/>
              <w:left w:w="96" w:type="dxa"/>
              <w:bottom w:w="96" w:type="dxa"/>
              <w:right w:w="96" w:type="dxa"/>
            </w:tcMar>
            <w:vAlign w:val="center"/>
          </w:tcPr>
          <w:p>
            <w:pPr>
              <w:widowControl/>
              <w:rPr>
                <w:rFonts w:hint="eastAsia" w:ascii="宋体" w:hAnsi="宋体" w:cs="宋体"/>
                <w:color w:val="auto"/>
                <w:szCs w:val="21"/>
                <w:highlight w:val="none"/>
              </w:rPr>
            </w:pPr>
            <w:r>
              <w:rPr>
                <w:rFonts w:hint="eastAsia" w:ascii="宋体" w:hAnsi="宋体" w:cs="宋体"/>
                <w:color w:val="auto"/>
                <w:szCs w:val="21"/>
                <w:highlight w:val="none"/>
              </w:rPr>
              <w:t>巡视一体机</w:t>
            </w:r>
          </w:p>
        </w:tc>
        <w:tc>
          <w:tcPr>
            <w:tcW w:w="3892" w:type="pct"/>
            <w:shd w:val="clear" w:color="auto" w:fill="auto"/>
            <w:tcMar>
              <w:top w:w="96" w:type="dxa"/>
              <w:left w:w="96" w:type="dxa"/>
              <w:bottom w:w="96" w:type="dxa"/>
              <w:right w:w="96" w:type="dxa"/>
            </w:tcMar>
            <w:vAlign w:val="center"/>
          </w:tcPr>
          <w:p>
            <w:pPr>
              <w:widowControl/>
              <w:rPr>
                <w:rFonts w:hint="eastAsia" w:ascii="宋体" w:hAnsi="宋体" w:cs="宋体"/>
                <w:color w:val="auto"/>
                <w:szCs w:val="21"/>
                <w:highlight w:val="none"/>
              </w:rPr>
            </w:pPr>
            <w:r>
              <w:rPr>
                <w:rFonts w:hint="eastAsia" w:ascii="宋体" w:hAnsi="宋体" w:cs="宋体"/>
                <w:color w:val="auto"/>
                <w:szCs w:val="21"/>
                <w:highlight w:val="none"/>
              </w:rPr>
              <w:t>1.具有任务管理、巡视监控、告警确认、巡视结果归档、巡视报告、用户设置、实时监控、台账管理、系统自检等</w:t>
            </w:r>
          </w:p>
          <w:p>
            <w:pPr>
              <w:widowControl/>
              <w:rPr>
                <w:rFonts w:hint="eastAsia" w:ascii="宋体" w:hAnsi="宋体" w:cs="宋体" w:eastAsiaTheme="minorEastAsia"/>
                <w:color w:val="auto"/>
                <w:szCs w:val="21"/>
                <w:highlight w:val="none"/>
                <w:lang w:eastAsia="zh-CN"/>
              </w:rPr>
            </w:pPr>
            <w:bookmarkStart w:id="6" w:name="OLE_LINK4"/>
            <w:r>
              <w:rPr>
                <w:rFonts w:hint="eastAsia" w:ascii="宋体" w:hAnsi="宋体" w:cs="宋体"/>
                <w:color w:val="auto"/>
                <w:szCs w:val="21"/>
                <w:highlight w:val="none"/>
              </w:rPr>
              <w:t>2.处理器：总核数≥20核</w:t>
            </w:r>
          </w:p>
          <w:p>
            <w:pPr>
              <w:widowControl/>
              <w:rPr>
                <w:rFonts w:hint="eastAsia" w:ascii="宋体" w:hAnsi="宋体" w:cs="宋体" w:eastAsiaTheme="minorEastAsia"/>
                <w:color w:val="auto"/>
                <w:szCs w:val="21"/>
                <w:highlight w:val="none"/>
                <w:lang w:eastAsia="zh-CN"/>
              </w:rPr>
            </w:pPr>
            <w:r>
              <w:rPr>
                <w:rFonts w:hint="eastAsia" w:ascii="宋体" w:hAnsi="宋体" w:cs="宋体"/>
                <w:color w:val="auto"/>
                <w:szCs w:val="21"/>
                <w:highlight w:val="none"/>
              </w:rPr>
              <w:t>3.GPU：12GB显存及以上</w:t>
            </w:r>
          </w:p>
          <w:p>
            <w:pPr>
              <w:widowControl/>
              <w:rPr>
                <w:rFonts w:hint="eastAsia" w:ascii="宋体" w:hAnsi="宋体" w:cs="宋体" w:eastAsiaTheme="minorEastAsia"/>
                <w:color w:val="auto"/>
                <w:szCs w:val="21"/>
                <w:highlight w:val="none"/>
                <w:lang w:eastAsia="zh-CN"/>
              </w:rPr>
            </w:pPr>
            <w:r>
              <w:rPr>
                <w:rFonts w:hint="eastAsia" w:ascii="宋体" w:hAnsi="宋体" w:cs="宋体"/>
                <w:color w:val="auto"/>
                <w:szCs w:val="21"/>
                <w:highlight w:val="none"/>
              </w:rPr>
              <w:t>4.硬盘：≥4T</w:t>
            </w:r>
          </w:p>
          <w:p>
            <w:pPr>
              <w:widowControl/>
              <w:rPr>
                <w:rFonts w:hint="eastAsia" w:ascii="宋体" w:hAnsi="宋体" w:cs="宋体" w:eastAsiaTheme="minorEastAsia"/>
                <w:color w:val="auto"/>
                <w:szCs w:val="21"/>
                <w:highlight w:val="none"/>
                <w:lang w:eastAsia="zh-CN"/>
              </w:rPr>
            </w:pPr>
            <w:r>
              <w:rPr>
                <w:rFonts w:hint="eastAsia" w:ascii="宋体" w:hAnsi="宋体" w:cs="宋体"/>
                <w:color w:val="auto"/>
                <w:szCs w:val="21"/>
                <w:highlight w:val="none"/>
              </w:rPr>
              <w:t>6.内存大小：≥64GB</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7功率：≥1*750W</w:t>
            </w:r>
            <w:bookmarkEnd w:id="6"/>
          </w:p>
          <w:p>
            <w:pPr>
              <w:widowControl/>
              <w:rPr>
                <w:rFonts w:hint="eastAsia" w:ascii="宋体" w:hAnsi="宋体" w:cs="宋体"/>
                <w:color w:val="auto"/>
                <w:szCs w:val="21"/>
                <w:highlight w:val="none"/>
              </w:rPr>
            </w:pPr>
            <w:r>
              <w:rPr>
                <w:rFonts w:hint="eastAsia" w:ascii="宋体" w:hAnsi="宋体" w:cs="宋体"/>
                <w:color w:val="auto"/>
                <w:szCs w:val="21"/>
                <w:highlight w:val="none"/>
              </w:rPr>
              <w:t>8.固态硬盘：≥1T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26" w:hRule="atLeast"/>
          <w:tblHeader/>
        </w:trPr>
        <w:tc>
          <w:tcPr>
            <w:tcW w:w="1107" w:type="pct"/>
            <w:shd w:val="clear" w:color="auto" w:fill="auto"/>
            <w:tcMar>
              <w:top w:w="96" w:type="dxa"/>
              <w:left w:w="96" w:type="dxa"/>
              <w:bottom w:w="96" w:type="dxa"/>
              <w:right w:w="96" w:type="dxa"/>
            </w:tcMar>
            <w:vAlign w:val="center"/>
          </w:tcPr>
          <w:p>
            <w:pPr>
              <w:widowControl/>
              <w:rPr>
                <w:rFonts w:hint="eastAsia" w:ascii="宋体" w:hAnsi="宋体" w:cs="宋体"/>
                <w:color w:val="auto"/>
                <w:szCs w:val="21"/>
                <w:highlight w:val="none"/>
              </w:rPr>
            </w:pPr>
            <w:r>
              <w:rPr>
                <w:rFonts w:hint="eastAsia" w:ascii="宋体" w:hAnsi="宋体" w:cs="宋体"/>
                <w:color w:val="auto"/>
                <w:szCs w:val="21"/>
                <w:highlight w:val="none"/>
              </w:rPr>
              <w:t>远程遥控一体机</w:t>
            </w:r>
          </w:p>
        </w:tc>
        <w:tc>
          <w:tcPr>
            <w:tcW w:w="3892" w:type="pct"/>
            <w:shd w:val="clear" w:color="auto" w:fill="auto"/>
            <w:tcMar>
              <w:top w:w="96" w:type="dxa"/>
              <w:left w:w="96" w:type="dxa"/>
              <w:bottom w:w="96" w:type="dxa"/>
              <w:right w:w="96" w:type="dxa"/>
            </w:tcMar>
            <w:vAlign w:val="center"/>
          </w:tcPr>
          <w:p>
            <w:pPr>
              <w:widowControl/>
              <w:rPr>
                <w:rFonts w:hint="eastAsia" w:ascii="宋体" w:hAnsi="宋体" w:cs="宋体"/>
                <w:color w:val="auto"/>
                <w:szCs w:val="21"/>
                <w:highlight w:val="none"/>
              </w:rPr>
            </w:pPr>
            <w:r>
              <w:rPr>
                <w:rFonts w:hint="eastAsia" w:ascii="宋体" w:hAnsi="宋体" w:cs="宋体"/>
                <w:color w:val="auto"/>
                <w:szCs w:val="21"/>
                <w:highlight w:val="none"/>
              </w:rPr>
              <w:t>1.机器狗的远程控制 </w:t>
            </w:r>
          </w:p>
          <w:p>
            <w:pPr>
              <w:widowControl/>
              <w:rPr>
                <w:rFonts w:hint="eastAsia" w:ascii="宋体" w:hAnsi="宋体" w:cs="宋体"/>
                <w:color w:val="auto"/>
                <w:szCs w:val="21"/>
                <w:highlight w:val="none"/>
              </w:rPr>
            </w:pPr>
            <w:r>
              <w:rPr>
                <w:rFonts w:hint="eastAsia" w:ascii="宋体" w:hAnsi="宋体" w:cs="宋体"/>
                <w:color w:val="auto"/>
                <w:szCs w:val="21"/>
                <w:highlight w:val="none"/>
              </w:rPr>
              <w:t>2.上装云台的远程控制 </w:t>
            </w:r>
          </w:p>
          <w:p>
            <w:pPr>
              <w:widowControl/>
              <w:rPr>
                <w:rFonts w:hint="eastAsia" w:ascii="宋体" w:hAnsi="宋体" w:cs="宋体"/>
                <w:color w:val="auto"/>
                <w:szCs w:val="21"/>
                <w:highlight w:val="none"/>
              </w:rPr>
            </w:pPr>
            <w:r>
              <w:rPr>
                <w:rFonts w:hint="eastAsia" w:ascii="宋体" w:hAnsi="宋体" w:cs="宋体"/>
                <w:color w:val="auto"/>
                <w:szCs w:val="21"/>
                <w:highlight w:val="none"/>
              </w:rPr>
              <w:t>3.视频数据实时回传显示  </w:t>
            </w:r>
          </w:p>
          <w:p>
            <w:pPr>
              <w:widowControl/>
              <w:rPr>
                <w:rFonts w:hint="eastAsia" w:ascii="宋体" w:hAnsi="宋体" w:cs="宋体" w:eastAsiaTheme="minorEastAsia"/>
                <w:color w:val="auto"/>
                <w:szCs w:val="21"/>
                <w:highlight w:val="none"/>
                <w:lang w:eastAsia="zh-CN"/>
              </w:rPr>
            </w:pPr>
            <w:r>
              <w:rPr>
                <w:rFonts w:hint="eastAsia" w:ascii="宋体" w:hAnsi="宋体" w:cs="宋体"/>
                <w:color w:val="auto"/>
                <w:szCs w:val="21"/>
                <w:highlight w:val="none"/>
              </w:rPr>
              <w:t>6.处理器：总核数≥20核</w:t>
            </w:r>
          </w:p>
          <w:p>
            <w:pPr>
              <w:widowControl/>
              <w:rPr>
                <w:rFonts w:hint="eastAsia" w:ascii="宋体" w:hAnsi="宋体" w:cs="宋体" w:eastAsiaTheme="minorEastAsia"/>
                <w:color w:val="auto"/>
                <w:szCs w:val="21"/>
                <w:highlight w:val="none"/>
                <w:lang w:eastAsia="zh-CN"/>
              </w:rPr>
            </w:pPr>
            <w:r>
              <w:rPr>
                <w:rFonts w:hint="eastAsia" w:ascii="宋体" w:hAnsi="宋体" w:cs="宋体"/>
                <w:color w:val="auto"/>
                <w:szCs w:val="21"/>
                <w:highlight w:val="none"/>
              </w:rPr>
              <w:t>7.GPU：12GB显存及以上</w:t>
            </w:r>
          </w:p>
          <w:p>
            <w:pPr>
              <w:widowControl/>
              <w:rPr>
                <w:rFonts w:hint="eastAsia" w:ascii="宋体" w:hAnsi="宋体" w:cs="宋体" w:eastAsiaTheme="minorEastAsia"/>
                <w:color w:val="auto"/>
                <w:szCs w:val="21"/>
                <w:highlight w:val="none"/>
                <w:lang w:eastAsia="zh-CN"/>
              </w:rPr>
            </w:pPr>
            <w:r>
              <w:rPr>
                <w:rFonts w:hint="eastAsia" w:ascii="宋体" w:hAnsi="宋体" w:cs="宋体"/>
                <w:color w:val="auto"/>
                <w:szCs w:val="21"/>
                <w:highlight w:val="none"/>
              </w:rPr>
              <w:t>8.硬盘：≥4T</w:t>
            </w:r>
          </w:p>
          <w:p>
            <w:pPr>
              <w:widowControl/>
              <w:rPr>
                <w:rFonts w:hint="eastAsia" w:ascii="宋体" w:hAnsi="宋体" w:cs="宋体" w:eastAsiaTheme="minorEastAsia"/>
                <w:color w:val="auto"/>
                <w:szCs w:val="21"/>
                <w:highlight w:val="none"/>
                <w:lang w:eastAsia="zh-CN"/>
              </w:rPr>
            </w:pPr>
            <w:r>
              <w:rPr>
                <w:rFonts w:hint="eastAsia" w:ascii="宋体" w:hAnsi="宋体" w:cs="宋体"/>
                <w:color w:val="auto"/>
                <w:szCs w:val="21"/>
                <w:highlight w:val="none"/>
              </w:rPr>
              <w:t>9.内存大小：≥64GB</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10.功率：≥1*750W</w:t>
            </w:r>
          </w:p>
          <w:p>
            <w:pPr>
              <w:pStyle w:val="2"/>
              <w:ind w:firstLine="0" w:firstLineChars="0"/>
              <w:rPr>
                <w:color w:val="auto"/>
                <w:highlight w:val="none"/>
              </w:rPr>
            </w:pPr>
            <w:r>
              <w:rPr>
                <w:rFonts w:hint="eastAsia" w:ascii="宋体" w:hAnsi="宋体" w:cs="宋体"/>
                <w:color w:val="auto"/>
                <w:sz w:val="21"/>
                <w:szCs w:val="21"/>
                <w:highlight w:val="none"/>
              </w:rPr>
              <w:t>11.固态硬盘：≥1T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1107" w:type="pct"/>
            <w:shd w:val="clear" w:color="auto" w:fill="auto"/>
            <w:tcMar>
              <w:top w:w="96" w:type="dxa"/>
              <w:left w:w="96" w:type="dxa"/>
              <w:bottom w:w="96" w:type="dxa"/>
              <w:right w:w="96" w:type="dxa"/>
            </w:tcMar>
            <w:vAlign w:val="center"/>
          </w:tcPr>
          <w:p>
            <w:pPr>
              <w:widowControl/>
              <w:rPr>
                <w:rFonts w:hint="eastAsia" w:ascii="宋体" w:hAnsi="宋体" w:cs="宋体"/>
                <w:b/>
                <w:bCs/>
                <w:color w:val="auto"/>
                <w:szCs w:val="21"/>
                <w:highlight w:val="none"/>
              </w:rPr>
            </w:pPr>
            <w:r>
              <w:rPr>
                <w:rFonts w:hint="eastAsia" w:ascii="宋体" w:hAnsi="宋体" w:cs="宋体"/>
                <w:color w:val="auto"/>
                <w:szCs w:val="21"/>
                <w:highlight w:val="none"/>
              </w:rPr>
              <w:t>巡检点位识别模块Ⅰ型</w:t>
            </w:r>
          </w:p>
        </w:tc>
        <w:tc>
          <w:tcPr>
            <w:tcW w:w="3892" w:type="pct"/>
            <w:shd w:val="clear" w:color="auto" w:fill="auto"/>
            <w:tcMar>
              <w:top w:w="96" w:type="dxa"/>
              <w:left w:w="96" w:type="dxa"/>
              <w:bottom w:w="96" w:type="dxa"/>
              <w:right w:w="96" w:type="dxa"/>
            </w:tcMar>
            <w:vAlign w:val="center"/>
          </w:tcPr>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1.110kv或35kv支持提供数据量≤600</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2.处理器：架构：ARM，核心数：≥8核</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3.内存：容量：≥8GB</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4.AI算力：算力性能：≥5TOPS</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5.接口要求：CANFD：≥7路，RS-485：≥2路，GPIO：≥4路，SBUS：≥1路</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6.通信要求：无线通信：支持</w:t>
            </w:r>
            <w:r>
              <w:rPr>
                <w:rFonts w:hint="eastAsia" w:ascii="宋体" w:hAnsi="宋体" w:cs="宋体"/>
                <w:color w:val="auto"/>
                <w:szCs w:val="21"/>
                <w:highlight w:val="none"/>
                <w:lang w:eastAsia="zh-CN"/>
              </w:rPr>
              <w:t>Wi-Fi7或WAPI</w:t>
            </w:r>
            <w:r>
              <w:rPr>
                <w:rFonts w:hint="eastAsia" w:ascii="宋体" w:hAnsi="宋体" w:cs="宋体"/>
                <w:color w:val="auto"/>
                <w:szCs w:val="21"/>
                <w:highlight w:val="none"/>
              </w:rPr>
              <w:t>，同时支持WIFI&amp;热点，2.4G和5G双频，800Mbps连接带宽，热点不跟随WIFI切换频率，WIFI切换上行AP站点时热点不断网</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7.算力扩展：扩展接口：支持PCIe×4及以上接口，最大扩展算力≥160TOPS，大语言推理速度Qwen30B不低于20token,Pi0.5推理速度不低于3Hz,功耗小于15瓦，备注：标配不含算力模组，仅要求接口及扩展能力</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8.环境适应性：工作温度：-20℃～+60℃（工业级），相对湿度：95%@40℃，无凝结</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9.机械可靠性：工作状态抗冲击：5G，11ms，非工作状态抗冲击：15G，11ms</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10.物理尺寸：主板外形尺寸：≤115mm×85mm（不含连接器）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1107" w:type="pct"/>
            <w:shd w:val="clear" w:color="auto" w:fill="auto"/>
            <w:tcMar>
              <w:top w:w="96" w:type="dxa"/>
              <w:left w:w="96" w:type="dxa"/>
              <w:bottom w:w="96" w:type="dxa"/>
              <w:right w:w="96" w:type="dxa"/>
            </w:tcMar>
            <w:vAlign w:val="center"/>
          </w:tcPr>
          <w:p>
            <w:pPr>
              <w:widowControl/>
              <w:rPr>
                <w:rFonts w:hint="eastAsia" w:ascii="宋体" w:hAnsi="宋体" w:cs="宋体"/>
                <w:color w:val="auto"/>
                <w:szCs w:val="21"/>
                <w:highlight w:val="none"/>
              </w:rPr>
            </w:pPr>
            <w:r>
              <w:rPr>
                <w:rFonts w:hint="eastAsia" w:ascii="宋体" w:hAnsi="宋体" w:cs="宋体"/>
                <w:color w:val="auto"/>
                <w:szCs w:val="21"/>
                <w:highlight w:val="none"/>
              </w:rPr>
              <w:t>巡检点位识别模块Ⅱ型</w:t>
            </w:r>
          </w:p>
        </w:tc>
        <w:tc>
          <w:tcPr>
            <w:tcW w:w="3892" w:type="pct"/>
            <w:shd w:val="clear" w:color="auto" w:fill="auto"/>
            <w:tcMar>
              <w:top w:w="96" w:type="dxa"/>
              <w:left w:w="96" w:type="dxa"/>
              <w:bottom w:w="96" w:type="dxa"/>
              <w:right w:w="96" w:type="dxa"/>
            </w:tcMar>
            <w:vAlign w:val="center"/>
          </w:tcPr>
          <w:p>
            <w:pPr>
              <w:pStyle w:val="2"/>
              <w:ind w:firstLine="0" w:firstLineChars="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1.220kv及以上变电站支持提供数据量≤3000</w:t>
            </w:r>
          </w:p>
          <w:p>
            <w:pPr>
              <w:pStyle w:val="2"/>
              <w:ind w:firstLine="0" w:firstLineChars="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2.处理器：架构：ARM，核心数：≥8核</w:t>
            </w:r>
          </w:p>
          <w:p>
            <w:pPr>
              <w:pStyle w:val="2"/>
              <w:ind w:firstLine="0" w:firstLineChars="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3.内存：容量：≥8GB</w:t>
            </w:r>
          </w:p>
          <w:p>
            <w:pPr>
              <w:pStyle w:val="2"/>
              <w:ind w:firstLine="0" w:firstLineChars="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4.AI算力：算力性能：≥5TOPS</w:t>
            </w:r>
          </w:p>
          <w:p>
            <w:pPr>
              <w:pStyle w:val="2"/>
              <w:ind w:firstLine="0" w:firstLineChars="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5.接口要求：CANFD：≥7路，RS-485：≥2路，GPIO：≥4路，SBUS：≥1路</w:t>
            </w:r>
          </w:p>
          <w:p>
            <w:pPr>
              <w:pStyle w:val="2"/>
              <w:ind w:firstLine="0" w:firstLineChars="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6.通信要求：无线通信：支持</w:t>
            </w:r>
            <w:r>
              <w:rPr>
                <w:rFonts w:hint="eastAsia" w:ascii="宋体" w:hAnsi="宋体" w:cs="宋体"/>
                <w:color w:val="auto"/>
                <w:sz w:val="21"/>
                <w:szCs w:val="21"/>
                <w:highlight w:val="none"/>
                <w:lang w:eastAsia="zh-CN"/>
              </w:rPr>
              <w:t>Wi-Fi7或WAPI</w:t>
            </w:r>
            <w:r>
              <w:rPr>
                <w:rFonts w:hint="eastAsia" w:ascii="宋体" w:hAnsi="宋体" w:cs="宋体"/>
                <w:color w:val="auto"/>
                <w:sz w:val="21"/>
                <w:szCs w:val="21"/>
                <w:highlight w:val="none"/>
              </w:rPr>
              <w:t>，同时支持WIFI&amp;热点，2.4G和5G双频，800Mbps连接带宽，热点不跟随WIFI切换频率，WIFI切换上行AP站点时热点不断网</w:t>
            </w:r>
          </w:p>
          <w:p>
            <w:pPr>
              <w:pStyle w:val="2"/>
              <w:ind w:firstLine="0" w:firstLineChars="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7.算力扩展：扩展接口：支持PCIe×4及以上接口，最大扩展算力≥160TOPS，大语言推理速度Qwen30B不低于20token,Pi0.5推理速度不低于3Hz,功耗小于15瓦，备注：标配不含算力模组，仅要求接口及扩展能力</w:t>
            </w:r>
          </w:p>
          <w:p>
            <w:pPr>
              <w:pStyle w:val="2"/>
              <w:ind w:firstLine="0" w:firstLineChars="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8.环境适应性：工作温度：-20℃～+60℃（工业级），相对湿度：95%@40℃，无凝结</w:t>
            </w:r>
          </w:p>
          <w:p>
            <w:pPr>
              <w:pStyle w:val="2"/>
              <w:ind w:firstLine="0" w:firstLineChars="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9.机械可靠性：工作状态抗冲击：5G，11ms，非工作状态抗冲击：15G，11ms</w:t>
            </w:r>
          </w:p>
          <w:p>
            <w:pPr>
              <w:pStyle w:val="2"/>
              <w:ind w:firstLine="0" w:firstLineChars="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10.物理尺寸：主板外形尺寸：≤115mm×85mm（不含连接器）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1107" w:type="pct"/>
            <w:shd w:val="clear" w:color="auto" w:fill="auto"/>
            <w:tcMar>
              <w:top w:w="96" w:type="dxa"/>
              <w:left w:w="96" w:type="dxa"/>
              <w:bottom w:w="96" w:type="dxa"/>
              <w:right w:w="96" w:type="dxa"/>
            </w:tcMar>
            <w:vAlign w:val="center"/>
          </w:tcPr>
          <w:p>
            <w:pPr>
              <w:widowControl/>
              <w:rPr>
                <w:rFonts w:hint="eastAsia" w:ascii="宋体" w:hAnsi="宋体" w:cs="宋体"/>
                <w:color w:val="auto"/>
                <w:szCs w:val="21"/>
                <w:highlight w:val="none"/>
              </w:rPr>
            </w:pPr>
            <w:r>
              <w:rPr>
                <w:rFonts w:hint="eastAsia" w:ascii="宋体" w:hAnsi="宋体" w:cs="宋体"/>
                <w:color w:val="auto"/>
                <w:szCs w:val="21"/>
                <w:highlight w:val="none"/>
              </w:rPr>
              <w:t>巡检点位识别模块Ⅲ型</w:t>
            </w:r>
          </w:p>
        </w:tc>
        <w:tc>
          <w:tcPr>
            <w:tcW w:w="3892" w:type="pct"/>
            <w:shd w:val="clear" w:color="auto" w:fill="auto"/>
            <w:tcMar>
              <w:top w:w="96" w:type="dxa"/>
              <w:left w:w="96" w:type="dxa"/>
              <w:bottom w:w="96" w:type="dxa"/>
              <w:right w:w="96" w:type="dxa"/>
            </w:tcMar>
            <w:vAlign w:val="center"/>
          </w:tcPr>
          <w:p>
            <w:pPr>
              <w:pStyle w:val="2"/>
              <w:ind w:firstLine="0" w:firstLineChars="0"/>
              <w:rPr>
                <w:rFonts w:hint="eastAsia" w:ascii="宋体" w:hAnsi="宋体" w:cs="宋体"/>
                <w:color w:val="auto"/>
                <w:sz w:val="21"/>
                <w:szCs w:val="21"/>
                <w:highlight w:val="none"/>
              </w:rPr>
            </w:pPr>
            <w:r>
              <w:rPr>
                <w:rFonts w:hint="eastAsia" w:ascii="宋体" w:hAnsi="宋体" w:cs="宋体"/>
                <w:color w:val="auto"/>
                <w:sz w:val="21"/>
                <w:szCs w:val="21"/>
                <w:highlight w:val="none"/>
              </w:rPr>
              <w:t>1.支持海外220kV及以上变电站提供数据量≤3000</w:t>
            </w:r>
          </w:p>
          <w:p>
            <w:pPr>
              <w:pStyle w:val="2"/>
              <w:ind w:firstLine="0" w:firstLineChars="0"/>
              <w:rPr>
                <w:rFonts w:hint="eastAsia" w:ascii="宋体" w:hAnsi="宋体" w:cs="宋体"/>
                <w:color w:val="auto"/>
                <w:sz w:val="21"/>
                <w:szCs w:val="21"/>
                <w:highlight w:val="none"/>
              </w:rPr>
            </w:pPr>
            <w:r>
              <w:rPr>
                <w:rFonts w:hint="eastAsia" w:ascii="宋体" w:hAnsi="宋体" w:cs="宋体"/>
                <w:color w:val="auto"/>
                <w:sz w:val="21"/>
                <w:szCs w:val="21"/>
                <w:highlight w:val="none"/>
              </w:rPr>
              <w:t>2.处理器： 架构：ARM，核心数：≥8核</w:t>
            </w:r>
          </w:p>
          <w:p>
            <w:pPr>
              <w:pStyle w:val="2"/>
              <w:ind w:firstLine="0" w:firstLineChars="0"/>
              <w:rPr>
                <w:rFonts w:hint="eastAsia" w:ascii="宋体" w:hAnsi="宋体" w:cs="宋体"/>
                <w:color w:val="auto"/>
                <w:sz w:val="21"/>
                <w:szCs w:val="21"/>
                <w:highlight w:val="none"/>
              </w:rPr>
            </w:pPr>
            <w:r>
              <w:rPr>
                <w:rFonts w:hint="eastAsia" w:ascii="宋体" w:hAnsi="宋体" w:cs="宋体"/>
                <w:color w:val="auto"/>
                <w:sz w:val="21"/>
                <w:szCs w:val="21"/>
                <w:highlight w:val="none"/>
              </w:rPr>
              <w:t>3. 内存： 容量：≥16 GB</w:t>
            </w:r>
          </w:p>
          <w:p>
            <w:pPr>
              <w:pStyle w:val="2"/>
              <w:ind w:firstLine="0" w:firstLineChars="0"/>
              <w:rPr>
                <w:rFonts w:hint="eastAsia" w:ascii="宋体" w:hAnsi="宋体" w:cs="宋体"/>
                <w:color w:val="auto"/>
                <w:sz w:val="21"/>
                <w:szCs w:val="21"/>
                <w:highlight w:val="none"/>
              </w:rPr>
            </w:pPr>
            <w:r>
              <w:rPr>
                <w:rFonts w:hint="eastAsia" w:ascii="宋体" w:hAnsi="宋体" w:cs="宋体"/>
                <w:color w:val="auto"/>
                <w:sz w:val="21"/>
                <w:szCs w:val="21"/>
                <w:highlight w:val="none"/>
              </w:rPr>
              <w:t>4. AI算力： 算力性能：≥160 TOPS</w:t>
            </w:r>
          </w:p>
          <w:p>
            <w:pPr>
              <w:pStyle w:val="2"/>
              <w:ind w:firstLine="0" w:firstLineChars="0"/>
              <w:rPr>
                <w:rFonts w:hint="eastAsia" w:ascii="宋体" w:hAnsi="宋体" w:cs="宋体"/>
                <w:color w:val="auto"/>
                <w:sz w:val="21"/>
                <w:szCs w:val="21"/>
                <w:highlight w:val="none"/>
              </w:rPr>
            </w:pPr>
            <w:r>
              <w:rPr>
                <w:rFonts w:hint="eastAsia" w:ascii="宋体" w:hAnsi="宋体" w:cs="宋体"/>
                <w:color w:val="auto"/>
                <w:sz w:val="21"/>
                <w:szCs w:val="21"/>
                <w:highlight w:val="none"/>
              </w:rPr>
              <w:t>5. 接口要求： CAN FD：≥7路，RS-485：≥2路，GPIO：≥4路，SBUS：≥1路</w:t>
            </w:r>
          </w:p>
          <w:p>
            <w:pPr>
              <w:pStyle w:val="2"/>
              <w:ind w:firstLine="0" w:firstLineChars="0"/>
              <w:rPr>
                <w:rFonts w:hint="eastAsia" w:ascii="宋体" w:hAnsi="宋体" w:cs="宋体"/>
                <w:color w:val="auto"/>
                <w:sz w:val="21"/>
                <w:szCs w:val="21"/>
                <w:highlight w:val="none"/>
              </w:rPr>
            </w:pPr>
            <w:r>
              <w:rPr>
                <w:rFonts w:hint="eastAsia" w:ascii="宋体" w:hAnsi="宋体" w:cs="宋体"/>
                <w:color w:val="auto"/>
                <w:sz w:val="21"/>
                <w:szCs w:val="21"/>
                <w:highlight w:val="none"/>
              </w:rPr>
              <w:t>6. 通信要求：无线通信：支持Wi-Fi 7或者WAPI，同时支持WIFI&amp;热点，2.4G和5G双频，800Mbps连接带宽，热点不跟随WIFI切换频率，WIFI切换上行AP站点时热点不断网</w:t>
            </w:r>
          </w:p>
          <w:p>
            <w:pPr>
              <w:pStyle w:val="2"/>
              <w:ind w:firstLine="0" w:firstLineChars="0"/>
              <w:rPr>
                <w:rFonts w:hint="eastAsia" w:ascii="宋体" w:hAnsi="宋体" w:cs="宋体"/>
                <w:color w:val="auto"/>
                <w:sz w:val="21"/>
                <w:szCs w:val="21"/>
                <w:highlight w:val="none"/>
              </w:rPr>
            </w:pPr>
            <w:r>
              <w:rPr>
                <w:rFonts w:hint="eastAsia" w:ascii="宋体" w:hAnsi="宋体" w:cs="宋体"/>
                <w:color w:val="auto"/>
                <w:sz w:val="21"/>
                <w:szCs w:val="21"/>
                <w:highlight w:val="none"/>
              </w:rPr>
              <w:t>7. 算力扩展：扩展接口：支持PCIe ×4及以上接口，扩展算力≥170大语言推理速度Qwen30B不低于20token, Pi0.5推理速度不低于3Hz , 功耗小于15瓦，备注：标配不含算力模组，仅要求接口及扩展能力</w:t>
            </w:r>
          </w:p>
          <w:p>
            <w:pPr>
              <w:pStyle w:val="2"/>
              <w:ind w:firstLine="0" w:firstLineChars="0"/>
              <w:rPr>
                <w:rFonts w:hint="eastAsia" w:ascii="宋体" w:hAnsi="宋体" w:cs="宋体"/>
                <w:color w:val="auto"/>
                <w:sz w:val="21"/>
                <w:szCs w:val="21"/>
                <w:highlight w:val="none"/>
              </w:rPr>
            </w:pPr>
            <w:r>
              <w:rPr>
                <w:rFonts w:hint="eastAsia" w:ascii="宋体" w:hAnsi="宋体" w:cs="宋体"/>
                <w:color w:val="auto"/>
                <w:sz w:val="21"/>
                <w:szCs w:val="21"/>
                <w:highlight w:val="none"/>
              </w:rPr>
              <w:t>8. 环境适应性：工作温度：-20℃ ～ +60℃（工业级），相对湿度95%@40℃，无凝结</w:t>
            </w:r>
          </w:p>
          <w:p>
            <w:pPr>
              <w:pStyle w:val="2"/>
              <w:ind w:firstLine="0" w:firstLineChars="0"/>
              <w:rPr>
                <w:rFonts w:hint="eastAsia" w:ascii="宋体" w:hAnsi="宋体" w:cs="宋体"/>
                <w:color w:val="auto"/>
                <w:sz w:val="21"/>
                <w:szCs w:val="21"/>
                <w:highlight w:val="none"/>
              </w:rPr>
            </w:pPr>
            <w:r>
              <w:rPr>
                <w:rFonts w:hint="eastAsia" w:ascii="宋体" w:hAnsi="宋体" w:cs="宋体"/>
                <w:color w:val="auto"/>
                <w:sz w:val="21"/>
                <w:szCs w:val="21"/>
                <w:highlight w:val="none"/>
              </w:rPr>
              <w:t>9. 机械可靠性：工作状态抗冲击：5G，11ms，非工作状态抗冲击：15G，11ms</w:t>
            </w:r>
          </w:p>
          <w:p>
            <w:pPr>
              <w:pStyle w:val="2"/>
              <w:ind w:firstLine="0" w:firstLineChars="0"/>
              <w:rPr>
                <w:rFonts w:hint="eastAsia" w:ascii="宋体" w:hAnsi="宋体" w:cs="宋体"/>
                <w:color w:val="auto"/>
                <w:sz w:val="21"/>
                <w:szCs w:val="21"/>
                <w:highlight w:val="none"/>
              </w:rPr>
            </w:pPr>
            <w:r>
              <w:rPr>
                <w:rFonts w:hint="eastAsia" w:ascii="宋体" w:hAnsi="宋体" w:cs="宋体"/>
                <w:color w:val="auto"/>
                <w:sz w:val="21"/>
                <w:szCs w:val="21"/>
                <w:highlight w:val="none"/>
              </w:rPr>
              <w:t>10. 物理尺寸：主板外形尺寸：≤115mm × 85mm（不含连接器）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1107" w:type="pct"/>
            <w:shd w:val="clear" w:color="auto" w:fill="auto"/>
            <w:tcMar>
              <w:top w:w="96" w:type="dxa"/>
              <w:left w:w="96" w:type="dxa"/>
              <w:bottom w:w="96" w:type="dxa"/>
              <w:right w:w="96" w:type="dxa"/>
            </w:tcMar>
            <w:vAlign w:val="center"/>
          </w:tcPr>
          <w:p>
            <w:pPr>
              <w:widowControl/>
              <w:rPr>
                <w:rFonts w:hint="eastAsia" w:ascii="宋体" w:hAnsi="宋体" w:cs="宋体"/>
                <w:color w:val="auto"/>
                <w:szCs w:val="21"/>
                <w:highlight w:val="none"/>
              </w:rPr>
            </w:pPr>
            <w:r>
              <w:rPr>
                <w:rFonts w:hint="eastAsia" w:ascii="宋体" w:hAnsi="宋体" w:cs="宋体"/>
                <w:color w:val="auto"/>
                <w:szCs w:val="21"/>
                <w:highlight w:val="none"/>
              </w:rPr>
              <w:t>赋能模块</w:t>
            </w:r>
          </w:p>
        </w:tc>
        <w:tc>
          <w:tcPr>
            <w:tcW w:w="3892" w:type="pct"/>
            <w:shd w:val="clear" w:color="auto" w:fill="auto"/>
            <w:tcMar>
              <w:top w:w="96" w:type="dxa"/>
              <w:left w:w="96" w:type="dxa"/>
              <w:bottom w:w="96" w:type="dxa"/>
              <w:right w:w="96" w:type="dxa"/>
            </w:tcMar>
            <w:vAlign w:val="center"/>
          </w:tcPr>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无点位自主巡逻</w:t>
            </w:r>
            <w:r>
              <w:rPr>
                <w:rFonts w:hint="eastAsia" w:ascii="宋体" w:hAnsi="宋体" w:cs="宋体"/>
                <w:color w:val="auto"/>
                <w:szCs w:val="21"/>
                <w:highlight w:val="none"/>
              </w:rPr>
              <w:t>数据量训练能力</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2.处理器：架构：ARM，核心数：≥8核</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3.内存：容量：≥8GB</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4.AI算力：算力性能：≥5TOPS</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5.接口要求：CANFD：≥7路，RS-485：≥2路，GPIO：≥4路，SBUS：≥1路</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6.通信要求：无线通信：支持</w:t>
            </w:r>
            <w:bookmarkStart w:id="7" w:name="OLE_LINK8"/>
            <w:r>
              <w:rPr>
                <w:rFonts w:hint="eastAsia" w:ascii="宋体" w:hAnsi="宋体" w:cs="宋体"/>
                <w:color w:val="auto"/>
                <w:szCs w:val="21"/>
                <w:highlight w:val="none"/>
              </w:rPr>
              <w:t>Wi-Fi</w:t>
            </w:r>
            <w:r>
              <w:rPr>
                <w:rFonts w:hint="eastAsia" w:ascii="宋体" w:hAnsi="宋体" w:cs="宋体"/>
                <w:color w:val="auto"/>
                <w:szCs w:val="21"/>
                <w:highlight w:val="none"/>
                <w:lang w:val="en-US" w:eastAsia="zh-CN"/>
              </w:rPr>
              <w:t>7</w:t>
            </w:r>
            <w:bookmarkStart w:id="8" w:name="OLE_LINK7"/>
            <w:r>
              <w:rPr>
                <w:rFonts w:hint="eastAsia" w:ascii="宋体" w:hAnsi="宋体" w:cs="宋体"/>
                <w:color w:val="auto"/>
                <w:szCs w:val="21"/>
                <w:highlight w:val="none"/>
                <w:lang w:val="en-US" w:eastAsia="zh-CN"/>
              </w:rPr>
              <w:t>或WAPI</w:t>
            </w:r>
            <w:bookmarkEnd w:id="7"/>
            <w:bookmarkEnd w:id="8"/>
            <w:r>
              <w:rPr>
                <w:rFonts w:hint="eastAsia" w:ascii="宋体" w:hAnsi="宋体" w:cs="宋体"/>
                <w:color w:val="auto"/>
                <w:szCs w:val="21"/>
                <w:highlight w:val="none"/>
              </w:rPr>
              <w:t>，同时支持WIFI&amp;热点，2.4G和5G双频，800Mbps连接带宽，热点不跟随WIFI切换频率，WIFI切换上行AP站点时热点不断网</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7.算力扩展：扩展接口：支持PCIe×4及以上接口，最大扩展算力≥160TOPS，大语言推理速度Qwen30B不低于20token,Pi0.5推理速度不低于3Hz,功耗小于15瓦，备注：标配不含算力模组，仅要求接口及扩展能力</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8.环境适应性：工作温度：-20℃～+60℃（工业级），相对湿度：95%@40℃，无凝结</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9.机械可靠性：工作状态抗冲击：5G，11ms，非工作状态抗冲击：15G，11ms</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10.物理尺寸：主板外形尺寸：≤115mm×85mm（不含连接器）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1107" w:type="pct"/>
            <w:shd w:val="clear" w:color="auto" w:fill="auto"/>
            <w:tcMar>
              <w:top w:w="96" w:type="dxa"/>
              <w:left w:w="96" w:type="dxa"/>
              <w:bottom w:w="96" w:type="dxa"/>
              <w:right w:w="96" w:type="dxa"/>
            </w:tcMar>
            <w:vAlign w:val="center"/>
          </w:tcPr>
          <w:p>
            <w:pPr>
              <w:widowControl/>
              <w:rPr>
                <w:rFonts w:hint="eastAsia" w:ascii="宋体" w:hAnsi="宋体" w:cs="宋体"/>
                <w:color w:val="auto"/>
                <w:szCs w:val="21"/>
                <w:highlight w:val="none"/>
              </w:rPr>
            </w:pPr>
            <w:r>
              <w:rPr>
                <w:rFonts w:hint="eastAsia" w:ascii="宋体" w:hAnsi="宋体" w:cs="宋体"/>
                <w:color w:val="auto"/>
                <w:szCs w:val="21"/>
                <w:highlight w:val="none"/>
              </w:rPr>
              <w:t>充电桩Ⅰ型</w:t>
            </w:r>
          </w:p>
        </w:tc>
        <w:tc>
          <w:tcPr>
            <w:tcW w:w="3892" w:type="pct"/>
            <w:shd w:val="clear" w:color="auto" w:fill="auto"/>
            <w:tcMar>
              <w:top w:w="96" w:type="dxa"/>
              <w:left w:w="96" w:type="dxa"/>
              <w:bottom w:w="96" w:type="dxa"/>
              <w:right w:w="96" w:type="dxa"/>
            </w:tcMar>
            <w:vAlign w:val="center"/>
          </w:tcPr>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1.输入：100~240VAC </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2.充电电压/电流：43~76VDC@6~20A</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3.充电指示灯：亮时表示机器人正在充电；灭时代表未在充电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1107" w:type="pct"/>
            <w:shd w:val="clear" w:color="auto" w:fill="auto"/>
            <w:tcMar>
              <w:top w:w="96" w:type="dxa"/>
              <w:left w:w="96" w:type="dxa"/>
              <w:bottom w:w="96" w:type="dxa"/>
              <w:right w:w="96" w:type="dxa"/>
            </w:tcMar>
            <w:vAlign w:val="center"/>
          </w:tcPr>
          <w:p>
            <w:pPr>
              <w:widowControl/>
              <w:rPr>
                <w:rFonts w:hint="eastAsia" w:ascii="宋体" w:hAnsi="宋体" w:cs="宋体"/>
                <w:color w:val="auto"/>
                <w:szCs w:val="21"/>
                <w:highlight w:val="none"/>
              </w:rPr>
            </w:pPr>
            <w:r>
              <w:rPr>
                <w:rFonts w:hint="eastAsia" w:ascii="宋体" w:hAnsi="宋体" w:cs="宋体"/>
                <w:color w:val="auto"/>
                <w:szCs w:val="21"/>
                <w:highlight w:val="none"/>
              </w:rPr>
              <w:t>充电桩Ⅱ型</w:t>
            </w:r>
          </w:p>
        </w:tc>
        <w:tc>
          <w:tcPr>
            <w:tcW w:w="3892" w:type="pct"/>
            <w:shd w:val="clear" w:color="auto" w:fill="auto"/>
            <w:tcMar>
              <w:top w:w="96" w:type="dxa"/>
              <w:left w:w="96" w:type="dxa"/>
              <w:bottom w:w="96" w:type="dxa"/>
              <w:right w:w="96" w:type="dxa"/>
            </w:tcMar>
            <w:vAlign w:val="center"/>
          </w:tcPr>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1.输入电压：100~240V</w:t>
            </w:r>
          </w:p>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2.充电电压/电流：</w:t>
            </w:r>
            <w:r>
              <w:rPr>
                <w:color w:val="auto"/>
                <w:highlight w:val="none"/>
              </w:rPr>
              <w:fldChar w:fldCharType="begin"/>
            </w:r>
            <w:r>
              <w:rPr>
                <w:color w:val="auto"/>
                <w:highlight w:val="none"/>
              </w:rPr>
              <w:instrText xml:space="preserve"> HYPERLINK "mailto:50.4VDC@5A" </w:instrText>
            </w:r>
            <w:r>
              <w:rPr>
                <w:color w:val="auto"/>
                <w:highlight w:val="none"/>
              </w:rPr>
              <w:fldChar w:fldCharType="separate"/>
            </w:r>
            <w:r>
              <w:rPr>
                <w:rFonts w:hint="eastAsia" w:ascii="宋体" w:hAnsi="宋体" w:cs="宋体"/>
                <w:color w:val="auto"/>
                <w:szCs w:val="21"/>
                <w:highlight w:val="none"/>
              </w:rPr>
              <w:t>50.4VDC@5A</w:t>
            </w:r>
            <w:r>
              <w:rPr>
                <w:rFonts w:hint="eastAsia" w:ascii="宋体" w:hAnsi="宋体" w:cs="宋体"/>
                <w:color w:val="auto"/>
                <w:szCs w:val="21"/>
                <w:highlight w:val="none"/>
              </w:rPr>
              <w:fldChar w:fldCharType="end"/>
            </w:r>
          </w:p>
          <w:p>
            <w:pPr>
              <w:widowControl/>
              <w:rPr>
                <w:rFonts w:hint="eastAsia" w:ascii="宋体" w:hAnsi="宋体" w:cs="宋体"/>
                <w:color w:val="auto"/>
                <w:szCs w:val="21"/>
                <w:highlight w:val="none"/>
              </w:rPr>
            </w:pPr>
            <w:r>
              <w:rPr>
                <w:rFonts w:hint="eastAsia" w:ascii="宋体" w:hAnsi="宋体" w:cs="宋体"/>
                <w:color w:val="auto"/>
                <w:szCs w:val="21"/>
                <w:highlight w:val="none"/>
              </w:rPr>
              <w:t>3.充电指示灯：亮时表示机器人正在充电；灭时代表未在充电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1107" w:type="pct"/>
            <w:shd w:val="clear" w:color="auto" w:fill="auto"/>
            <w:tcMar>
              <w:top w:w="96" w:type="dxa"/>
              <w:left w:w="96" w:type="dxa"/>
              <w:bottom w:w="96" w:type="dxa"/>
              <w:right w:w="96" w:type="dxa"/>
            </w:tcMar>
            <w:vAlign w:val="center"/>
          </w:tcPr>
          <w:p>
            <w:pPr>
              <w:widowControl/>
              <w:rPr>
                <w:rFonts w:hint="eastAsia" w:ascii="宋体" w:hAnsi="宋体" w:cs="宋体"/>
                <w:color w:val="auto"/>
                <w:szCs w:val="21"/>
                <w:highlight w:val="none"/>
              </w:rPr>
            </w:pPr>
            <w:r>
              <w:rPr>
                <w:rFonts w:hint="eastAsia" w:ascii="宋体" w:hAnsi="宋体" w:cs="宋体"/>
                <w:color w:val="auto"/>
                <w:szCs w:val="21"/>
                <w:highlight w:val="none"/>
              </w:rPr>
              <w:t>算力板模块</w:t>
            </w:r>
          </w:p>
        </w:tc>
        <w:tc>
          <w:tcPr>
            <w:tcW w:w="3892" w:type="pct"/>
            <w:shd w:val="clear" w:color="auto" w:fill="auto"/>
            <w:tcMar>
              <w:top w:w="96" w:type="dxa"/>
              <w:left w:w="96" w:type="dxa"/>
              <w:bottom w:w="96" w:type="dxa"/>
              <w:right w:w="96" w:type="dxa"/>
            </w:tcMar>
            <w:vAlign w:val="center"/>
          </w:tcPr>
          <w:p>
            <w:pPr>
              <w:widowControl/>
              <w:jc w:val="left"/>
              <w:rPr>
                <w:rFonts w:hint="eastAsia" w:ascii="宋体" w:hAnsi="宋体" w:cs="宋体"/>
                <w:color w:val="auto"/>
                <w:szCs w:val="21"/>
                <w:highlight w:val="none"/>
              </w:rPr>
            </w:pPr>
            <w:r>
              <w:rPr>
                <w:rFonts w:hint="eastAsia" w:ascii="宋体" w:hAnsi="宋体" w:cs="宋体"/>
                <w:color w:val="auto"/>
                <w:szCs w:val="21"/>
                <w:highlight w:val="none"/>
              </w:rPr>
              <w:t>1.预留完整软硬件开发接口与拓展能力，满足定制化改造与功能迭代</w:t>
            </w:r>
          </w:p>
          <w:p>
            <w:pPr>
              <w:pStyle w:val="2"/>
              <w:ind w:firstLine="0" w:firstLineChars="0"/>
              <w:rPr>
                <w:rFonts w:hint="eastAsia" w:ascii="宋体" w:hAnsi="宋体" w:cs="宋体"/>
                <w:color w:val="auto"/>
                <w:sz w:val="21"/>
                <w:szCs w:val="21"/>
                <w:highlight w:val="none"/>
              </w:rPr>
            </w:pPr>
            <w:r>
              <w:rPr>
                <w:rFonts w:hint="eastAsia" w:ascii="宋体" w:hAnsi="宋体" w:cs="宋体"/>
                <w:color w:val="auto"/>
                <w:sz w:val="21"/>
                <w:szCs w:val="21"/>
                <w:highlight w:val="none"/>
              </w:rPr>
              <w:t>2.搭载RGB可见光摄像头，可进行拍照摄像进行传输</w:t>
            </w:r>
          </w:p>
          <w:p>
            <w:pPr>
              <w:pStyle w:val="2"/>
              <w:ind w:firstLine="0" w:firstLineChars="0"/>
              <w:rPr>
                <w:rFonts w:hint="eastAsia" w:ascii="宋体" w:hAnsi="宋体" w:cs="宋体"/>
                <w:color w:val="auto"/>
                <w:sz w:val="21"/>
                <w:szCs w:val="21"/>
                <w:highlight w:val="none"/>
              </w:rPr>
            </w:pPr>
            <w:r>
              <w:rPr>
                <w:rFonts w:hint="eastAsia" w:ascii="宋体" w:hAnsi="宋体" w:cs="宋体"/>
                <w:color w:val="auto"/>
                <w:sz w:val="21"/>
                <w:szCs w:val="21"/>
                <w:highlight w:val="none"/>
              </w:rPr>
              <w:t>3.支持语音交互</w:t>
            </w:r>
          </w:p>
        </w:tc>
      </w:tr>
    </w:tbl>
    <w:p>
      <w:pPr>
        <w:rPr>
          <w:highlight w:val="none"/>
        </w:rPr>
      </w:pPr>
    </w:p>
    <w:p>
      <w:pPr>
        <w:pStyle w:val="6"/>
        <w:keepNext w:val="0"/>
        <w:keepLines w:val="0"/>
        <w:widowControl/>
        <w:tabs>
          <w:tab w:val="left" w:pos="1276"/>
        </w:tabs>
        <w:rPr>
          <w:rFonts w:hint="eastAsia" w:ascii="宋体" w:hAnsi="宋体" w:eastAsia="宋体"/>
          <w:color w:val="000000"/>
          <w:sz w:val="28"/>
          <w:szCs w:val="28"/>
          <w:highlight w:val="none"/>
        </w:rPr>
      </w:pPr>
      <w:r>
        <w:rPr>
          <w:rFonts w:hint="eastAsia" w:ascii="宋体" w:hAnsi="宋体" w:eastAsia="宋体"/>
          <w:color w:val="000000"/>
          <w:sz w:val="28"/>
          <w:szCs w:val="28"/>
          <w:highlight w:val="none"/>
        </w:rPr>
        <w:t>7.4 功能要求</w:t>
      </w:r>
    </w:p>
    <w:p>
      <w:pPr>
        <w:rPr>
          <w:rFonts w:hint="eastAsia" w:ascii="宋体" w:hAnsi="宋体"/>
          <w:color w:val="000000"/>
          <w:sz w:val="28"/>
          <w:szCs w:val="28"/>
          <w:highlight w:val="none"/>
        </w:rPr>
      </w:pPr>
      <w:r>
        <w:rPr>
          <w:rFonts w:hint="eastAsia"/>
          <w:highlight w:val="none"/>
        </w:rPr>
        <w:t>7.4.1</w:t>
      </w:r>
    </w:p>
    <w:p>
      <w:pPr>
        <w:widowControl/>
        <w:spacing w:line="360" w:lineRule="auto"/>
        <w:ind w:firstLine="420" w:firstLineChars="200"/>
        <w:jc w:val="left"/>
        <w:rPr>
          <w:rFonts w:hint="eastAsia" w:ascii="宋体" w:hAnsi="宋体" w:cs="宋体"/>
          <w:color w:val="000000"/>
          <w:kern w:val="0"/>
          <w:szCs w:val="21"/>
          <w:highlight w:val="none"/>
          <w:lang w:bidi="ar"/>
        </w:rPr>
      </w:pPr>
      <w:r>
        <w:rPr>
          <w:rFonts w:hint="eastAsia" w:ascii="宋体" w:hAnsi="宋体" w:cs="宋体"/>
          <w:color w:val="000000"/>
          <w:kern w:val="0"/>
          <w:szCs w:val="21"/>
          <w:highlight w:val="none"/>
          <w:lang w:bidi="ar"/>
        </w:rPr>
        <w:t>代工方需通过精准的加工、装配，确保产品实现以下全部功能，功能测试100%合格后方可出厂：</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2336"/>
        <w:gridCol w:w="79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3" w:hRule="atLeast"/>
          <w:tblHeader/>
        </w:trPr>
        <w:tc>
          <w:tcPr>
            <w:tcW w:w="0" w:type="auto"/>
            <w:shd w:val="clear" w:color="auto" w:fill="auto"/>
            <w:tcMar>
              <w:top w:w="96" w:type="dxa"/>
              <w:left w:w="96" w:type="dxa"/>
              <w:bottom w:w="96" w:type="dxa"/>
              <w:right w:w="96" w:type="dxa"/>
            </w:tcMar>
            <w:vAlign w:val="center"/>
          </w:tcPr>
          <w:p>
            <w:pPr>
              <w:widowControl/>
              <w:rPr>
                <w:rFonts w:hint="eastAsia" w:ascii="宋体" w:hAnsi="宋体" w:cs="宋体"/>
                <w:b/>
                <w:bCs/>
                <w:szCs w:val="21"/>
                <w:highlight w:val="none"/>
              </w:rPr>
            </w:pPr>
            <w:r>
              <w:rPr>
                <w:rFonts w:hint="eastAsia" w:ascii="宋体" w:hAnsi="宋体" w:cs="宋体"/>
                <w:b/>
                <w:bCs/>
                <w:szCs w:val="21"/>
                <w:highlight w:val="none"/>
              </w:rPr>
              <w:t>套件</w:t>
            </w:r>
          </w:p>
        </w:tc>
        <w:tc>
          <w:tcPr>
            <w:tcW w:w="0" w:type="auto"/>
            <w:shd w:val="clear" w:color="auto" w:fill="auto"/>
            <w:tcMar>
              <w:top w:w="96" w:type="dxa"/>
              <w:left w:w="96" w:type="dxa"/>
              <w:bottom w:w="96" w:type="dxa"/>
              <w:right w:w="96" w:type="dxa"/>
            </w:tcMar>
            <w:vAlign w:val="center"/>
          </w:tcPr>
          <w:p>
            <w:pPr>
              <w:widowControl/>
              <w:rPr>
                <w:rFonts w:hint="eastAsia" w:ascii="宋体" w:hAnsi="宋体" w:cs="宋体"/>
                <w:b/>
                <w:bCs/>
                <w:szCs w:val="21"/>
                <w:highlight w:val="none"/>
              </w:rPr>
            </w:pPr>
            <w:r>
              <w:rPr>
                <w:rFonts w:hint="eastAsia" w:ascii="宋体" w:hAnsi="宋体" w:cs="宋体"/>
                <w:b/>
                <w:bCs/>
                <w:szCs w:val="21"/>
                <w:highlight w:val="none"/>
              </w:rPr>
              <w:t>部件功能要求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0" w:type="auto"/>
            <w:shd w:val="clear" w:color="auto" w:fill="auto"/>
            <w:tcMar>
              <w:top w:w="96" w:type="dxa"/>
              <w:left w:w="96" w:type="dxa"/>
              <w:bottom w:w="96" w:type="dxa"/>
              <w:right w:w="96" w:type="dxa"/>
            </w:tcMar>
            <w:vAlign w:val="center"/>
          </w:tcPr>
          <w:p>
            <w:pP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小六足机器人</w:t>
            </w:r>
          </w:p>
          <w:p>
            <w:pPr>
              <w:widowControl/>
              <w:rPr>
                <w:rFonts w:hint="eastAsia" w:ascii="宋体" w:hAnsi="宋体" w:cs="宋体"/>
                <w:b/>
                <w:bCs/>
                <w:szCs w:val="21"/>
                <w:highlight w:val="none"/>
              </w:rPr>
            </w:pPr>
            <w:r>
              <w:rPr>
                <w:rFonts w:hint="eastAsia" w:ascii="宋体" w:hAnsi="宋体" w:cs="宋体"/>
                <w:color w:val="000000" w:themeColor="text1"/>
                <w:szCs w:val="21"/>
                <w:highlight w:val="none"/>
                <w14:textFill>
                  <w14:solidFill>
                    <w14:schemeClr w14:val="tx1"/>
                  </w14:solidFill>
                </w14:textFill>
              </w:rPr>
              <w:t>框架壳体</w:t>
            </w:r>
          </w:p>
        </w:tc>
        <w:tc>
          <w:tcPr>
            <w:tcW w:w="0" w:type="auto"/>
            <w:shd w:val="clear" w:color="auto" w:fill="auto"/>
            <w:tcMar>
              <w:top w:w="96" w:type="dxa"/>
              <w:left w:w="96" w:type="dxa"/>
              <w:bottom w:w="96" w:type="dxa"/>
              <w:right w:w="96" w:type="dxa"/>
            </w:tcMar>
            <w:vAlign w:val="center"/>
          </w:tcPr>
          <w:p>
            <w:pPr>
              <w:widowControl/>
              <w:jc w:val="left"/>
              <w:rPr>
                <w:rFonts w:hint="eastAsia" w:ascii="宋体" w:hAnsi="宋体" w:cs="宋体"/>
                <w:szCs w:val="21"/>
                <w:highlight w:val="none"/>
              </w:rPr>
            </w:pPr>
            <w:r>
              <w:rPr>
                <w:rFonts w:hint="eastAsia" w:ascii="宋体" w:hAnsi="宋体" w:cs="宋体"/>
                <w:szCs w:val="21"/>
                <w:highlight w:val="none"/>
              </w:rPr>
              <w:t>1.在复杂地形下具有稳定性与扛冲击性。</w:t>
            </w:r>
          </w:p>
          <w:p>
            <w:pPr>
              <w:widowControl/>
              <w:jc w:val="left"/>
              <w:rPr>
                <w:rFonts w:hint="eastAsia" w:ascii="宋体" w:hAnsi="宋体" w:cs="宋体"/>
                <w:szCs w:val="21"/>
                <w:highlight w:val="none"/>
              </w:rPr>
            </w:pPr>
            <w:r>
              <w:rPr>
                <w:rFonts w:hint="eastAsia" w:ascii="宋体" w:hAnsi="宋体" w:cs="宋体"/>
                <w:szCs w:val="21"/>
                <w:highlight w:val="none"/>
              </w:rPr>
              <w:t>2.整机的防水防尘不低于IP54</w:t>
            </w:r>
          </w:p>
          <w:p>
            <w:pPr>
              <w:widowControl/>
              <w:rPr>
                <w:rFonts w:hint="eastAsia" w:ascii="宋体" w:hAnsi="宋体" w:cs="宋体"/>
                <w:szCs w:val="21"/>
                <w:highlight w:val="none"/>
              </w:rPr>
            </w:pPr>
            <w:r>
              <w:rPr>
                <w:rFonts w:hint="eastAsia" w:ascii="宋体" w:hAnsi="宋体" w:cs="宋体"/>
                <w:szCs w:val="21"/>
                <w:highlight w:val="none"/>
              </w:rPr>
              <w:t>3.适用于应急巡查/巡检的场景下适用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0" w:type="auto"/>
            <w:shd w:val="clear" w:color="auto" w:fill="auto"/>
            <w:tcMar>
              <w:top w:w="96" w:type="dxa"/>
              <w:left w:w="96" w:type="dxa"/>
              <w:bottom w:w="96" w:type="dxa"/>
              <w:right w:w="96" w:type="dxa"/>
            </w:tcMar>
            <w:vAlign w:val="center"/>
          </w:tcPr>
          <w:p>
            <w:pP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大六足机器人框架壳体</w:t>
            </w:r>
          </w:p>
        </w:tc>
        <w:tc>
          <w:tcPr>
            <w:tcW w:w="0" w:type="auto"/>
            <w:shd w:val="clear" w:color="auto" w:fill="auto"/>
            <w:tcMar>
              <w:top w:w="96" w:type="dxa"/>
              <w:left w:w="96" w:type="dxa"/>
              <w:bottom w:w="96" w:type="dxa"/>
              <w:right w:w="96" w:type="dxa"/>
            </w:tcMar>
            <w:vAlign w:val="center"/>
          </w:tcPr>
          <w:p>
            <w:pPr>
              <w:widowControl/>
              <w:jc w:val="left"/>
              <w:rPr>
                <w:rFonts w:hint="eastAsia" w:ascii="宋体" w:hAnsi="宋体" w:cs="宋体"/>
                <w:szCs w:val="21"/>
                <w:highlight w:val="none"/>
              </w:rPr>
            </w:pPr>
            <w:r>
              <w:rPr>
                <w:rFonts w:hint="eastAsia" w:ascii="宋体" w:hAnsi="宋体" w:cs="宋体"/>
                <w:szCs w:val="21"/>
                <w:highlight w:val="none"/>
              </w:rPr>
              <w:t>1.在复杂地形下具有稳定性与扛冲击性。</w:t>
            </w:r>
          </w:p>
          <w:p>
            <w:pPr>
              <w:widowControl/>
              <w:jc w:val="left"/>
              <w:rPr>
                <w:rFonts w:hint="eastAsia" w:ascii="宋体" w:hAnsi="宋体" w:cs="宋体"/>
                <w:szCs w:val="21"/>
                <w:highlight w:val="none"/>
              </w:rPr>
            </w:pPr>
            <w:r>
              <w:rPr>
                <w:rFonts w:hint="eastAsia" w:ascii="宋体" w:hAnsi="宋体" w:cs="宋体"/>
                <w:szCs w:val="21"/>
                <w:highlight w:val="none"/>
              </w:rPr>
              <w:t>2.整机的防水防尘不低于IP54</w:t>
            </w:r>
          </w:p>
          <w:p>
            <w:pPr>
              <w:widowControl/>
              <w:jc w:val="left"/>
              <w:rPr>
                <w:rFonts w:hint="eastAsia" w:ascii="宋体" w:hAnsi="宋体" w:cs="宋体"/>
                <w:szCs w:val="21"/>
                <w:highlight w:val="none"/>
              </w:rPr>
            </w:pPr>
            <w:r>
              <w:rPr>
                <w:rFonts w:hint="eastAsia" w:ascii="宋体" w:hAnsi="宋体" w:cs="宋体"/>
                <w:szCs w:val="21"/>
                <w:highlight w:val="none"/>
              </w:rPr>
              <w:t>3.适用于应急巡查/巡检的场景下适用</w:t>
            </w:r>
          </w:p>
          <w:p>
            <w:pPr>
              <w:pStyle w:val="2"/>
              <w:ind w:firstLine="0" w:firstLineChars="0"/>
              <w:rPr>
                <w:rFonts w:hint="eastAsia" w:ascii="宋体" w:hAnsi="宋体" w:cs="宋体"/>
                <w:sz w:val="21"/>
                <w:szCs w:val="21"/>
                <w:highlight w:val="none"/>
              </w:rPr>
            </w:pPr>
            <w:r>
              <w:rPr>
                <w:rFonts w:hint="eastAsia" w:ascii="宋体" w:hAnsi="宋体" w:cs="宋体"/>
                <w:sz w:val="21"/>
                <w:szCs w:val="21"/>
                <w:highlight w:val="none"/>
              </w:rPr>
              <w:t>4.具有负载能力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0" w:type="auto"/>
            <w:shd w:val="clear" w:color="auto" w:fill="auto"/>
            <w:tcMar>
              <w:top w:w="96" w:type="dxa"/>
              <w:left w:w="96" w:type="dxa"/>
              <w:bottom w:w="96" w:type="dxa"/>
              <w:right w:w="96" w:type="dxa"/>
            </w:tcMar>
            <w:vAlign w:val="center"/>
          </w:tcPr>
          <w:p>
            <w:pPr>
              <w:widowControl/>
              <w:rPr>
                <w:rFonts w:hint="eastAsia" w:ascii="宋体" w:hAnsi="宋体" w:cs="宋体"/>
                <w:b/>
                <w:bCs/>
                <w:szCs w:val="21"/>
                <w:highlight w:val="none"/>
              </w:rPr>
            </w:pPr>
            <w:r>
              <w:rPr>
                <w:rFonts w:hint="eastAsia" w:ascii="宋体" w:hAnsi="宋体" w:cs="宋体"/>
                <w:szCs w:val="21"/>
                <w:highlight w:val="none"/>
              </w:rPr>
              <w:t>小四轮足机器人框架壳体</w:t>
            </w:r>
          </w:p>
        </w:tc>
        <w:tc>
          <w:tcPr>
            <w:tcW w:w="0" w:type="auto"/>
            <w:shd w:val="clear" w:color="auto" w:fill="auto"/>
            <w:tcMar>
              <w:top w:w="96" w:type="dxa"/>
              <w:left w:w="96" w:type="dxa"/>
              <w:bottom w:w="96" w:type="dxa"/>
              <w:right w:w="96" w:type="dxa"/>
            </w:tcMar>
            <w:vAlign w:val="center"/>
          </w:tcPr>
          <w:p>
            <w:pPr>
              <w:widowControl/>
              <w:jc w:val="left"/>
              <w:rPr>
                <w:rFonts w:hint="eastAsia" w:ascii="宋体" w:hAnsi="宋体" w:cs="宋体"/>
                <w:szCs w:val="21"/>
                <w:highlight w:val="none"/>
              </w:rPr>
            </w:pPr>
            <w:r>
              <w:rPr>
                <w:rFonts w:hint="eastAsia" w:ascii="宋体" w:hAnsi="宋体" w:cs="宋体"/>
                <w:szCs w:val="21"/>
                <w:highlight w:val="none"/>
              </w:rPr>
              <w:t>1.在复杂地形下具有稳定性与扛冲击性。</w:t>
            </w:r>
          </w:p>
          <w:p>
            <w:pPr>
              <w:widowControl/>
              <w:jc w:val="left"/>
              <w:rPr>
                <w:rFonts w:hint="eastAsia" w:ascii="宋体" w:hAnsi="宋体" w:cs="宋体"/>
                <w:szCs w:val="21"/>
                <w:highlight w:val="none"/>
              </w:rPr>
            </w:pPr>
            <w:r>
              <w:rPr>
                <w:rFonts w:hint="eastAsia" w:ascii="宋体" w:hAnsi="宋体" w:cs="宋体"/>
                <w:szCs w:val="21"/>
                <w:highlight w:val="none"/>
              </w:rPr>
              <w:t>2.整机的防水防尘不低于IP54</w:t>
            </w:r>
          </w:p>
          <w:p>
            <w:pPr>
              <w:widowControl/>
              <w:rPr>
                <w:rFonts w:hint="eastAsia" w:ascii="宋体" w:hAnsi="宋体" w:cs="宋体"/>
                <w:szCs w:val="21"/>
                <w:highlight w:val="none"/>
              </w:rPr>
            </w:pPr>
            <w:r>
              <w:rPr>
                <w:rFonts w:hint="eastAsia" w:ascii="宋体" w:hAnsi="宋体" w:cs="宋体"/>
                <w:szCs w:val="21"/>
                <w:highlight w:val="none"/>
              </w:rPr>
              <w:t>3.适用于应急巡查/巡检/应急勘察的场景下适用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0" w:type="auto"/>
            <w:shd w:val="clear" w:color="auto" w:fill="auto"/>
            <w:tcMar>
              <w:top w:w="96" w:type="dxa"/>
              <w:left w:w="96" w:type="dxa"/>
              <w:bottom w:w="96" w:type="dxa"/>
              <w:right w:w="96" w:type="dxa"/>
            </w:tcMar>
            <w:vAlign w:val="center"/>
          </w:tcPr>
          <w:p>
            <w:pPr>
              <w:widowControl/>
              <w:numPr>
                <w:ilvl w:val="255"/>
                <w:numId w:val="0"/>
              </w:numPr>
              <w:rPr>
                <w:rFonts w:hint="eastAsia" w:ascii="宋体" w:hAnsi="宋体" w:cs="宋体"/>
                <w:b/>
                <w:bCs/>
                <w:szCs w:val="21"/>
                <w:highlight w:val="none"/>
              </w:rPr>
            </w:pPr>
            <w:r>
              <w:rPr>
                <w:rFonts w:hint="eastAsia" w:ascii="宋体" w:hAnsi="宋体" w:cs="宋体"/>
                <w:szCs w:val="21"/>
                <w:highlight w:val="none"/>
              </w:rPr>
              <w:t>中型轮足机器人框架壳体</w:t>
            </w:r>
          </w:p>
        </w:tc>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1.能在复杂地形下的稳定性与扛冲击性</w:t>
            </w:r>
          </w:p>
          <w:p>
            <w:pPr>
              <w:widowControl/>
              <w:rPr>
                <w:rFonts w:hint="eastAsia" w:ascii="宋体" w:hAnsi="宋体" w:cs="宋体"/>
                <w:szCs w:val="21"/>
                <w:highlight w:val="none"/>
              </w:rPr>
            </w:pPr>
            <w:r>
              <w:rPr>
                <w:rFonts w:hint="eastAsia" w:ascii="宋体" w:hAnsi="宋体" w:cs="宋体"/>
                <w:szCs w:val="21"/>
                <w:highlight w:val="none"/>
              </w:rPr>
              <w:t>2. 整机的防水防尘不低于IP54</w:t>
            </w:r>
          </w:p>
          <w:p>
            <w:pPr>
              <w:widowControl/>
              <w:rPr>
                <w:rFonts w:hint="eastAsia" w:ascii="宋体" w:hAnsi="宋体" w:cs="宋体"/>
                <w:szCs w:val="21"/>
                <w:highlight w:val="none"/>
              </w:rPr>
            </w:pPr>
            <w:r>
              <w:rPr>
                <w:rFonts w:hint="eastAsia" w:ascii="宋体" w:hAnsi="宋体" w:cs="宋体"/>
                <w:szCs w:val="21"/>
                <w:highlight w:val="none"/>
              </w:rPr>
              <w:t>3. 适用于应急巡查/巡检的场景下适用</w:t>
            </w:r>
          </w:p>
          <w:p>
            <w:pPr>
              <w:widowControl/>
              <w:rPr>
                <w:rFonts w:hint="eastAsia" w:ascii="宋体" w:hAnsi="宋体" w:cs="宋体"/>
                <w:szCs w:val="21"/>
                <w:highlight w:val="none"/>
              </w:rPr>
            </w:pPr>
            <w:r>
              <w:rPr>
                <w:rFonts w:hint="eastAsia" w:ascii="宋体" w:hAnsi="宋体" w:cs="宋体"/>
                <w:szCs w:val="21"/>
                <w:highlight w:val="none"/>
              </w:rPr>
              <w:t>4.具有负载能力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26" w:hRule="atLeast"/>
          <w:tblHeader/>
        </w:trPr>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大型轮足机器人框架壳体</w:t>
            </w:r>
          </w:p>
        </w:tc>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1.能在复杂地形下的稳定性与扛冲击性</w:t>
            </w:r>
          </w:p>
          <w:p>
            <w:pPr>
              <w:widowControl/>
              <w:rPr>
                <w:rFonts w:hint="eastAsia" w:ascii="宋体" w:hAnsi="宋体" w:cs="宋体"/>
                <w:szCs w:val="21"/>
                <w:highlight w:val="none"/>
              </w:rPr>
            </w:pPr>
            <w:r>
              <w:rPr>
                <w:rFonts w:hint="eastAsia" w:ascii="宋体" w:hAnsi="宋体" w:cs="宋体"/>
                <w:szCs w:val="21"/>
                <w:highlight w:val="none"/>
              </w:rPr>
              <w:t>2. 整机的防水防尘不低于IP65</w:t>
            </w:r>
          </w:p>
          <w:p>
            <w:pPr>
              <w:widowControl/>
              <w:rPr>
                <w:rFonts w:hint="eastAsia" w:ascii="宋体" w:hAnsi="宋体" w:cs="宋体"/>
                <w:szCs w:val="21"/>
                <w:highlight w:val="none"/>
              </w:rPr>
            </w:pPr>
            <w:r>
              <w:rPr>
                <w:rFonts w:hint="eastAsia" w:ascii="宋体" w:hAnsi="宋体" w:cs="宋体"/>
                <w:szCs w:val="21"/>
                <w:highlight w:val="none"/>
              </w:rPr>
              <w:t>3. 适用于应急巡查/巡检的场景下适用</w:t>
            </w:r>
          </w:p>
          <w:p>
            <w:pPr>
              <w:widowControl/>
              <w:rPr>
                <w:rFonts w:hint="eastAsia" w:ascii="宋体" w:hAnsi="宋体" w:cs="宋体"/>
                <w:szCs w:val="21"/>
                <w:highlight w:val="none"/>
              </w:rPr>
            </w:pPr>
            <w:r>
              <w:rPr>
                <w:rFonts w:hint="eastAsia" w:ascii="宋体" w:hAnsi="宋体" w:cs="宋体"/>
                <w:szCs w:val="21"/>
                <w:highlight w:val="none"/>
              </w:rPr>
              <w:t>4.具有负载能力。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26" w:hRule="atLeast"/>
          <w:tblHeader/>
        </w:trPr>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运动控制模块</w:t>
            </w:r>
          </w:p>
        </w:tc>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 xml:space="preserve">1.实时控制各关节精准运动 </w:t>
            </w:r>
          </w:p>
          <w:p>
            <w:pPr>
              <w:widowControl/>
              <w:rPr>
                <w:rFonts w:hint="eastAsia" w:ascii="宋体" w:hAnsi="宋体" w:cs="宋体"/>
                <w:szCs w:val="21"/>
                <w:highlight w:val="none"/>
              </w:rPr>
            </w:pPr>
            <w:r>
              <w:rPr>
                <w:rFonts w:hint="eastAsia" w:ascii="宋体" w:hAnsi="宋体" w:cs="宋体"/>
                <w:szCs w:val="21"/>
                <w:highlight w:val="none"/>
              </w:rPr>
              <w:t>2.保障机器人动作稳定、步态协调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26" w:hRule="atLeast"/>
          <w:tblHeader/>
        </w:trPr>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感知模块</w:t>
            </w:r>
          </w:p>
        </w:tc>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 xml:space="preserve">1.处理雷达、视觉等环境感知数据 </w:t>
            </w:r>
          </w:p>
          <w:p>
            <w:pPr>
              <w:widowControl/>
              <w:rPr>
                <w:rFonts w:hint="eastAsia" w:ascii="宋体" w:hAnsi="宋体" w:cs="宋体"/>
                <w:szCs w:val="21"/>
                <w:highlight w:val="none"/>
              </w:rPr>
            </w:pPr>
            <w:r>
              <w:rPr>
                <w:rFonts w:hint="eastAsia" w:ascii="宋体" w:hAnsi="宋体" w:cs="宋体"/>
                <w:szCs w:val="21"/>
                <w:highlight w:val="none"/>
              </w:rPr>
              <w:t xml:space="preserve">2.完成定位、避障与路径规划 </w:t>
            </w:r>
          </w:p>
          <w:p>
            <w:pPr>
              <w:widowControl/>
              <w:rPr>
                <w:rFonts w:hint="eastAsia" w:ascii="宋体" w:hAnsi="宋体" w:cs="宋体"/>
                <w:szCs w:val="21"/>
                <w:highlight w:val="none"/>
              </w:rPr>
            </w:pPr>
            <w:r>
              <w:rPr>
                <w:rFonts w:hint="eastAsia" w:ascii="宋体" w:hAnsi="宋体" w:cs="宋体"/>
                <w:szCs w:val="21"/>
                <w:highlight w:val="none"/>
              </w:rPr>
              <w:t>3.下发运动指令并与运控主机协同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26" w:hRule="atLeast"/>
          <w:tblHeader/>
        </w:trPr>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关节</w:t>
            </w:r>
          </w:p>
        </w:tc>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 xml:space="preserve">1.满足对应扭矩，执行运动指令 </w:t>
            </w:r>
          </w:p>
          <w:p>
            <w:pPr>
              <w:widowControl/>
              <w:rPr>
                <w:rFonts w:hint="eastAsia" w:ascii="宋体" w:hAnsi="宋体" w:cs="宋体"/>
                <w:szCs w:val="21"/>
                <w:highlight w:val="none"/>
              </w:rPr>
            </w:pPr>
            <w:r>
              <w:rPr>
                <w:rFonts w:hint="eastAsia" w:ascii="宋体" w:hAnsi="宋体" w:cs="宋体"/>
                <w:szCs w:val="21"/>
                <w:highlight w:val="none"/>
              </w:rPr>
              <w:t xml:space="preserve">2.高精度定位，响应快速稳定 </w:t>
            </w:r>
          </w:p>
          <w:p>
            <w:pPr>
              <w:widowControl/>
              <w:rPr>
                <w:rFonts w:hint="eastAsia" w:ascii="宋体" w:hAnsi="宋体" w:cs="宋体"/>
                <w:szCs w:val="21"/>
                <w:highlight w:val="none"/>
              </w:rPr>
            </w:pPr>
            <w:r>
              <w:rPr>
                <w:rFonts w:hint="eastAsia" w:ascii="宋体" w:hAnsi="宋体" w:cs="宋体"/>
                <w:szCs w:val="21"/>
                <w:highlight w:val="none"/>
              </w:rPr>
              <w:t>3.实时反馈位置、力矩等运行状态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26" w:hRule="atLeast"/>
          <w:tblHeader/>
        </w:trPr>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激光雷达</w:t>
            </w:r>
          </w:p>
        </w:tc>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 xml:space="preserve">1.具备稳定测距与环境感知功能，，满足机器人避障与导航需求。 </w:t>
            </w:r>
          </w:p>
          <w:p>
            <w:pPr>
              <w:widowControl/>
              <w:rPr>
                <w:rFonts w:hint="eastAsia" w:ascii="宋体" w:hAnsi="宋体" w:cs="宋体"/>
                <w:szCs w:val="21"/>
                <w:highlight w:val="none"/>
              </w:rPr>
            </w:pPr>
            <w:r>
              <w:rPr>
                <w:rFonts w:hint="eastAsia" w:ascii="宋体" w:hAnsi="宋体" w:cs="宋体"/>
                <w:szCs w:val="21"/>
                <w:highlight w:val="none"/>
              </w:rPr>
              <w:t xml:space="preserve">2.扫描角度与频率适配整机运行，抗环境干扰能力强，在常规光照下可稳定工作。 </w:t>
            </w:r>
          </w:p>
          <w:p>
            <w:pPr>
              <w:widowControl/>
              <w:rPr>
                <w:rFonts w:hint="eastAsia" w:ascii="宋体" w:hAnsi="宋体" w:cs="宋体"/>
                <w:szCs w:val="21"/>
                <w:highlight w:val="none"/>
              </w:rPr>
            </w:pPr>
            <w:r>
              <w:rPr>
                <w:rFonts w:hint="eastAsia" w:ascii="宋体" w:hAnsi="宋体" w:cs="宋体"/>
                <w:szCs w:val="21"/>
                <w:highlight w:val="none"/>
              </w:rPr>
              <w:t>3.接口标准化，安装结构匹配机器人本体，便于集成装配，运行可靠无频繁故障。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26" w:hRule="atLeast"/>
          <w:tblHeader/>
        </w:trPr>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电池</w:t>
            </w:r>
          </w:p>
        </w:tc>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1.提供稳定持续供电，电压与容量匹配整机功耗，保证机器人足够续航时长。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0" w:type="auto"/>
            <w:shd w:val="clear" w:color="auto" w:fill="auto"/>
            <w:tcMar>
              <w:top w:w="96" w:type="dxa"/>
              <w:left w:w="96" w:type="dxa"/>
              <w:bottom w:w="96" w:type="dxa"/>
              <w:right w:w="96" w:type="dxa"/>
            </w:tcMar>
            <w:vAlign w:val="center"/>
          </w:tcPr>
          <w:p>
            <w:pPr>
              <w:widowControl/>
              <w:rPr>
                <w:rFonts w:hint="eastAsia" w:ascii="宋体" w:hAnsi="宋体" w:cs="宋体"/>
                <w:b/>
                <w:bCs/>
                <w:szCs w:val="21"/>
                <w:highlight w:val="none"/>
              </w:rPr>
            </w:pPr>
            <w:r>
              <w:rPr>
                <w:rFonts w:hint="eastAsia" w:ascii="宋体" w:hAnsi="宋体" w:cs="宋体"/>
                <w:szCs w:val="21"/>
                <w:highlight w:val="none"/>
              </w:rPr>
              <w:t>双光相机</w:t>
            </w:r>
          </w:p>
        </w:tc>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1.接口与协议完全适配机器狗平台，可实时传输高清视频/图片。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轻量化双光相机</w:t>
            </w:r>
          </w:p>
        </w:tc>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1.重量轻，接口与协议完全适配机器狗平台，可实时传输视频/图片。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ULP相机</w:t>
            </w:r>
          </w:p>
        </w:tc>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1.支持蓝牙或者WIFI通讯，支持无部署电和网络，设备满电后在不充电条件下可以拍摄，支持充电或者换电池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应急设备（四合一喊话器） </w:t>
            </w:r>
          </w:p>
        </w:tc>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1.</w:t>
            </w:r>
            <w:r>
              <w:rPr>
                <w:rFonts w:hint="eastAsia"/>
                <w:highlight w:val="none"/>
              </w:rPr>
              <w:t>可以进行</w:t>
            </w:r>
            <w:r>
              <w:rPr>
                <w:highlight w:val="none"/>
              </w:rPr>
              <w:t>远程喊话、探照灯、红蓝警示灯、双向收音功能于一体的多功能负载设备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巡视一体机</w:t>
            </w:r>
          </w:p>
        </w:tc>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1. 全新稳定</w:t>
            </w:r>
          </w:p>
          <w:p>
            <w:pPr>
              <w:pStyle w:val="2"/>
              <w:ind w:firstLine="0" w:firstLineChars="0"/>
              <w:rPr>
                <w:rFonts w:hint="eastAsia" w:ascii="宋体" w:hAnsi="宋体" w:cs="宋体"/>
                <w:sz w:val="21"/>
                <w:szCs w:val="21"/>
                <w:highlight w:val="none"/>
              </w:rPr>
            </w:pPr>
            <w:r>
              <w:rPr>
                <w:rFonts w:hint="eastAsia" w:ascii="宋体" w:hAnsi="宋体" w:cs="宋体"/>
                <w:sz w:val="21"/>
                <w:szCs w:val="21"/>
                <w:highlight w:val="none"/>
              </w:rPr>
              <w:t>2.具有任务管理、巡视监控、告警确认、巡视结果归档、巡视报告、用户设置、实时监控、台账管理、系统自检等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远程遥控一体机</w:t>
            </w:r>
          </w:p>
        </w:tc>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1.可以对机器狗进行远程控制 </w:t>
            </w:r>
          </w:p>
          <w:p>
            <w:pPr>
              <w:widowControl/>
              <w:rPr>
                <w:rFonts w:hint="eastAsia" w:ascii="宋体" w:hAnsi="宋体" w:cs="宋体"/>
                <w:szCs w:val="21"/>
                <w:highlight w:val="none"/>
              </w:rPr>
            </w:pPr>
            <w:r>
              <w:rPr>
                <w:rFonts w:hint="eastAsia" w:ascii="宋体" w:hAnsi="宋体" w:cs="宋体"/>
                <w:szCs w:val="21"/>
                <w:highlight w:val="none"/>
              </w:rPr>
              <w:t>2.可以对上装云台进行远程控制 </w:t>
            </w:r>
          </w:p>
          <w:p>
            <w:pPr>
              <w:widowControl/>
              <w:rPr>
                <w:rFonts w:hint="eastAsia" w:ascii="宋体" w:hAnsi="宋体" w:cs="宋体"/>
                <w:szCs w:val="21"/>
                <w:highlight w:val="none"/>
              </w:rPr>
            </w:pPr>
            <w:r>
              <w:rPr>
                <w:rFonts w:hint="eastAsia" w:ascii="宋体" w:hAnsi="宋体" w:cs="宋体"/>
                <w:szCs w:val="21"/>
                <w:highlight w:val="none"/>
              </w:rPr>
              <w:t>3.可以针对视频数据进行实时回传显示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巡检点位识别模块</w:t>
            </w:r>
          </w:p>
        </w:tc>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1.提供机器狗局域巡检点位识别模块数据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赋能模块</w:t>
            </w:r>
          </w:p>
        </w:tc>
        <w:tc>
          <w:tcPr>
            <w:tcW w:w="0" w:type="auto"/>
            <w:shd w:val="clear" w:color="auto" w:fill="auto"/>
            <w:tcMar>
              <w:top w:w="96" w:type="dxa"/>
              <w:left w:w="96" w:type="dxa"/>
              <w:bottom w:w="96" w:type="dxa"/>
              <w:right w:w="96" w:type="dxa"/>
            </w:tcMar>
            <w:vAlign w:val="center"/>
          </w:tcPr>
          <w:p>
            <w:pPr>
              <w:widowControl/>
              <w:rPr>
                <w:rFonts w:hint="eastAsia" w:ascii="宋体" w:hAnsi="宋体" w:cs="宋体" w:eastAsiaTheme="minorEastAsia"/>
                <w:szCs w:val="21"/>
                <w:highlight w:val="none"/>
                <w:lang w:eastAsia="zh-CN"/>
              </w:rPr>
            </w:pPr>
            <w:r>
              <w:rPr>
                <w:rFonts w:hint="eastAsia" w:ascii="宋体" w:hAnsi="宋体" w:cs="宋体"/>
                <w:szCs w:val="21"/>
                <w:highlight w:val="none"/>
              </w:rPr>
              <w:t>1.对机器狗的</w:t>
            </w:r>
            <w:r>
              <w:rPr>
                <w:rFonts w:hint="eastAsia" w:ascii="宋体" w:hAnsi="宋体" w:cs="宋体"/>
                <w:szCs w:val="21"/>
                <w:highlight w:val="none"/>
                <w:lang w:val="en-US" w:eastAsia="zh-CN"/>
              </w:rPr>
              <w:t>自主巡逻</w:t>
            </w:r>
            <w:r>
              <w:rPr>
                <w:rFonts w:hint="eastAsia" w:ascii="宋体" w:hAnsi="宋体" w:cs="宋体"/>
                <w:szCs w:val="21"/>
                <w:highlight w:val="none"/>
              </w:rPr>
              <w:t>识别模块数据进行赋能训练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充电桩</w:t>
            </w:r>
          </w:p>
        </w:tc>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1.保障机器狗充电安全与补给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算力板模块</w:t>
            </w:r>
          </w:p>
        </w:tc>
        <w:tc>
          <w:tcPr>
            <w:tcW w:w="0" w:type="auto"/>
            <w:shd w:val="clear" w:color="auto" w:fill="auto"/>
            <w:tcMar>
              <w:top w:w="96" w:type="dxa"/>
              <w:left w:w="96" w:type="dxa"/>
              <w:bottom w:w="96" w:type="dxa"/>
              <w:right w:w="96" w:type="dxa"/>
            </w:tcMar>
            <w:vAlign w:val="center"/>
          </w:tcPr>
          <w:p>
            <w:pPr>
              <w:widowControl/>
              <w:rPr>
                <w:rFonts w:hint="eastAsia" w:ascii="宋体" w:hAnsi="宋体" w:cs="宋体"/>
                <w:szCs w:val="21"/>
                <w:highlight w:val="none"/>
              </w:rPr>
            </w:pPr>
            <w:r>
              <w:rPr>
                <w:rFonts w:hint="eastAsia" w:ascii="宋体" w:hAnsi="宋体" w:cs="宋体"/>
                <w:szCs w:val="21"/>
                <w:highlight w:val="none"/>
              </w:rPr>
              <w:t>1.可以实现语音交互</w:t>
            </w:r>
          </w:p>
          <w:p>
            <w:pPr>
              <w:widowControl/>
              <w:rPr>
                <w:rFonts w:hint="eastAsia" w:ascii="宋体" w:hAnsi="宋体" w:cs="宋体"/>
                <w:szCs w:val="21"/>
                <w:highlight w:val="none"/>
              </w:rPr>
            </w:pPr>
            <w:r>
              <w:rPr>
                <w:rFonts w:hint="eastAsia" w:ascii="宋体" w:hAnsi="宋体" w:cs="宋体"/>
                <w:szCs w:val="21"/>
                <w:highlight w:val="none"/>
              </w:rPr>
              <w:t>2.支持二次开发</w:t>
            </w:r>
          </w:p>
        </w:tc>
      </w:tr>
    </w:tbl>
    <w:p>
      <w:pPr>
        <w:pStyle w:val="6"/>
        <w:keepNext w:val="0"/>
        <w:keepLines w:val="0"/>
        <w:widowControl/>
        <w:tabs>
          <w:tab w:val="left" w:pos="1276"/>
        </w:tabs>
        <w:rPr>
          <w:rFonts w:hint="eastAsia" w:ascii="宋体" w:hAnsi="宋体" w:eastAsia="宋体"/>
          <w:color w:val="000000"/>
          <w:sz w:val="28"/>
          <w:szCs w:val="28"/>
          <w:highlight w:val="none"/>
        </w:rPr>
      </w:pPr>
      <w:r>
        <w:rPr>
          <w:rFonts w:hint="eastAsia" w:ascii="宋体" w:hAnsi="宋体" w:eastAsia="宋体"/>
          <w:color w:val="000000"/>
          <w:sz w:val="28"/>
          <w:szCs w:val="28"/>
          <w:highlight w:val="none"/>
        </w:rPr>
        <w:t>7.5 试验要求</w:t>
      </w:r>
    </w:p>
    <w:p>
      <w:pPr>
        <w:pStyle w:val="7"/>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7.5.1 试验资料要求</w:t>
      </w:r>
    </w:p>
    <w:p>
      <w:pPr>
        <w:widowControl/>
        <w:numPr>
          <w:ilvl w:val="0"/>
          <w:numId w:val="17"/>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所有试验需记录完整的试验数据、试验过程、试验仪器、试验人员、试验日期；</w:t>
      </w:r>
    </w:p>
    <w:p>
      <w:pPr>
        <w:widowControl/>
        <w:numPr>
          <w:ilvl w:val="0"/>
          <w:numId w:val="17"/>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试验报告需由代工方技术负责人签字并加盖公章，真实有效；</w:t>
      </w:r>
    </w:p>
    <w:p>
      <w:pPr>
        <w:widowControl/>
        <w:numPr>
          <w:ilvl w:val="0"/>
          <w:numId w:val="17"/>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委托方要求提供的第三方检测报告，代工方需按要求提供，费用由代工方承担。</w:t>
      </w:r>
    </w:p>
    <w:p>
      <w:pPr>
        <w:pStyle w:val="5"/>
        <w:keepNext w:val="0"/>
        <w:keepLines w:val="0"/>
        <w:tabs>
          <w:tab w:val="left" w:pos="425"/>
        </w:tabs>
        <w:spacing w:before="312"/>
        <w:rPr>
          <w:rFonts w:hint="eastAsia" w:ascii="宋体" w:hAnsi="宋体" w:eastAsia="宋体"/>
          <w:color w:val="000000"/>
          <w:sz w:val="32"/>
          <w:szCs w:val="32"/>
          <w:highlight w:val="none"/>
        </w:rPr>
      </w:pPr>
      <w:r>
        <w:rPr>
          <w:rFonts w:hint="eastAsia" w:ascii="宋体" w:hAnsi="宋体" w:eastAsia="宋体"/>
          <w:color w:val="000000"/>
          <w:sz w:val="32"/>
          <w:szCs w:val="32"/>
          <w:highlight w:val="none"/>
        </w:rPr>
        <w:t>八、产品组装、调测技术服务要求</w:t>
      </w:r>
    </w:p>
    <w:p>
      <w:pPr>
        <w:pStyle w:val="6"/>
        <w:keepNext w:val="0"/>
        <w:keepLines w:val="0"/>
        <w:widowControl/>
        <w:tabs>
          <w:tab w:val="left" w:pos="1276"/>
        </w:tabs>
        <w:rPr>
          <w:rFonts w:hint="eastAsia" w:ascii="宋体" w:hAnsi="宋体" w:eastAsia="宋体"/>
          <w:color w:val="000000"/>
          <w:sz w:val="28"/>
          <w:szCs w:val="28"/>
          <w:highlight w:val="none"/>
        </w:rPr>
      </w:pPr>
      <w:r>
        <w:rPr>
          <w:rFonts w:hint="eastAsia" w:ascii="宋体" w:hAnsi="宋体" w:eastAsia="宋体"/>
          <w:color w:val="000000"/>
          <w:sz w:val="28"/>
          <w:szCs w:val="28"/>
          <w:highlight w:val="none"/>
        </w:rPr>
        <w:t>8.1 产品组装要求</w:t>
      </w:r>
    </w:p>
    <w:p>
      <w:pPr>
        <w:widowControl/>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1）应急侦察与巡察多足机器人的设计和结构应能保证在正常条件下正常工作时不至引起任何危险。尤其应确保： </w:t>
      </w:r>
    </w:p>
    <w:p>
      <w:pPr>
        <w:widowControl/>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2）防爆炸的人身安全；防电击的人身安全；防过高温影响的人身安全；防火焰蔓延的安全；防固体异物、灰尘及水的进入；在正常工作条件下易受腐蚀的所有部件应予以有效防护；在正常工作条件下，任何防护层不应由于一般的操作而引起损坏，也不应由于在空气中暴露而受损；应能耐受阳光辐射。 </w:t>
      </w:r>
    </w:p>
    <w:p>
      <w:pPr>
        <w:widowControl/>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3）应急侦察与巡察多足机器人应有足够的机械强度，并能承受在正常工作条件下可能出现的高温和低温。 </w:t>
      </w:r>
    </w:p>
    <w:p>
      <w:pPr>
        <w:widowControl/>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4）部件应可靠地紧固并确保免于松动。 </w:t>
      </w:r>
    </w:p>
    <w:p>
      <w:pPr>
        <w:pStyle w:val="6"/>
        <w:keepNext w:val="0"/>
        <w:keepLines w:val="0"/>
        <w:widowControl/>
        <w:tabs>
          <w:tab w:val="left" w:pos="1276"/>
        </w:tabs>
        <w:rPr>
          <w:rFonts w:hint="eastAsia" w:ascii="宋体" w:hAnsi="宋体" w:eastAsia="宋体"/>
          <w:color w:val="000000"/>
          <w:sz w:val="28"/>
          <w:szCs w:val="28"/>
          <w:highlight w:val="none"/>
        </w:rPr>
      </w:pPr>
      <w:r>
        <w:rPr>
          <w:rFonts w:hint="eastAsia" w:ascii="宋体" w:hAnsi="宋体" w:eastAsia="宋体"/>
          <w:color w:val="000000"/>
          <w:sz w:val="28"/>
          <w:szCs w:val="28"/>
          <w:highlight w:val="none"/>
        </w:rPr>
        <w:t>8.2 调测技术服务要求</w:t>
      </w:r>
    </w:p>
    <w:p>
      <w:pPr>
        <w:widowControl/>
        <w:numPr>
          <w:ilvl w:val="0"/>
          <w:numId w:val="18"/>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代工方需按本规范书要求，对产品进行</w:t>
      </w:r>
      <w:r>
        <w:rPr>
          <w:rStyle w:val="18"/>
          <w:rFonts w:hint="eastAsia" w:ascii="宋体" w:hAnsi="宋体" w:cs="宋体"/>
          <w:b w:val="0"/>
          <w:color w:val="000000"/>
          <w:szCs w:val="21"/>
          <w:highlight w:val="none"/>
        </w:rPr>
        <w:t>逐项测试验证</w:t>
      </w:r>
      <w:r>
        <w:rPr>
          <w:rFonts w:hint="eastAsia" w:ascii="宋体" w:hAnsi="宋体" w:cs="宋体"/>
          <w:color w:val="000000"/>
          <w:szCs w:val="21"/>
          <w:highlight w:val="none"/>
        </w:rPr>
        <w:t>，确保检测结果与检验项一致，并</w:t>
      </w:r>
      <w:r>
        <w:rPr>
          <w:rStyle w:val="18"/>
          <w:rFonts w:hint="eastAsia" w:ascii="宋体" w:hAnsi="宋体" w:cs="宋体"/>
          <w:b w:val="0"/>
          <w:color w:val="000000"/>
          <w:szCs w:val="21"/>
          <w:highlight w:val="none"/>
        </w:rPr>
        <w:t>完整记录检测过程信息</w:t>
      </w:r>
      <w:r>
        <w:rPr>
          <w:rFonts w:hint="eastAsia" w:ascii="宋体" w:hAnsi="宋体" w:cs="宋体"/>
          <w:color w:val="000000"/>
          <w:szCs w:val="21"/>
          <w:highlight w:val="none"/>
        </w:rPr>
        <w:t>（包括测试数据、测试人员、测试日期、测试仪器等）。</w:t>
      </w:r>
    </w:p>
    <w:p>
      <w:pPr>
        <w:widowControl/>
        <w:numPr>
          <w:ilvl w:val="0"/>
          <w:numId w:val="18"/>
        </w:numPr>
        <w:spacing w:line="360" w:lineRule="auto"/>
        <w:jc w:val="left"/>
        <w:rPr>
          <w:rFonts w:hint="eastAsia" w:ascii="宋体" w:hAnsi="宋体" w:cs="宋体"/>
          <w:color w:val="000000"/>
          <w:szCs w:val="21"/>
          <w:highlight w:val="none"/>
        </w:rPr>
      </w:pPr>
      <w:r>
        <w:rPr>
          <w:rStyle w:val="18"/>
          <w:rFonts w:hint="eastAsia" w:ascii="宋体" w:hAnsi="宋体" w:cs="宋体"/>
          <w:b w:val="0"/>
          <w:color w:val="000000"/>
          <w:szCs w:val="21"/>
          <w:highlight w:val="none"/>
        </w:rPr>
        <w:t>开箱检查</w:t>
      </w:r>
      <w:r>
        <w:rPr>
          <w:rFonts w:hint="eastAsia" w:ascii="宋体" w:hAnsi="宋体" w:cs="宋体"/>
          <w:color w:val="000000"/>
          <w:szCs w:val="21"/>
          <w:highlight w:val="none"/>
        </w:rPr>
        <w:t>：开箱检查时应有代工方代表在现场确认，协助委托方核对产品数量、外观、配件、技术资料等，若有损坏、缺失，由代工方负责免费更换、补充。</w:t>
      </w:r>
    </w:p>
    <w:p>
      <w:pPr>
        <w:widowControl/>
        <w:numPr>
          <w:ilvl w:val="0"/>
          <w:numId w:val="18"/>
        </w:numPr>
        <w:spacing w:line="360" w:lineRule="auto"/>
        <w:jc w:val="left"/>
        <w:rPr>
          <w:rFonts w:hint="eastAsia" w:ascii="宋体" w:hAnsi="宋体" w:cs="宋体"/>
          <w:color w:val="000000"/>
          <w:szCs w:val="21"/>
          <w:highlight w:val="none"/>
        </w:rPr>
      </w:pPr>
      <w:r>
        <w:rPr>
          <w:rStyle w:val="18"/>
          <w:rFonts w:hint="eastAsia" w:ascii="宋体" w:hAnsi="宋体" w:cs="宋体"/>
          <w:b w:val="0"/>
          <w:color w:val="000000"/>
          <w:szCs w:val="21"/>
          <w:highlight w:val="none"/>
        </w:rPr>
        <w:t>安装指导</w:t>
      </w:r>
      <w:r>
        <w:rPr>
          <w:rFonts w:hint="eastAsia" w:ascii="宋体" w:hAnsi="宋体" w:cs="宋体"/>
          <w:color w:val="000000"/>
          <w:szCs w:val="21"/>
          <w:highlight w:val="none"/>
        </w:rPr>
        <w:t>：制造厂在安装和启动时应安排技术人员提供</w:t>
      </w:r>
      <w:r>
        <w:rPr>
          <w:rStyle w:val="18"/>
          <w:rFonts w:hint="eastAsia" w:ascii="宋体" w:hAnsi="宋体" w:cs="宋体"/>
          <w:b w:val="0"/>
          <w:color w:val="000000"/>
          <w:szCs w:val="21"/>
          <w:highlight w:val="none"/>
        </w:rPr>
        <w:t>现场安装指导服务</w:t>
      </w:r>
      <w:r>
        <w:rPr>
          <w:rFonts w:hint="eastAsia" w:ascii="宋体" w:hAnsi="宋体" w:cs="宋体"/>
          <w:color w:val="000000"/>
          <w:szCs w:val="21"/>
          <w:highlight w:val="none"/>
        </w:rPr>
        <w:t>，提出技术建议，并有对运行人员提供相关培训的义务，确保委托方人员掌握安装、操作基本技能。</w:t>
      </w:r>
    </w:p>
    <w:p>
      <w:pPr>
        <w:widowControl/>
        <w:numPr>
          <w:ilvl w:val="0"/>
          <w:numId w:val="18"/>
        </w:numPr>
        <w:spacing w:line="360" w:lineRule="auto"/>
        <w:jc w:val="left"/>
        <w:rPr>
          <w:rFonts w:hint="eastAsia" w:ascii="宋体" w:hAnsi="宋体" w:cs="宋体"/>
          <w:color w:val="000000"/>
          <w:szCs w:val="21"/>
          <w:highlight w:val="none"/>
        </w:rPr>
      </w:pPr>
      <w:r>
        <w:rPr>
          <w:rStyle w:val="18"/>
          <w:rFonts w:hint="eastAsia" w:ascii="宋体" w:hAnsi="宋体" w:cs="宋体"/>
          <w:b w:val="0"/>
          <w:color w:val="000000"/>
          <w:szCs w:val="21"/>
          <w:highlight w:val="none"/>
        </w:rPr>
        <w:t>调试配合</w:t>
      </w:r>
      <w:r>
        <w:rPr>
          <w:rFonts w:hint="eastAsia" w:ascii="宋体" w:hAnsi="宋体" w:cs="宋体"/>
          <w:color w:val="000000"/>
          <w:szCs w:val="21"/>
          <w:highlight w:val="none"/>
        </w:rPr>
        <w:t>：产品现场调试时，代工方技术人员需全程配合，处理因制造/加工/装配原因导致的调试问题，确保产品顺利通过现场试验。</w:t>
      </w:r>
    </w:p>
    <w:p>
      <w:pPr>
        <w:pStyle w:val="5"/>
        <w:keepNext w:val="0"/>
        <w:keepLines w:val="0"/>
        <w:tabs>
          <w:tab w:val="left" w:pos="425"/>
        </w:tabs>
        <w:spacing w:before="312"/>
        <w:rPr>
          <w:rFonts w:hint="eastAsia" w:ascii="宋体" w:hAnsi="宋体" w:eastAsia="宋体"/>
          <w:color w:val="000000"/>
          <w:sz w:val="32"/>
          <w:szCs w:val="32"/>
          <w:highlight w:val="none"/>
        </w:rPr>
      </w:pPr>
      <w:r>
        <w:rPr>
          <w:rFonts w:hint="eastAsia" w:ascii="宋体" w:hAnsi="宋体" w:eastAsia="宋体"/>
          <w:color w:val="000000"/>
          <w:sz w:val="32"/>
          <w:szCs w:val="32"/>
          <w:highlight w:val="none"/>
        </w:rPr>
        <w:t>九、试验管理</w:t>
      </w:r>
    </w:p>
    <w:p>
      <w:pPr>
        <w:widowControl/>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kern w:val="0"/>
          <w:szCs w:val="21"/>
          <w:highlight w:val="none"/>
          <w:lang w:bidi="ar"/>
        </w:rPr>
        <w:t>产品试验分为</w:t>
      </w:r>
      <w:r>
        <w:rPr>
          <w:rStyle w:val="18"/>
          <w:rFonts w:hint="eastAsia" w:ascii="宋体" w:hAnsi="宋体" w:cs="宋体"/>
          <w:b w:val="0"/>
          <w:color w:val="000000"/>
          <w:kern w:val="0"/>
          <w:szCs w:val="21"/>
          <w:highlight w:val="none"/>
          <w:lang w:bidi="ar"/>
        </w:rPr>
        <w:t>整机试验、出厂试验、现场试验</w:t>
      </w:r>
      <w:r>
        <w:rPr>
          <w:rFonts w:hint="eastAsia" w:ascii="宋体" w:hAnsi="宋体" w:cs="宋体"/>
          <w:color w:val="000000"/>
          <w:kern w:val="0"/>
          <w:szCs w:val="21"/>
          <w:highlight w:val="none"/>
          <w:lang w:bidi="ar"/>
        </w:rPr>
        <w:t>，代工方需按以下要求完成试验工作，并配合委托方完成验收。</w:t>
      </w:r>
    </w:p>
    <w:p>
      <w:pPr>
        <w:pStyle w:val="6"/>
        <w:keepNext w:val="0"/>
        <w:keepLines w:val="0"/>
        <w:widowControl/>
        <w:tabs>
          <w:tab w:val="left" w:pos="1276"/>
        </w:tabs>
        <w:rPr>
          <w:rFonts w:hint="eastAsia" w:ascii="宋体" w:hAnsi="宋体" w:eastAsia="宋体"/>
          <w:color w:val="000000"/>
          <w:sz w:val="28"/>
          <w:szCs w:val="28"/>
          <w:highlight w:val="none"/>
        </w:rPr>
      </w:pPr>
      <w:r>
        <w:rPr>
          <w:rFonts w:hint="eastAsia" w:ascii="宋体" w:hAnsi="宋体" w:eastAsia="宋体"/>
          <w:color w:val="000000"/>
          <w:sz w:val="28"/>
          <w:szCs w:val="28"/>
          <w:highlight w:val="none"/>
        </w:rPr>
        <w:t>9.1 出厂试验</w:t>
      </w:r>
    </w:p>
    <w:p>
      <w:pPr>
        <w:widowControl/>
        <w:numPr>
          <w:ilvl w:val="0"/>
          <w:numId w:val="19"/>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代工方应确认提供的设备满足标书要求，应在批量生产前向委托方提交</w:t>
      </w:r>
      <w:r>
        <w:rPr>
          <w:rStyle w:val="18"/>
          <w:rFonts w:hint="eastAsia" w:ascii="宋体" w:hAnsi="宋体" w:cs="宋体"/>
          <w:b w:val="0"/>
          <w:color w:val="000000"/>
          <w:szCs w:val="21"/>
          <w:highlight w:val="none"/>
        </w:rPr>
        <w:t>设备详细的工厂验收大纲</w:t>
      </w:r>
      <w:r>
        <w:rPr>
          <w:rFonts w:hint="eastAsia" w:ascii="宋体" w:hAnsi="宋体" w:cs="宋体"/>
          <w:color w:val="000000"/>
          <w:szCs w:val="21"/>
          <w:highlight w:val="none"/>
        </w:rPr>
        <w:t>，该大纲至少应包括：试验日期、试验接线、试验项目、试验方法，以及测量仪器和仪表等。该大纲经联络会议讨论修改后，经委托方确认后执行。</w:t>
      </w:r>
    </w:p>
    <w:p>
      <w:pPr>
        <w:widowControl/>
        <w:numPr>
          <w:ilvl w:val="0"/>
          <w:numId w:val="19"/>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代工方应按本规范书的要求，向委托方提供</w:t>
      </w:r>
      <w:r>
        <w:rPr>
          <w:rStyle w:val="18"/>
          <w:rFonts w:hint="eastAsia" w:ascii="宋体" w:hAnsi="宋体" w:cs="宋体"/>
          <w:b w:val="0"/>
          <w:color w:val="000000"/>
          <w:szCs w:val="21"/>
          <w:highlight w:val="none"/>
        </w:rPr>
        <w:t>工厂试验报告</w:t>
      </w:r>
      <w:r>
        <w:rPr>
          <w:rFonts w:hint="eastAsia" w:ascii="宋体" w:hAnsi="宋体" w:cs="宋体"/>
          <w:color w:val="000000"/>
          <w:szCs w:val="21"/>
          <w:highlight w:val="none"/>
        </w:rPr>
        <w:t>及有关设备的试验报告，同时提供设备的使用和测试说明书。</w:t>
      </w:r>
    </w:p>
    <w:p>
      <w:pPr>
        <w:widowControl/>
        <w:numPr>
          <w:ilvl w:val="0"/>
          <w:numId w:val="19"/>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在工厂验收试验期间，代工方应向委托方参加试验的工作人员提供检查、测试和记录设备，无条件配合试验监督。</w:t>
      </w:r>
    </w:p>
    <w:p>
      <w:pPr>
        <w:widowControl/>
        <w:numPr>
          <w:ilvl w:val="0"/>
          <w:numId w:val="19"/>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委托方参加工厂验收试验的工作人员将不签署任何有关系统性能的证明书，委托方参加工厂验收试验并不意味着解除代工方保证系统质量的责任，也不能代替设备到现场后的检查和测试。</w:t>
      </w:r>
    </w:p>
    <w:p>
      <w:pPr>
        <w:widowControl/>
        <w:numPr>
          <w:ilvl w:val="0"/>
          <w:numId w:val="19"/>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工厂验收试验在工厂试验的基础上进行，主要根据规范书要求进行系统的</w:t>
      </w:r>
      <w:r>
        <w:rPr>
          <w:rStyle w:val="18"/>
          <w:rFonts w:hint="eastAsia" w:ascii="宋体" w:hAnsi="宋体" w:cs="宋体"/>
          <w:b w:val="0"/>
          <w:color w:val="000000"/>
          <w:szCs w:val="21"/>
          <w:highlight w:val="none"/>
        </w:rPr>
        <w:t>功能和性能试验、稳定试验</w:t>
      </w:r>
      <w:r>
        <w:rPr>
          <w:rFonts w:hint="eastAsia" w:ascii="宋体" w:hAnsi="宋体" w:cs="宋体"/>
          <w:color w:val="000000"/>
          <w:szCs w:val="21"/>
          <w:highlight w:val="none"/>
        </w:rPr>
        <w:t>，以便确认产品是否符合要求。</w:t>
      </w:r>
    </w:p>
    <w:p>
      <w:pPr>
        <w:widowControl/>
        <w:numPr>
          <w:ilvl w:val="0"/>
          <w:numId w:val="19"/>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工厂验收试验要有</w:t>
      </w:r>
      <w:r>
        <w:rPr>
          <w:rStyle w:val="18"/>
          <w:rFonts w:hint="eastAsia" w:ascii="宋体" w:hAnsi="宋体" w:cs="宋体"/>
          <w:b w:val="0"/>
          <w:color w:val="000000"/>
          <w:szCs w:val="21"/>
          <w:highlight w:val="none"/>
        </w:rPr>
        <w:t>完整且双方签字的试验报告</w:t>
      </w:r>
      <w:r>
        <w:rPr>
          <w:rFonts w:hint="eastAsia" w:ascii="宋体" w:hAnsi="宋体" w:cs="宋体"/>
          <w:color w:val="000000"/>
          <w:szCs w:val="21"/>
          <w:highlight w:val="none"/>
        </w:rPr>
        <w:t>，试验合格后方可进入下一步工序。</w:t>
      </w:r>
    </w:p>
    <w:p>
      <w:pPr>
        <w:widowControl/>
        <w:numPr>
          <w:ilvl w:val="0"/>
          <w:numId w:val="19"/>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完成所有工厂验收试验后，经委托方参加工厂验收试验人员认可后，设备可以装运至现场。</w:t>
      </w:r>
    </w:p>
    <w:p>
      <w:pPr>
        <w:widowControl/>
        <w:numPr>
          <w:ilvl w:val="0"/>
          <w:numId w:val="19"/>
        </w:numPr>
        <w:spacing w:line="360" w:lineRule="auto"/>
        <w:jc w:val="left"/>
        <w:rPr>
          <w:rFonts w:hint="eastAsia" w:ascii="宋体" w:hAnsi="宋体" w:cs="宋体"/>
          <w:color w:val="000000"/>
          <w:szCs w:val="21"/>
          <w:highlight w:val="none"/>
        </w:rPr>
      </w:pPr>
      <w:r>
        <w:rPr>
          <w:rStyle w:val="18"/>
          <w:rFonts w:hint="eastAsia" w:ascii="宋体" w:hAnsi="宋体" w:cs="宋体"/>
          <w:b w:val="0"/>
          <w:color w:val="000000"/>
          <w:szCs w:val="21"/>
          <w:highlight w:val="none"/>
        </w:rPr>
        <w:t>产品出厂之前，必须按照本技术规范进行出厂验收试验。全部出厂试验项目合格后才发放产品合格证。试验后如果有的项目不符合规范要求，必须返修合格后再发放产品合格证</w:t>
      </w:r>
      <w:r>
        <w:rPr>
          <w:rFonts w:hint="eastAsia" w:ascii="宋体" w:hAnsi="宋体" w:cs="宋体"/>
          <w:color w:val="000000"/>
          <w:szCs w:val="21"/>
          <w:highlight w:val="none"/>
        </w:rPr>
        <w:t>。</w:t>
      </w:r>
    </w:p>
    <w:p>
      <w:pPr>
        <w:pStyle w:val="6"/>
        <w:keepNext w:val="0"/>
        <w:keepLines w:val="0"/>
        <w:widowControl/>
        <w:tabs>
          <w:tab w:val="left" w:pos="1276"/>
        </w:tabs>
        <w:rPr>
          <w:rFonts w:hint="default" w:ascii="宋体" w:hAnsi="宋体" w:eastAsia="宋体"/>
          <w:color w:val="000000"/>
          <w:sz w:val="28"/>
          <w:szCs w:val="28"/>
          <w:highlight w:val="none"/>
          <w:lang w:val="en-US" w:eastAsia="zh-CN"/>
        </w:rPr>
      </w:pPr>
      <w:r>
        <w:rPr>
          <w:rFonts w:hint="eastAsia" w:ascii="宋体" w:hAnsi="宋体" w:eastAsia="宋体"/>
          <w:color w:val="000000"/>
          <w:sz w:val="28"/>
          <w:szCs w:val="28"/>
          <w:highlight w:val="none"/>
        </w:rPr>
        <w:t>9.2 现场试验及调试</w:t>
      </w:r>
    </w:p>
    <w:p>
      <w:pPr>
        <w:widowControl/>
        <w:numPr>
          <w:ilvl w:val="0"/>
          <w:numId w:val="20"/>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设备到现场后，委托方应进行抽检，抽检合格后方可进入现场安装。对于抽检不合格产品，按照南方电网品控标准对于抽检不合格的相关要求处理，相关损失由代工方承担。</w:t>
      </w:r>
    </w:p>
    <w:p>
      <w:pPr>
        <w:widowControl/>
        <w:numPr>
          <w:ilvl w:val="0"/>
          <w:numId w:val="20"/>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如果在安装、调试、试运行及质保期内，设备因</w:t>
      </w:r>
      <w:r>
        <w:rPr>
          <w:rStyle w:val="18"/>
          <w:rFonts w:hint="eastAsia" w:ascii="宋体" w:hAnsi="宋体" w:cs="宋体"/>
          <w:b w:val="0"/>
          <w:color w:val="000000"/>
          <w:szCs w:val="21"/>
          <w:highlight w:val="none"/>
        </w:rPr>
        <w:t>制造/加工/装配/外购件质量</w:t>
      </w:r>
      <w:r>
        <w:rPr>
          <w:rFonts w:hint="eastAsia" w:ascii="宋体" w:hAnsi="宋体" w:cs="宋体"/>
          <w:color w:val="000000"/>
          <w:szCs w:val="21"/>
          <w:highlight w:val="none"/>
        </w:rPr>
        <w:t>原因发生异常，由代工方负责</w:t>
      </w:r>
      <w:r>
        <w:rPr>
          <w:rStyle w:val="18"/>
          <w:rFonts w:hint="eastAsia" w:ascii="宋体" w:hAnsi="宋体" w:cs="宋体"/>
          <w:b w:val="0"/>
          <w:color w:val="000000"/>
          <w:szCs w:val="21"/>
          <w:highlight w:val="none"/>
        </w:rPr>
        <w:t>免费更换</w:t>
      </w:r>
      <w:r>
        <w:rPr>
          <w:rFonts w:hint="eastAsia" w:ascii="宋体" w:hAnsi="宋体" w:cs="宋体"/>
          <w:color w:val="000000"/>
          <w:szCs w:val="21"/>
          <w:highlight w:val="none"/>
        </w:rPr>
        <w:t>故障部件/产品，并承担由此造成的所有损失。</w:t>
      </w:r>
    </w:p>
    <w:p>
      <w:pPr>
        <w:widowControl/>
        <w:numPr>
          <w:ilvl w:val="0"/>
          <w:numId w:val="20"/>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现场验收试验主要目的是检验系统的各项功能是否实现，系统的性能指标是否达到本规范书要求</w:t>
      </w:r>
      <w:r>
        <w:rPr>
          <w:rFonts w:hint="eastAsia" w:ascii="宋体" w:hAnsi="宋体" w:cs="宋体"/>
          <w:color w:val="000000"/>
          <w:szCs w:val="21"/>
          <w:highlight w:val="none"/>
          <w:lang w:eastAsia="zh-CN"/>
        </w:rPr>
        <w:t>，</w:t>
      </w:r>
      <w:r>
        <w:rPr>
          <w:rFonts w:hint="eastAsia" w:ascii="宋体" w:hAnsi="宋体" w:cs="宋体"/>
          <w:color w:val="000000"/>
          <w:szCs w:val="21"/>
          <w:highlight w:val="none"/>
          <w:lang w:val="en-US" w:eastAsia="zh-CN"/>
        </w:rPr>
        <w:t>主要测试运动性能、感知识别、自主巡检、自动充电等功能</w:t>
      </w:r>
      <w:r>
        <w:rPr>
          <w:rFonts w:hint="eastAsia" w:ascii="宋体" w:hAnsi="宋体" w:cs="宋体"/>
          <w:color w:val="000000"/>
          <w:szCs w:val="21"/>
          <w:highlight w:val="none"/>
        </w:rPr>
        <w:t>。</w:t>
      </w:r>
    </w:p>
    <w:p>
      <w:pPr>
        <w:widowControl/>
        <w:numPr>
          <w:ilvl w:val="0"/>
          <w:numId w:val="20"/>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现场验收试验结束，双方将签字确认试验结果；若试验不合格，代工方需无条件返工、整改，直至验收合格，相关费用由代工方承担，且质保期从重新验收合格之日起计算。</w:t>
      </w:r>
    </w:p>
    <w:p>
      <w:pPr>
        <w:widowControl/>
        <w:numPr>
          <w:ilvl w:val="0"/>
          <w:numId w:val="20"/>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在试验和调试期间所有因</w:t>
      </w:r>
      <w:r>
        <w:rPr>
          <w:rStyle w:val="18"/>
          <w:rFonts w:hint="eastAsia" w:ascii="宋体" w:hAnsi="宋体" w:cs="宋体"/>
          <w:b w:val="0"/>
          <w:color w:val="000000"/>
          <w:szCs w:val="21"/>
          <w:highlight w:val="none"/>
        </w:rPr>
        <w:t>制造/加工/装配</w:t>
      </w:r>
      <w:r>
        <w:rPr>
          <w:rFonts w:hint="eastAsia" w:ascii="宋体" w:hAnsi="宋体" w:cs="宋体"/>
          <w:color w:val="000000"/>
          <w:szCs w:val="21"/>
          <w:highlight w:val="none"/>
        </w:rPr>
        <w:t>原因损坏的供货范围内设备，代工方应免费给予更换。</w:t>
      </w:r>
    </w:p>
    <w:p>
      <w:pPr>
        <w:pStyle w:val="5"/>
        <w:keepNext w:val="0"/>
        <w:keepLines w:val="0"/>
        <w:tabs>
          <w:tab w:val="left" w:pos="425"/>
        </w:tabs>
        <w:spacing w:before="312"/>
        <w:rPr>
          <w:rFonts w:hint="eastAsia" w:ascii="宋体" w:hAnsi="宋体" w:eastAsia="宋体"/>
          <w:color w:val="000000"/>
          <w:sz w:val="32"/>
          <w:szCs w:val="32"/>
          <w:highlight w:val="none"/>
        </w:rPr>
      </w:pPr>
      <w:r>
        <w:rPr>
          <w:rFonts w:hint="eastAsia" w:ascii="宋体" w:hAnsi="宋体" w:eastAsia="宋体"/>
          <w:color w:val="000000"/>
          <w:sz w:val="32"/>
          <w:szCs w:val="32"/>
          <w:highlight w:val="none"/>
        </w:rPr>
        <w:t>十、技术文件交付要求</w:t>
      </w:r>
    </w:p>
    <w:p>
      <w:pPr>
        <w:pStyle w:val="6"/>
        <w:keepNext w:val="0"/>
        <w:keepLines w:val="0"/>
        <w:widowControl/>
        <w:tabs>
          <w:tab w:val="left" w:pos="1276"/>
        </w:tabs>
        <w:rPr>
          <w:rFonts w:hint="eastAsia" w:ascii="宋体" w:hAnsi="宋体" w:eastAsia="宋体"/>
          <w:color w:val="000000"/>
          <w:sz w:val="28"/>
          <w:szCs w:val="28"/>
          <w:highlight w:val="none"/>
        </w:rPr>
      </w:pPr>
      <w:r>
        <w:rPr>
          <w:rFonts w:hint="eastAsia" w:ascii="宋体" w:hAnsi="宋体" w:eastAsia="宋体"/>
          <w:color w:val="000000"/>
          <w:sz w:val="28"/>
          <w:szCs w:val="28"/>
          <w:highlight w:val="none"/>
        </w:rPr>
        <w:t>10.1 交付资料清单</w:t>
      </w:r>
    </w:p>
    <w:p>
      <w:pPr>
        <w:widowControl/>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kern w:val="0"/>
          <w:szCs w:val="21"/>
          <w:highlight w:val="none"/>
          <w:lang w:bidi="ar"/>
        </w:rPr>
        <w:t>代工方应承诺在签订合同后向委托方提供以下所列（但不限于下列资料、文件，代工方应承诺提供委托方提出的所有所需资料、文件）的资料、文件</w:t>
      </w:r>
      <w:r>
        <w:rPr>
          <w:rStyle w:val="18"/>
          <w:rFonts w:hint="eastAsia" w:ascii="宋体" w:hAnsi="宋体" w:cs="宋体"/>
          <w:b w:val="0"/>
          <w:color w:val="000000"/>
          <w:kern w:val="0"/>
          <w:szCs w:val="21"/>
          <w:highlight w:val="none"/>
          <w:lang w:bidi="ar"/>
        </w:rPr>
        <w:t>纸质版及电子版</w:t>
      </w:r>
      <w:r>
        <w:rPr>
          <w:rFonts w:hint="eastAsia" w:ascii="宋体" w:hAnsi="宋体" w:cs="宋体"/>
          <w:color w:val="000000"/>
          <w:kern w:val="0"/>
          <w:szCs w:val="21"/>
          <w:highlight w:val="none"/>
          <w:lang w:bidi="ar"/>
        </w:rPr>
        <w:t>，所有资料需内容完整、字迹清晰、数据准确，符合国家/行业标准：</w:t>
      </w:r>
    </w:p>
    <w:p>
      <w:pPr>
        <w:widowControl/>
        <w:numPr>
          <w:ilvl w:val="0"/>
          <w:numId w:val="21"/>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出厂检测报告（含所有试验项目数据）</w:t>
      </w:r>
    </w:p>
    <w:p>
      <w:pPr>
        <w:widowControl/>
        <w:numPr>
          <w:ilvl w:val="0"/>
          <w:numId w:val="21"/>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装箱清单（含主设备、备品备件、专用工具、仪器仪表）</w:t>
      </w:r>
    </w:p>
    <w:p>
      <w:pPr>
        <w:widowControl/>
        <w:numPr>
          <w:ilvl w:val="0"/>
          <w:numId w:val="21"/>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易损耗品清单及更换说明</w:t>
      </w:r>
    </w:p>
    <w:p>
      <w:pPr>
        <w:widowControl/>
        <w:numPr>
          <w:ilvl w:val="0"/>
          <w:numId w:val="21"/>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外购件质量证明文件（含品牌、生产厂家、技术参数、合格证）</w:t>
      </w:r>
    </w:p>
    <w:p>
      <w:pPr>
        <w:widowControl/>
        <w:numPr>
          <w:ilvl w:val="0"/>
          <w:numId w:val="21"/>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螺丝紧固力矩表</w:t>
      </w:r>
    </w:p>
    <w:p>
      <w:pPr>
        <w:widowControl/>
        <w:numPr>
          <w:ilvl w:val="0"/>
          <w:numId w:val="21"/>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检测仪器校准证明文件</w:t>
      </w:r>
    </w:p>
    <w:p>
      <w:pPr>
        <w:widowControl/>
        <w:numPr>
          <w:ilvl w:val="0"/>
          <w:numId w:val="21"/>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质保服务承诺书</w:t>
      </w:r>
    </w:p>
    <w:p>
      <w:pPr>
        <w:pStyle w:val="5"/>
        <w:keepNext w:val="0"/>
        <w:keepLines w:val="0"/>
        <w:tabs>
          <w:tab w:val="left" w:pos="425"/>
        </w:tabs>
        <w:spacing w:before="312"/>
        <w:rPr>
          <w:rFonts w:hint="eastAsia" w:ascii="宋体" w:hAnsi="宋体" w:eastAsia="宋体"/>
          <w:color w:val="000000"/>
          <w:sz w:val="32"/>
          <w:szCs w:val="32"/>
          <w:highlight w:val="none"/>
        </w:rPr>
      </w:pPr>
      <w:r>
        <w:rPr>
          <w:rFonts w:hint="eastAsia" w:ascii="宋体" w:hAnsi="宋体" w:eastAsia="宋体"/>
          <w:color w:val="000000"/>
          <w:sz w:val="32"/>
          <w:szCs w:val="32"/>
          <w:highlight w:val="none"/>
        </w:rPr>
        <w:t>十一、质量保证与售后服务</w:t>
      </w:r>
    </w:p>
    <w:p>
      <w:pPr>
        <w:pStyle w:val="6"/>
        <w:keepNext w:val="0"/>
        <w:keepLines w:val="0"/>
        <w:widowControl/>
        <w:tabs>
          <w:tab w:val="left" w:pos="1276"/>
        </w:tabs>
        <w:rPr>
          <w:rFonts w:hint="eastAsia" w:ascii="宋体" w:hAnsi="宋体" w:eastAsia="宋体"/>
          <w:color w:val="000000"/>
          <w:sz w:val="28"/>
          <w:szCs w:val="28"/>
          <w:highlight w:val="none"/>
        </w:rPr>
      </w:pPr>
      <w:r>
        <w:rPr>
          <w:rFonts w:hint="eastAsia" w:ascii="宋体" w:hAnsi="宋体" w:eastAsia="宋体"/>
          <w:color w:val="000000"/>
          <w:sz w:val="28"/>
          <w:szCs w:val="28"/>
          <w:highlight w:val="none"/>
        </w:rPr>
        <w:t>11.1 质量保证总则</w:t>
      </w:r>
    </w:p>
    <w:p>
      <w:pPr>
        <w:widowControl/>
        <w:numPr>
          <w:ilvl w:val="0"/>
          <w:numId w:val="22"/>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代工方保证其提供的产品是由最适宜的原材料并采用先进工艺制成，且是全新的、 未使用过的，所有合同货物本体、附件</w:t>
      </w:r>
      <w:r>
        <w:rPr>
          <w:rStyle w:val="18"/>
          <w:rFonts w:hint="eastAsia" w:ascii="宋体" w:hAnsi="宋体" w:cs="宋体"/>
          <w:b w:val="0"/>
          <w:color w:val="000000"/>
          <w:szCs w:val="21"/>
          <w:highlight w:val="none"/>
        </w:rPr>
        <w:t>质保期内不得出现锈蚀、开裂</w:t>
      </w:r>
      <w:r>
        <w:rPr>
          <w:rFonts w:hint="eastAsia" w:ascii="宋体" w:hAnsi="宋体" w:cs="宋体"/>
          <w:color w:val="000000"/>
          <w:szCs w:val="21"/>
          <w:highlight w:val="none"/>
        </w:rPr>
        <w:t>，否则应无条件更换；代工方保证其产品在正确安装、正常操作情况下，运行安全、可靠。</w:t>
      </w:r>
    </w:p>
    <w:p>
      <w:pPr>
        <w:widowControl/>
        <w:numPr>
          <w:ilvl w:val="0"/>
          <w:numId w:val="22"/>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代工方应保证制造过程中的所有工艺、材料、规格、性能、试验等（包括代工方的外购件在内）均应符合本规范的规定。代工方对所购配套部件设备质量负责，采购前向委托方提供</w:t>
      </w:r>
      <w:r>
        <w:rPr>
          <w:rStyle w:val="18"/>
          <w:rFonts w:hint="eastAsia" w:ascii="宋体" w:hAnsi="宋体" w:cs="宋体"/>
          <w:b w:val="0"/>
          <w:color w:val="000000"/>
          <w:szCs w:val="21"/>
          <w:highlight w:val="none"/>
        </w:rPr>
        <w:t>主要国产/进口元器件报价表</w:t>
      </w:r>
      <w:r>
        <w:rPr>
          <w:rFonts w:hint="eastAsia" w:ascii="宋体" w:hAnsi="宋体" w:cs="宋体"/>
          <w:color w:val="000000"/>
          <w:szCs w:val="21"/>
          <w:highlight w:val="none"/>
        </w:rPr>
        <w:t>，采购中应进行严格的质量检验，交货时必须向委托方提供其产品质量合格证书及有关安装使用等技术文件资料。</w:t>
      </w:r>
    </w:p>
    <w:p>
      <w:pPr>
        <w:widowControl/>
        <w:numPr>
          <w:ilvl w:val="0"/>
          <w:numId w:val="22"/>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对于采用引进技术的设备、元器件，代工方在采购前应向委托方提供主要进口元器件报价表。引进的设备、元器件应符合引进国的技术标准或 IEC 标准，当标准与本规范有矛盾时，代工方应将处理意见书面通知委托方，由双方协商解决。假若代工方有更优越或更为经济的设计和材料，足以使代工方的产品更为安全、可靠、灵活、适应时，代工方可提出并经委托方的认可，然而必须遵循现行的国家工业标准，并且有成熟的设计和工艺要求以及工程实践经验。</w:t>
      </w:r>
    </w:p>
    <w:p>
      <w:pPr>
        <w:widowControl/>
        <w:numPr>
          <w:ilvl w:val="0"/>
          <w:numId w:val="22"/>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双方签订合同后，代工方应按进度分批提交技术文件和图纸。必要时，双方尚需进行技术联络，以讨论合同范围内的有关技术问题。</w:t>
      </w:r>
    </w:p>
    <w:p>
      <w:pPr>
        <w:widowControl/>
        <w:numPr>
          <w:ilvl w:val="0"/>
          <w:numId w:val="22"/>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为确保终端设备总体质量和整体性能，对于外购设备，代工方应提供外购设备的品牌和技术指标等参数。</w:t>
      </w:r>
      <w:r>
        <w:rPr>
          <w:rStyle w:val="18"/>
          <w:rFonts w:hint="eastAsia" w:ascii="宋体" w:hAnsi="宋体" w:cs="宋体"/>
          <w:b w:val="0"/>
          <w:color w:val="000000"/>
          <w:szCs w:val="21"/>
          <w:highlight w:val="none"/>
        </w:rPr>
        <w:t>委托方有权根据设备的实际使用和运行情况要求代工方更换相关外购设备品牌以提升设备总体质量和整体性能</w:t>
      </w:r>
      <w:r>
        <w:rPr>
          <w:rFonts w:hint="eastAsia" w:ascii="宋体" w:hAnsi="宋体" w:cs="宋体"/>
          <w:color w:val="000000"/>
          <w:szCs w:val="21"/>
          <w:highlight w:val="none"/>
        </w:rPr>
        <w:t>，代工方需无条件配合，且不得提高产品价格。</w:t>
      </w:r>
    </w:p>
    <w:p>
      <w:pPr>
        <w:pStyle w:val="6"/>
        <w:keepNext w:val="0"/>
        <w:keepLines w:val="0"/>
        <w:widowControl/>
        <w:tabs>
          <w:tab w:val="left" w:pos="1276"/>
        </w:tabs>
        <w:rPr>
          <w:rFonts w:hint="eastAsia" w:ascii="宋体" w:hAnsi="宋体" w:eastAsia="宋体"/>
          <w:color w:val="000000"/>
          <w:sz w:val="28"/>
          <w:szCs w:val="28"/>
          <w:highlight w:val="none"/>
        </w:rPr>
      </w:pPr>
      <w:r>
        <w:rPr>
          <w:rFonts w:hint="eastAsia" w:ascii="宋体" w:hAnsi="宋体" w:eastAsia="宋体"/>
          <w:color w:val="000000"/>
          <w:sz w:val="28"/>
          <w:szCs w:val="28"/>
          <w:highlight w:val="none"/>
        </w:rPr>
        <w:t>11.2 免费维修与更换</w:t>
      </w:r>
    </w:p>
    <w:p>
      <w:pPr>
        <w:widowControl/>
        <w:numPr>
          <w:ilvl w:val="0"/>
          <w:numId w:val="23"/>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现场投运前和试运行中发现的设备缺陷和元件损坏，代工方应及时无偿修理或更换新品，直至符合规范要求。</w:t>
      </w:r>
    </w:p>
    <w:p>
      <w:pPr>
        <w:widowControl/>
        <w:numPr>
          <w:ilvl w:val="0"/>
          <w:numId w:val="23"/>
        </w:numPr>
        <w:spacing w:line="360" w:lineRule="auto"/>
        <w:jc w:val="left"/>
        <w:rPr>
          <w:rFonts w:hint="eastAsia" w:ascii="宋体" w:hAnsi="宋体" w:cs="宋体"/>
          <w:color w:val="000000"/>
          <w:szCs w:val="21"/>
          <w:highlight w:val="none"/>
        </w:rPr>
      </w:pPr>
      <w:r>
        <w:rPr>
          <w:rStyle w:val="18"/>
          <w:rFonts w:hint="eastAsia" w:ascii="宋体" w:hAnsi="宋体" w:cs="宋体"/>
          <w:b w:val="0"/>
          <w:color w:val="000000"/>
          <w:szCs w:val="21"/>
          <w:highlight w:val="none"/>
        </w:rPr>
        <w:t>无论是在质保期内还是质保期外，产品因制造/加工/装配/外购件质量原因出现不符合功能要求和技术指标要求的，代工方都有责任免费修理或更换</w:t>
      </w:r>
      <w:r>
        <w:rPr>
          <w:rFonts w:hint="eastAsia" w:ascii="宋体" w:hAnsi="宋体" w:cs="宋体"/>
          <w:color w:val="000000"/>
          <w:szCs w:val="21"/>
          <w:highlight w:val="none"/>
        </w:rPr>
        <w:t>，所提供的替代产品的性能应等于或高于原产品性能。</w:t>
      </w:r>
    </w:p>
    <w:p>
      <w:pPr>
        <w:widowControl/>
        <w:numPr>
          <w:ilvl w:val="0"/>
          <w:numId w:val="23"/>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在接到委托方通知后，代工方虽经努力改进，但仍不满足合同要求，则委托方可按合同处理或更换这些设备，由此引起的一切费用由代工方承担。</w:t>
      </w:r>
    </w:p>
    <w:p>
      <w:pPr>
        <w:pStyle w:val="6"/>
        <w:keepNext w:val="0"/>
        <w:keepLines w:val="0"/>
        <w:widowControl/>
        <w:tabs>
          <w:tab w:val="left" w:pos="1276"/>
        </w:tabs>
        <w:rPr>
          <w:rFonts w:hint="eastAsia" w:ascii="宋体" w:hAnsi="宋体" w:eastAsia="宋体"/>
          <w:color w:val="000000"/>
          <w:sz w:val="28"/>
          <w:szCs w:val="28"/>
          <w:highlight w:val="none"/>
        </w:rPr>
      </w:pPr>
      <w:r>
        <w:rPr>
          <w:rFonts w:hint="eastAsia" w:ascii="宋体" w:hAnsi="宋体" w:eastAsia="宋体"/>
          <w:color w:val="000000"/>
          <w:sz w:val="28"/>
          <w:szCs w:val="28"/>
          <w:highlight w:val="none"/>
        </w:rPr>
        <w:t>11.3 全生命周期质量责任</w:t>
      </w:r>
    </w:p>
    <w:p>
      <w:pPr>
        <w:widowControl/>
        <w:numPr>
          <w:ilvl w:val="0"/>
          <w:numId w:val="24"/>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在设备使用寿命内，代工方应对产品质量负责，并能够提供可供更换的硬件。</w:t>
      </w:r>
    </w:p>
    <w:p>
      <w:pPr>
        <w:widowControl/>
        <w:numPr>
          <w:ilvl w:val="0"/>
          <w:numId w:val="24"/>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质保期内产品出现异常、设备缺陷、元件损坏等问题时，代工方应在委托方规定的消缺时间内进行消缺，如需要更换硬件，则</w:t>
      </w:r>
      <w:r>
        <w:rPr>
          <w:rStyle w:val="18"/>
          <w:rFonts w:hint="eastAsia" w:ascii="宋体" w:hAnsi="宋体" w:cs="宋体"/>
          <w:b w:val="0"/>
          <w:color w:val="000000"/>
          <w:szCs w:val="21"/>
          <w:highlight w:val="none"/>
        </w:rPr>
        <w:t>免费提供替换硬件（包括运输费、税收、设备更换产生的人工费等）</w:t>
      </w:r>
      <w:r>
        <w:rPr>
          <w:rFonts w:hint="eastAsia" w:ascii="宋体" w:hAnsi="宋体" w:cs="宋体"/>
          <w:color w:val="000000"/>
          <w:szCs w:val="21"/>
          <w:highlight w:val="none"/>
        </w:rPr>
        <w:t>，所提供的替代硬件设备的性能应等于或高于原产品性能。</w:t>
      </w:r>
    </w:p>
    <w:p>
      <w:pPr>
        <w:widowControl/>
        <w:numPr>
          <w:ilvl w:val="0"/>
          <w:numId w:val="24"/>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质保期外硬件故障时，代工方按照签订合同时候的</w:t>
      </w:r>
      <w:r>
        <w:rPr>
          <w:rStyle w:val="18"/>
          <w:rFonts w:hint="eastAsia" w:ascii="宋体" w:hAnsi="宋体" w:cs="宋体"/>
          <w:b w:val="0"/>
          <w:color w:val="000000"/>
          <w:szCs w:val="21"/>
          <w:highlight w:val="none"/>
        </w:rPr>
        <w:t>成本价</w:t>
      </w:r>
      <w:r>
        <w:rPr>
          <w:rFonts w:hint="eastAsia" w:ascii="宋体" w:hAnsi="宋体" w:cs="宋体"/>
          <w:color w:val="000000"/>
          <w:szCs w:val="21"/>
          <w:highlight w:val="none"/>
        </w:rPr>
        <w:t>收取费用替换硬件，所提供的替代硬件设备的性能应等于或高于原产品性能。</w:t>
      </w:r>
    </w:p>
    <w:p>
      <w:pPr>
        <w:pStyle w:val="5"/>
        <w:keepNext w:val="0"/>
        <w:keepLines w:val="0"/>
        <w:tabs>
          <w:tab w:val="left" w:pos="425"/>
        </w:tabs>
        <w:spacing w:before="312"/>
        <w:rPr>
          <w:rFonts w:hint="eastAsia" w:ascii="宋体" w:hAnsi="宋体" w:eastAsia="宋体"/>
          <w:color w:val="000000"/>
          <w:sz w:val="32"/>
          <w:szCs w:val="32"/>
          <w:highlight w:val="none"/>
        </w:rPr>
      </w:pPr>
      <w:r>
        <w:rPr>
          <w:rFonts w:hint="eastAsia" w:ascii="宋体" w:hAnsi="宋体" w:eastAsia="宋体"/>
          <w:color w:val="000000"/>
          <w:sz w:val="32"/>
          <w:szCs w:val="32"/>
          <w:highlight w:val="none"/>
        </w:rPr>
        <w:t>十二、保密要求</w:t>
      </w:r>
    </w:p>
    <w:p>
      <w:pPr>
        <w:widowControl/>
        <w:numPr>
          <w:ilvl w:val="0"/>
          <w:numId w:val="25"/>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代工方对委托方提供的</w:t>
      </w:r>
      <w:r>
        <w:rPr>
          <w:rStyle w:val="18"/>
          <w:rFonts w:hint="eastAsia" w:ascii="宋体" w:hAnsi="宋体" w:cs="宋体"/>
          <w:b w:val="0"/>
          <w:color w:val="000000"/>
          <w:szCs w:val="21"/>
          <w:highlight w:val="none"/>
        </w:rPr>
        <w:t>设计图纸、原材料配方、技术参数、工艺要求、试验数据</w:t>
      </w:r>
      <w:r>
        <w:rPr>
          <w:rFonts w:hint="eastAsia" w:ascii="宋体" w:hAnsi="宋体" w:cs="宋体"/>
          <w:color w:val="000000"/>
          <w:szCs w:val="21"/>
          <w:highlight w:val="none"/>
        </w:rPr>
        <w:t>等核心技术资料，负有</w:t>
      </w:r>
      <w:r>
        <w:rPr>
          <w:rStyle w:val="18"/>
          <w:rFonts w:hint="eastAsia" w:ascii="宋体" w:hAnsi="宋体" w:cs="宋体"/>
          <w:b w:val="0"/>
          <w:color w:val="000000"/>
          <w:szCs w:val="21"/>
          <w:highlight w:val="none"/>
        </w:rPr>
        <w:t>终身保密责任</w:t>
      </w:r>
      <w:r>
        <w:rPr>
          <w:rFonts w:hint="eastAsia" w:ascii="宋体" w:hAnsi="宋体" w:cs="宋体"/>
          <w:color w:val="000000"/>
          <w:szCs w:val="21"/>
          <w:highlight w:val="none"/>
        </w:rPr>
        <w:t>，不得向任何第三方泄露、复制、转让、使用，否则需承担相应的法律责任，并赔偿委托方由此造成的全部经济损失。</w:t>
      </w:r>
    </w:p>
    <w:p>
      <w:pPr>
        <w:widowControl/>
        <w:numPr>
          <w:ilvl w:val="0"/>
          <w:numId w:val="25"/>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代工方不得将本项目的代工生产任务</w:t>
      </w:r>
      <w:r>
        <w:rPr>
          <w:rStyle w:val="18"/>
          <w:rFonts w:hint="eastAsia" w:ascii="宋体" w:hAnsi="宋体" w:cs="宋体"/>
          <w:b w:val="0"/>
          <w:color w:val="000000"/>
          <w:szCs w:val="21"/>
          <w:highlight w:val="none"/>
        </w:rPr>
        <w:t>转包、分包</w:t>
      </w:r>
      <w:r>
        <w:rPr>
          <w:rFonts w:hint="eastAsia" w:ascii="宋体" w:hAnsi="宋体" w:cs="宋体"/>
          <w:color w:val="000000"/>
          <w:szCs w:val="21"/>
          <w:highlight w:val="none"/>
        </w:rPr>
        <w:t>给任何第三方，否则委托方有权立即终止合同，代工方需承担全部违约责任，并赔偿委托方损失。</w:t>
      </w:r>
    </w:p>
    <w:p>
      <w:pPr>
        <w:widowControl/>
        <w:numPr>
          <w:ilvl w:val="0"/>
          <w:numId w:val="25"/>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代工方的保密责任在合同终止、质保期结束后仍然有效，直至委托方书面解除保密要求。</w:t>
      </w:r>
    </w:p>
    <w:p>
      <w:pPr>
        <w:widowControl/>
        <w:numPr>
          <w:ilvl w:val="0"/>
          <w:numId w:val="25"/>
        </w:num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代工方需与核心生产、技术人员签订</w:t>
      </w:r>
      <w:r>
        <w:rPr>
          <w:rStyle w:val="18"/>
          <w:rFonts w:hint="eastAsia" w:ascii="宋体" w:hAnsi="宋体" w:cs="宋体"/>
          <w:b w:val="0"/>
          <w:color w:val="000000"/>
          <w:szCs w:val="21"/>
          <w:highlight w:val="none"/>
        </w:rPr>
        <w:t>保密协议</w:t>
      </w:r>
      <w:r>
        <w:rPr>
          <w:rFonts w:hint="eastAsia" w:ascii="宋体" w:hAnsi="宋体" w:cs="宋体"/>
          <w:color w:val="000000"/>
          <w:szCs w:val="21"/>
          <w:highlight w:val="none"/>
        </w:rPr>
        <w:t>，明确保密责任，确保委托方技术资料的安全。</w:t>
      </w:r>
    </w:p>
    <w:p>
      <w:pPr>
        <w:rPr>
          <w:bCs/>
          <w:color w:val="0000FF"/>
          <w:szCs w:val="21"/>
          <w:highlight w:val="none"/>
        </w:rPr>
      </w:pPr>
      <w:r>
        <w:rPr>
          <w:bCs/>
          <w:color w:val="0000FF"/>
          <w:szCs w:val="21"/>
          <w:highlight w:val="none"/>
        </w:rPr>
        <w:br w:type="page"/>
      </w:r>
    </w:p>
    <w:p>
      <w:pPr>
        <w:rPr>
          <w:rFonts w:hint="eastAsia"/>
          <w:bCs/>
          <w:szCs w:val="21"/>
          <w:highlight w:val="none"/>
        </w:rPr>
      </w:pPr>
      <w:r>
        <w:rPr>
          <w:bCs/>
          <w:szCs w:val="21"/>
          <w:highlight w:val="none"/>
        </w:rPr>
        <w:t>附：</w:t>
      </w:r>
      <w:r>
        <w:rPr>
          <w:rFonts w:hint="eastAsia"/>
          <w:bCs/>
          <w:szCs w:val="21"/>
          <w:highlight w:val="none"/>
        </w:rPr>
        <w:t>应急侦察与巡察多足机器人套件示意图</w:t>
      </w:r>
    </w:p>
    <w:p>
      <w:pPr>
        <w:widowControl/>
        <w:rPr>
          <w:rFonts w:hint="eastAsia" w:ascii="宋体" w:hAnsi="宋体" w:cs="宋体"/>
          <w:color w:val="000000" w:themeColor="text1"/>
          <w:szCs w:val="21"/>
          <w:highlight w:val="none"/>
          <w14:textFill>
            <w14:solidFill>
              <w14:schemeClr w14:val="tx1"/>
            </w14:solidFill>
          </w14:textFill>
        </w:rPr>
      </w:pPr>
      <w:r>
        <w:rPr>
          <w:rFonts w:hint="eastAsia"/>
          <w:bCs/>
          <w:szCs w:val="21"/>
          <w:highlight w:val="none"/>
          <w:lang w:val="en-US" w:eastAsia="zh-CN"/>
        </w:rPr>
        <w:t>1、</w:t>
      </w:r>
      <w:r>
        <w:rPr>
          <w:rFonts w:hint="eastAsia" w:ascii="宋体" w:hAnsi="宋体" w:cs="宋体"/>
          <w:color w:val="000000" w:themeColor="text1"/>
          <w:szCs w:val="21"/>
          <w:highlight w:val="none"/>
          <w14:textFill>
            <w14:solidFill>
              <w14:schemeClr w14:val="tx1"/>
            </w14:solidFill>
          </w14:textFill>
        </w:rPr>
        <w:t>小六足机器人</w:t>
      </w:r>
    </w:p>
    <w:p>
      <w:pPr>
        <w:rPr>
          <w:rFonts w:hint="eastAsia"/>
          <w:bCs/>
          <w:szCs w:val="21"/>
          <w:highlight w:val="none"/>
          <w:lang w:val="en-US" w:eastAsia="zh-CN"/>
        </w:rPr>
      </w:pPr>
      <w:r>
        <w:rPr>
          <w:rFonts w:hint="eastAsia"/>
          <w:bCs/>
          <w:szCs w:val="21"/>
          <w:highlight w:val="none"/>
          <w:lang w:val="en-US" w:eastAsia="zh-CN"/>
        </w:rPr>
        <w:drawing>
          <wp:inline distT="0" distB="0" distL="114300" distR="114300">
            <wp:extent cx="5262245" cy="3863975"/>
            <wp:effectExtent l="0" t="0" r="14605" b="3175"/>
            <wp:docPr id="1" name="图片 1" descr="小六足-组装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小六足-组装图"/>
                    <pic:cNvPicPr>
                      <a:picLocks noChangeAspect="1"/>
                    </pic:cNvPicPr>
                  </pic:nvPicPr>
                  <pic:blipFill>
                    <a:blip r:embed="rId8"/>
                    <a:stretch>
                      <a:fillRect/>
                    </a:stretch>
                  </pic:blipFill>
                  <pic:spPr>
                    <a:xfrm>
                      <a:off x="0" y="0"/>
                      <a:ext cx="5262245" cy="3863975"/>
                    </a:xfrm>
                    <a:prstGeom prst="rect">
                      <a:avLst/>
                    </a:prstGeom>
                  </pic:spPr>
                </pic:pic>
              </a:graphicData>
            </a:graphic>
          </wp:inline>
        </w:drawing>
      </w:r>
    </w:p>
    <w:p>
      <w:pPr>
        <w:widowControl/>
        <w:rPr>
          <w:rFonts w:hint="eastAsia" w:ascii="宋体" w:hAnsi="宋体" w:cs="宋体"/>
          <w:color w:val="000000" w:themeColor="text1"/>
          <w:szCs w:val="21"/>
          <w:highlight w:val="none"/>
          <w14:textFill>
            <w14:solidFill>
              <w14:schemeClr w14:val="tx1"/>
            </w14:solidFill>
          </w14:textFill>
        </w:rPr>
      </w:pPr>
      <w:r>
        <w:rPr>
          <w:rFonts w:hint="eastAsia"/>
          <w:bCs/>
          <w:szCs w:val="21"/>
          <w:highlight w:val="none"/>
          <w:lang w:val="en-US" w:eastAsia="zh-CN"/>
        </w:rPr>
        <w:t>2、</w:t>
      </w:r>
      <w:r>
        <w:rPr>
          <w:rFonts w:hint="eastAsia" w:ascii="宋体" w:hAnsi="宋体" w:cs="宋体"/>
          <w:color w:val="000000" w:themeColor="text1"/>
          <w:szCs w:val="21"/>
          <w:highlight w:val="none"/>
          <w14:textFill>
            <w14:solidFill>
              <w14:schemeClr w14:val="tx1"/>
            </w14:solidFill>
          </w14:textFill>
        </w:rPr>
        <w:t>大六足机器人</w:t>
      </w:r>
    </w:p>
    <w:p>
      <w:pPr>
        <w:pStyle w:val="2"/>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highlight w:val="none"/>
          <w:lang w:val="en-US" w:eastAsia="zh-CN"/>
        </w:rPr>
      </w:pPr>
      <w:r>
        <w:rPr>
          <w:rFonts w:hint="eastAsia"/>
          <w:highlight w:val="none"/>
          <w:lang w:val="en-US" w:eastAsia="zh-CN"/>
        </w:rPr>
        <w:drawing>
          <wp:inline distT="0" distB="0" distL="114300" distR="114300">
            <wp:extent cx="5262245" cy="3863975"/>
            <wp:effectExtent l="0" t="0" r="14605" b="3175"/>
            <wp:docPr id="2" name="图片 2" descr="大六足-组装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大六足-组装图"/>
                    <pic:cNvPicPr>
                      <a:picLocks noChangeAspect="1"/>
                    </pic:cNvPicPr>
                  </pic:nvPicPr>
                  <pic:blipFill>
                    <a:blip r:embed="rId9"/>
                    <a:stretch>
                      <a:fillRect/>
                    </a:stretch>
                  </pic:blipFill>
                  <pic:spPr>
                    <a:xfrm>
                      <a:off x="0" y="0"/>
                      <a:ext cx="5262245" cy="3863975"/>
                    </a:xfrm>
                    <a:prstGeom prst="rect">
                      <a:avLst/>
                    </a:prstGeom>
                  </pic:spPr>
                </pic:pic>
              </a:graphicData>
            </a:graphic>
          </wp:inline>
        </w:drawing>
      </w:r>
    </w:p>
    <w:p>
      <w:pPr>
        <w:widowControl/>
        <w:rPr>
          <w:rFonts w:hint="eastAsia"/>
          <w:bCs/>
          <w:szCs w:val="21"/>
          <w:highlight w:val="none"/>
          <w:lang w:val="en-US" w:eastAsia="zh-CN"/>
        </w:rPr>
      </w:pPr>
    </w:p>
    <w:p>
      <w:pPr>
        <w:widowControl/>
        <w:rPr>
          <w:rFonts w:hint="eastAsia"/>
          <w:bCs/>
          <w:szCs w:val="21"/>
          <w:highlight w:val="none"/>
          <w:lang w:val="en-US" w:eastAsia="zh-CN"/>
        </w:rPr>
      </w:pPr>
      <w:r>
        <w:rPr>
          <w:rFonts w:hint="eastAsia"/>
          <w:bCs/>
          <w:szCs w:val="21"/>
          <w:highlight w:val="none"/>
          <w:lang w:val="en-US" w:eastAsia="zh-CN"/>
        </w:rPr>
        <w:t>3、小四轮足机器人</w:t>
      </w:r>
    </w:p>
    <w:p>
      <w:pPr>
        <w:pStyle w:val="2"/>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highlight w:val="none"/>
          <w:lang w:val="en-US" w:eastAsia="zh-CN"/>
        </w:rPr>
      </w:pPr>
      <w:r>
        <w:rPr>
          <w:rFonts w:hint="eastAsia"/>
          <w:highlight w:val="none"/>
          <w:lang w:val="en-US" w:eastAsia="zh-CN"/>
        </w:rPr>
        <w:drawing>
          <wp:inline distT="0" distB="0" distL="114300" distR="114300">
            <wp:extent cx="5262245" cy="3863975"/>
            <wp:effectExtent l="0" t="0" r="14605" b="3175"/>
            <wp:docPr id="3" name="图片 3" descr="小四轮足-组装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小四轮足-组装图"/>
                    <pic:cNvPicPr>
                      <a:picLocks noChangeAspect="1"/>
                    </pic:cNvPicPr>
                  </pic:nvPicPr>
                  <pic:blipFill>
                    <a:blip r:embed="rId10"/>
                    <a:stretch>
                      <a:fillRect/>
                    </a:stretch>
                  </pic:blipFill>
                  <pic:spPr>
                    <a:xfrm>
                      <a:off x="0" y="0"/>
                      <a:ext cx="5262245" cy="3863975"/>
                    </a:xfrm>
                    <a:prstGeom prst="rect">
                      <a:avLst/>
                    </a:prstGeom>
                  </pic:spPr>
                </pic:pic>
              </a:graphicData>
            </a:graphic>
          </wp:inline>
        </w:drawing>
      </w:r>
    </w:p>
    <w:p>
      <w:pPr>
        <w:widowControl/>
        <w:numPr>
          <w:ilvl w:val="0"/>
          <w:numId w:val="26"/>
        </w:numPr>
        <w:rPr>
          <w:rFonts w:hint="eastAsia"/>
          <w:bCs/>
          <w:szCs w:val="21"/>
          <w:highlight w:val="none"/>
          <w:lang w:val="en-US" w:eastAsia="zh-CN"/>
        </w:rPr>
      </w:pPr>
      <w:r>
        <w:rPr>
          <w:rFonts w:hint="eastAsia" w:ascii="宋体" w:hAnsi="宋体" w:cs="宋体"/>
          <w:szCs w:val="21"/>
          <w:highlight w:val="none"/>
        </w:rPr>
        <w:t>中型轮足</w:t>
      </w:r>
      <w:r>
        <w:rPr>
          <w:rFonts w:hint="eastAsia"/>
          <w:bCs/>
          <w:szCs w:val="21"/>
          <w:highlight w:val="none"/>
          <w:lang w:val="en-US" w:eastAsia="zh-CN"/>
        </w:rPr>
        <w:t>机器人</w:t>
      </w:r>
    </w:p>
    <w:p>
      <w:pPr>
        <w:pStyle w:val="2"/>
        <w:numPr>
          <w:ilvl w:val="0"/>
          <w:numId w:val="0"/>
        </w:numPr>
        <w:rPr>
          <w:rFonts w:hint="eastAsia"/>
          <w:highlight w:val="none"/>
          <w:lang w:val="en-US" w:eastAsia="zh-CN"/>
        </w:rPr>
      </w:pPr>
      <w:r>
        <w:rPr>
          <w:rFonts w:hint="eastAsia"/>
          <w:highlight w:val="none"/>
          <w:lang w:val="en-US" w:eastAsia="zh-CN"/>
        </w:rPr>
        <w:drawing>
          <wp:inline distT="0" distB="0" distL="114300" distR="114300">
            <wp:extent cx="5262245" cy="3863975"/>
            <wp:effectExtent l="0" t="0" r="14605" b="3175"/>
            <wp:docPr id="4" name="图片 4" descr="中型轮足-组装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中型轮足-组装图"/>
                    <pic:cNvPicPr>
                      <a:picLocks noChangeAspect="1"/>
                    </pic:cNvPicPr>
                  </pic:nvPicPr>
                  <pic:blipFill>
                    <a:blip r:embed="rId11"/>
                    <a:stretch>
                      <a:fillRect/>
                    </a:stretch>
                  </pic:blipFill>
                  <pic:spPr>
                    <a:xfrm>
                      <a:off x="0" y="0"/>
                      <a:ext cx="5262245" cy="3863975"/>
                    </a:xfrm>
                    <a:prstGeom prst="rect">
                      <a:avLst/>
                    </a:prstGeom>
                  </pic:spPr>
                </pic:pic>
              </a:graphicData>
            </a:graphic>
          </wp:inline>
        </w:drawing>
      </w:r>
    </w:p>
    <w:p>
      <w:pPr>
        <w:widowControl/>
        <w:rPr>
          <w:rFonts w:hint="eastAsia"/>
          <w:bCs/>
          <w:szCs w:val="21"/>
          <w:highlight w:val="none"/>
          <w:lang w:val="en-US" w:eastAsia="zh-CN"/>
        </w:rPr>
      </w:pPr>
    </w:p>
    <w:p>
      <w:pPr>
        <w:widowControl/>
        <w:rPr>
          <w:rFonts w:hint="eastAsia"/>
          <w:bCs/>
          <w:szCs w:val="21"/>
          <w:highlight w:val="none"/>
          <w:lang w:val="en-US" w:eastAsia="zh-CN"/>
        </w:rPr>
      </w:pPr>
    </w:p>
    <w:p>
      <w:pPr>
        <w:widowControl/>
        <w:rPr>
          <w:rFonts w:hint="eastAsia"/>
          <w:bCs/>
          <w:szCs w:val="21"/>
          <w:highlight w:val="none"/>
          <w:lang w:val="en-US" w:eastAsia="zh-CN"/>
        </w:rPr>
      </w:pPr>
      <w:r>
        <w:rPr>
          <w:rFonts w:hint="eastAsia"/>
          <w:bCs/>
          <w:szCs w:val="21"/>
          <w:highlight w:val="none"/>
          <w:lang w:val="en-US" w:eastAsia="zh-CN"/>
        </w:rPr>
        <w:t>5、</w:t>
      </w:r>
      <w:r>
        <w:rPr>
          <w:rFonts w:hint="eastAsia" w:ascii="宋体" w:hAnsi="宋体" w:cs="宋体"/>
          <w:szCs w:val="21"/>
          <w:highlight w:val="none"/>
        </w:rPr>
        <w:t>大型轮足机器人</w:t>
      </w:r>
    </w:p>
    <w:p>
      <w:pPr>
        <w:pStyle w:val="2"/>
        <w:numPr>
          <w:ilvl w:val="0"/>
          <w:numId w:val="0"/>
        </w:numPr>
        <w:rPr>
          <w:rFonts w:hint="eastAsia"/>
          <w:highlight w:val="none"/>
          <w:lang w:val="en-US" w:eastAsia="zh-CN"/>
        </w:rPr>
      </w:pPr>
      <w:r>
        <w:rPr>
          <w:rFonts w:hint="eastAsia"/>
          <w:highlight w:val="none"/>
          <w:lang w:val="en-US" w:eastAsia="zh-CN"/>
        </w:rPr>
        <w:drawing>
          <wp:inline distT="0" distB="0" distL="114300" distR="114300">
            <wp:extent cx="5262245" cy="3863975"/>
            <wp:effectExtent l="0" t="0" r="14605" b="3175"/>
            <wp:docPr id="7" name="图片 7" descr="大型轮足-组装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大型轮足-组装图"/>
                    <pic:cNvPicPr>
                      <a:picLocks noChangeAspect="1"/>
                    </pic:cNvPicPr>
                  </pic:nvPicPr>
                  <pic:blipFill>
                    <a:blip r:embed="rId12"/>
                    <a:stretch>
                      <a:fillRect/>
                    </a:stretch>
                  </pic:blipFill>
                  <pic:spPr>
                    <a:xfrm>
                      <a:off x="0" y="0"/>
                      <a:ext cx="5262245" cy="3863975"/>
                    </a:xfrm>
                    <a:prstGeom prst="rect">
                      <a:avLst/>
                    </a:prstGeom>
                  </pic:spPr>
                </pic:pic>
              </a:graphicData>
            </a:graphic>
          </wp:inline>
        </w:drawing>
      </w:r>
    </w:p>
    <w:p>
      <w:pPr>
        <w:rPr>
          <w:rFonts w:hint="default"/>
          <w:highlight w:val="none"/>
          <w:lang w:val="en-US" w:eastAsia="zh-CN"/>
        </w:rPr>
      </w:pPr>
    </w:p>
    <w:sectPr>
      <w:footerReference r:id="rId5" w:type="default"/>
      <w:pgSz w:w="11906" w:h="16838"/>
      <w:pgMar w:top="1440" w:right="859" w:bottom="1440" w:left="967" w:header="851" w:footer="992" w:gutter="0"/>
      <w:pgNumType w:fmt="decimal"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FBCB2F70-60A5-41D7-94A0-AF1E34FF0EA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方正小标宋_GBK">
    <w:panose1 w:val="03000509000000000000"/>
    <w:charset w:val="86"/>
    <w:family w:val="script"/>
    <w:pitch w:val="default"/>
    <w:sig w:usb0="00000001" w:usb1="080E0000" w:usb2="00000000" w:usb3="00000000" w:csb0="00040000" w:csb1="00000000"/>
    <w:embedRegular r:id="rId2" w:fontKey="{82C14B8E-C442-42BD-938D-C23B98CEFEDD}"/>
  </w:font>
  <w:font w:name="微软雅黑">
    <w:panose1 w:val="020B0503020204020204"/>
    <w:charset w:val="86"/>
    <w:family w:val="auto"/>
    <w:pitch w:val="default"/>
    <w:sig w:usb0="80000287" w:usb1="2ACF3C50" w:usb2="00000016" w:usb3="00000000" w:csb0="0004001F" w:csb1="00000000"/>
    <w:embedRegular r:id="rId3" w:fontKey="{89B33F7D-02D9-4961-93D8-7B6AA2AD876E}"/>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E01CCF"/>
    <w:multiLevelType w:val="multilevel"/>
    <w:tmpl w:val="8AE01CCF"/>
    <w:lvl w:ilvl="0" w:tentative="0">
      <w:start w:val="1"/>
      <w:numFmt w:val="decimal"/>
      <w:lvlText w:val="%1."/>
      <w:lvlJc w:val="left"/>
      <w:pPr>
        <w:tabs>
          <w:tab w:val="left" w:pos="0"/>
        </w:tabs>
        <w:ind w:left="0" w:firstLine="0"/>
      </w:pPr>
      <w:rPr>
        <w:rFonts w:hint="default"/>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1">
    <w:nsid w:val="8AF7F0CB"/>
    <w:multiLevelType w:val="multilevel"/>
    <w:tmpl w:val="8AF7F0CB"/>
    <w:lvl w:ilvl="0" w:tentative="0">
      <w:start w:val="1"/>
      <w:numFmt w:val="decimal"/>
      <w:lvlText w:val="%1."/>
      <w:lvlJc w:val="left"/>
      <w:pPr>
        <w:tabs>
          <w:tab w:val="left" w:pos="0"/>
        </w:tabs>
        <w:ind w:left="0" w:firstLine="0"/>
      </w:pPr>
      <w:rPr>
        <w:rFonts w:hint="default"/>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2">
    <w:nsid w:val="8B9E54E7"/>
    <w:multiLevelType w:val="multilevel"/>
    <w:tmpl w:val="8B9E54E7"/>
    <w:lvl w:ilvl="0" w:tentative="0">
      <w:start w:val="1"/>
      <w:numFmt w:val="decimal"/>
      <w:lvlText w:val="%1."/>
      <w:lvlJc w:val="left"/>
      <w:pPr>
        <w:tabs>
          <w:tab w:val="left" w:pos="0"/>
        </w:tabs>
        <w:ind w:left="0" w:firstLine="0"/>
      </w:pPr>
      <w:rPr>
        <w:rFonts w:hint="default"/>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3">
    <w:nsid w:val="8FE1EC6D"/>
    <w:multiLevelType w:val="multilevel"/>
    <w:tmpl w:val="8FE1EC6D"/>
    <w:lvl w:ilvl="0" w:tentative="0">
      <w:start w:val="1"/>
      <w:numFmt w:val="decimal"/>
      <w:lvlText w:val="%1."/>
      <w:lvlJc w:val="left"/>
      <w:pPr>
        <w:tabs>
          <w:tab w:val="left" w:pos="0"/>
        </w:tabs>
        <w:ind w:left="0" w:firstLine="0"/>
      </w:pPr>
      <w:rPr>
        <w:rFonts w:hint="default"/>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4">
    <w:nsid w:val="B8DAF90F"/>
    <w:multiLevelType w:val="multilevel"/>
    <w:tmpl w:val="B8DAF90F"/>
    <w:lvl w:ilvl="0" w:tentative="0">
      <w:start w:val="1"/>
      <w:numFmt w:val="decimal"/>
      <w:lvlText w:val="%1."/>
      <w:lvlJc w:val="left"/>
      <w:pPr>
        <w:tabs>
          <w:tab w:val="left" w:pos="0"/>
        </w:tabs>
        <w:ind w:left="0" w:firstLine="0"/>
      </w:pPr>
      <w:rPr>
        <w:rFonts w:hint="default"/>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5">
    <w:nsid w:val="BA4D3AE0"/>
    <w:multiLevelType w:val="multilevel"/>
    <w:tmpl w:val="BA4D3AE0"/>
    <w:lvl w:ilvl="0" w:tentative="0">
      <w:start w:val="1"/>
      <w:numFmt w:val="decimal"/>
      <w:lvlText w:val="%1."/>
      <w:lvlJc w:val="left"/>
      <w:pPr>
        <w:tabs>
          <w:tab w:val="left" w:pos="0"/>
        </w:tabs>
        <w:ind w:left="0" w:firstLine="0"/>
      </w:pPr>
      <w:rPr>
        <w:rFonts w:hint="default"/>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6">
    <w:nsid w:val="C5C1904A"/>
    <w:multiLevelType w:val="multilevel"/>
    <w:tmpl w:val="C5C1904A"/>
    <w:lvl w:ilvl="0" w:tentative="0">
      <w:start w:val="1"/>
      <w:numFmt w:val="decimal"/>
      <w:lvlText w:val="%1."/>
      <w:lvlJc w:val="left"/>
      <w:pPr>
        <w:tabs>
          <w:tab w:val="left" w:pos="0"/>
        </w:tabs>
        <w:ind w:left="0" w:firstLine="0"/>
      </w:pPr>
      <w:rPr>
        <w:rFonts w:hint="default"/>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7">
    <w:nsid w:val="C91438F4"/>
    <w:multiLevelType w:val="multilevel"/>
    <w:tmpl w:val="C91438F4"/>
    <w:lvl w:ilvl="0" w:tentative="0">
      <w:start w:val="1"/>
      <w:numFmt w:val="decimal"/>
      <w:lvlText w:val="%1."/>
      <w:lvlJc w:val="left"/>
      <w:pPr>
        <w:tabs>
          <w:tab w:val="left" w:pos="0"/>
        </w:tabs>
        <w:ind w:left="0" w:firstLine="0"/>
      </w:pPr>
      <w:rPr>
        <w:rFonts w:hint="default"/>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8">
    <w:nsid w:val="CC06D625"/>
    <w:multiLevelType w:val="multilevel"/>
    <w:tmpl w:val="CC06D625"/>
    <w:lvl w:ilvl="0" w:tentative="0">
      <w:start w:val="1"/>
      <w:numFmt w:val="decimal"/>
      <w:lvlText w:val="%1."/>
      <w:lvlJc w:val="left"/>
      <w:pPr>
        <w:tabs>
          <w:tab w:val="left" w:pos="0"/>
        </w:tabs>
        <w:ind w:left="0" w:firstLine="0"/>
      </w:pPr>
      <w:rPr>
        <w:rFonts w:hint="default"/>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9">
    <w:nsid w:val="D28E47E1"/>
    <w:multiLevelType w:val="singleLevel"/>
    <w:tmpl w:val="D28E47E1"/>
    <w:lvl w:ilvl="0" w:tentative="0">
      <w:start w:val="1"/>
      <w:numFmt w:val="decimal"/>
      <w:lvlText w:val="(%1)"/>
      <w:lvlJc w:val="left"/>
      <w:pPr>
        <w:ind w:left="425" w:hanging="425"/>
      </w:pPr>
      <w:rPr>
        <w:rFonts w:hint="default"/>
      </w:rPr>
    </w:lvl>
  </w:abstractNum>
  <w:abstractNum w:abstractNumId="10">
    <w:nsid w:val="D48F17BB"/>
    <w:multiLevelType w:val="multilevel"/>
    <w:tmpl w:val="D48F17BB"/>
    <w:lvl w:ilvl="0" w:tentative="0">
      <w:start w:val="1"/>
      <w:numFmt w:val="decimal"/>
      <w:lvlText w:val="%1."/>
      <w:lvlJc w:val="left"/>
      <w:pPr>
        <w:tabs>
          <w:tab w:val="left" w:pos="0"/>
        </w:tabs>
        <w:ind w:left="0" w:firstLine="0"/>
      </w:pPr>
      <w:rPr>
        <w:rFonts w:hint="default"/>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11">
    <w:nsid w:val="0030221A"/>
    <w:multiLevelType w:val="multilevel"/>
    <w:tmpl w:val="0030221A"/>
    <w:lvl w:ilvl="0" w:tentative="0">
      <w:start w:val="1"/>
      <w:numFmt w:val="decimal"/>
      <w:lvlText w:val="%1."/>
      <w:lvlJc w:val="left"/>
      <w:pPr>
        <w:tabs>
          <w:tab w:val="left" w:pos="0"/>
        </w:tabs>
        <w:ind w:left="0" w:firstLine="0"/>
      </w:pPr>
      <w:rPr>
        <w:rFonts w:hint="default"/>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12">
    <w:nsid w:val="0D52A66B"/>
    <w:multiLevelType w:val="multilevel"/>
    <w:tmpl w:val="0D52A66B"/>
    <w:lvl w:ilvl="0" w:tentative="0">
      <w:start w:val="1"/>
      <w:numFmt w:val="decimal"/>
      <w:lvlText w:val="%1."/>
      <w:lvlJc w:val="left"/>
      <w:pPr>
        <w:tabs>
          <w:tab w:val="left" w:pos="0"/>
        </w:tabs>
        <w:ind w:left="0" w:firstLine="0"/>
      </w:pPr>
      <w:rPr>
        <w:rFonts w:hint="default"/>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13">
    <w:nsid w:val="2275BA22"/>
    <w:multiLevelType w:val="multilevel"/>
    <w:tmpl w:val="2275BA22"/>
    <w:lvl w:ilvl="0" w:tentative="0">
      <w:start w:val="1"/>
      <w:numFmt w:val="decimal"/>
      <w:lvlText w:val="%1."/>
      <w:lvlJc w:val="left"/>
      <w:pPr>
        <w:tabs>
          <w:tab w:val="left" w:pos="0"/>
        </w:tabs>
        <w:ind w:left="0" w:firstLine="0"/>
      </w:pPr>
      <w:rPr>
        <w:rFonts w:hint="default"/>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14">
    <w:nsid w:val="274781D6"/>
    <w:multiLevelType w:val="multilevel"/>
    <w:tmpl w:val="274781D6"/>
    <w:lvl w:ilvl="0" w:tentative="0">
      <w:start w:val="1"/>
      <w:numFmt w:val="decimal"/>
      <w:lvlText w:val="%1."/>
      <w:lvlJc w:val="left"/>
      <w:pPr>
        <w:tabs>
          <w:tab w:val="left" w:pos="0"/>
        </w:tabs>
        <w:ind w:left="0" w:firstLine="0"/>
      </w:pPr>
      <w:rPr>
        <w:rFonts w:hint="default"/>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15">
    <w:nsid w:val="30917A9F"/>
    <w:multiLevelType w:val="multilevel"/>
    <w:tmpl w:val="30917A9F"/>
    <w:lvl w:ilvl="0" w:tentative="0">
      <w:start w:val="1"/>
      <w:numFmt w:val="decimal"/>
      <w:lvlText w:val="%1."/>
      <w:lvlJc w:val="left"/>
      <w:pPr>
        <w:tabs>
          <w:tab w:val="left" w:pos="0"/>
        </w:tabs>
        <w:ind w:left="0" w:firstLine="0"/>
      </w:pPr>
      <w:rPr>
        <w:rFonts w:hint="default"/>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16">
    <w:nsid w:val="44A1044D"/>
    <w:multiLevelType w:val="multilevel"/>
    <w:tmpl w:val="44A1044D"/>
    <w:lvl w:ilvl="0" w:tentative="0">
      <w:start w:val="1"/>
      <w:numFmt w:val="decimal"/>
      <w:lvlText w:val="%1."/>
      <w:lvlJc w:val="left"/>
      <w:pPr>
        <w:tabs>
          <w:tab w:val="left" w:pos="0"/>
        </w:tabs>
        <w:ind w:left="0" w:firstLine="0"/>
      </w:pPr>
      <w:rPr>
        <w:rFonts w:hint="default"/>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17">
    <w:nsid w:val="4773E69F"/>
    <w:multiLevelType w:val="multilevel"/>
    <w:tmpl w:val="4773E69F"/>
    <w:lvl w:ilvl="0" w:tentative="0">
      <w:start w:val="1"/>
      <w:numFmt w:val="decimal"/>
      <w:lvlText w:val="%1."/>
      <w:lvlJc w:val="left"/>
      <w:pPr>
        <w:tabs>
          <w:tab w:val="left" w:pos="0"/>
        </w:tabs>
        <w:ind w:left="0" w:firstLine="0"/>
      </w:pPr>
      <w:rPr>
        <w:rFonts w:hint="default"/>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18">
    <w:nsid w:val="4C0D33C0"/>
    <w:multiLevelType w:val="multilevel"/>
    <w:tmpl w:val="4C0D33C0"/>
    <w:lvl w:ilvl="0" w:tentative="0">
      <w:start w:val="1"/>
      <w:numFmt w:val="decimal"/>
      <w:lvlText w:val="%1."/>
      <w:lvlJc w:val="left"/>
      <w:pPr>
        <w:tabs>
          <w:tab w:val="left" w:pos="0"/>
        </w:tabs>
        <w:ind w:left="0" w:firstLine="0"/>
      </w:pPr>
      <w:rPr>
        <w:rFonts w:hint="default"/>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19">
    <w:nsid w:val="52E769A2"/>
    <w:multiLevelType w:val="multilevel"/>
    <w:tmpl w:val="52E769A2"/>
    <w:lvl w:ilvl="0" w:tentative="0">
      <w:start w:val="1"/>
      <w:numFmt w:val="decimal"/>
      <w:lvlText w:val="%1."/>
      <w:lvlJc w:val="left"/>
      <w:pPr>
        <w:tabs>
          <w:tab w:val="left" w:pos="0"/>
        </w:tabs>
        <w:ind w:left="0" w:firstLine="0"/>
      </w:pPr>
      <w:rPr>
        <w:rFonts w:hint="default"/>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20">
    <w:nsid w:val="5CE10B80"/>
    <w:multiLevelType w:val="singleLevel"/>
    <w:tmpl w:val="5CE10B80"/>
    <w:lvl w:ilvl="0" w:tentative="0">
      <w:start w:val="4"/>
      <w:numFmt w:val="decimal"/>
      <w:suff w:val="nothing"/>
      <w:lvlText w:val="%1、"/>
      <w:lvlJc w:val="left"/>
    </w:lvl>
  </w:abstractNum>
  <w:abstractNum w:abstractNumId="21">
    <w:nsid w:val="609A2B51"/>
    <w:multiLevelType w:val="singleLevel"/>
    <w:tmpl w:val="609A2B51"/>
    <w:lvl w:ilvl="0" w:tentative="0">
      <w:start w:val="1"/>
      <w:numFmt w:val="decimal"/>
      <w:lvlText w:val="(%1)"/>
      <w:lvlJc w:val="left"/>
      <w:pPr>
        <w:ind w:left="425" w:hanging="425"/>
      </w:pPr>
      <w:rPr>
        <w:rFonts w:hint="default"/>
      </w:rPr>
    </w:lvl>
  </w:abstractNum>
  <w:abstractNum w:abstractNumId="22">
    <w:nsid w:val="616A918E"/>
    <w:multiLevelType w:val="multilevel"/>
    <w:tmpl w:val="616A918E"/>
    <w:lvl w:ilvl="0" w:tentative="0">
      <w:start w:val="1"/>
      <w:numFmt w:val="decimal"/>
      <w:lvlText w:val="%1."/>
      <w:lvlJc w:val="left"/>
      <w:pPr>
        <w:tabs>
          <w:tab w:val="left" w:pos="0"/>
        </w:tabs>
        <w:ind w:left="0" w:firstLine="0"/>
      </w:pPr>
      <w:rPr>
        <w:rFonts w:hint="default"/>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23">
    <w:nsid w:val="6453DF21"/>
    <w:multiLevelType w:val="multilevel"/>
    <w:tmpl w:val="6453DF21"/>
    <w:lvl w:ilvl="0" w:tentative="0">
      <w:start w:val="1"/>
      <w:numFmt w:val="decimal"/>
      <w:lvlText w:val="%1."/>
      <w:lvlJc w:val="left"/>
      <w:pPr>
        <w:tabs>
          <w:tab w:val="left" w:pos="0"/>
        </w:tabs>
        <w:ind w:left="0" w:firstLine="0"/>
      </w:pPr>
      <w:rPr>
        <w:rFonts w:hint="default"/>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24">
    <w:nsid w:val="7030D641"/>
    <w:multiLevelType w:val="multilevel"/>
    <w:tmpl w:val="7030D641"/>
    <w:lvl w:ilvl="0" w:tentative="0">
      <w:start w:val="1"/>
      <w:numFmt w:val="decimal"/>
      <w:lvlText w:val="%1."/>
      <w:lvlJc w:val="left"/>
      <w:pPr>
        <w:tabs>
          <w:tab w:val="left" w:pos="0"/>
        </w:tabs>
        <w:ind w:left="0" w:firstLine="0"/>
      </w:pPr>
      <w:rPr>
        <w:rFonts w:hint="default"/>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25">
    <w:nsid w:val="7FEA9D0F"/>
    <w:multiLevelType w:val="multilevel"/>
    <w:tmpl w:val="7FEA9D0F"/>
    <w:lvl w:ilvl="0" w:tentative="0">
      <w:start w:val="1"/>
      <w:numFmt w:val="decimal"/>
      <w:lvlText w:val="%1."/>
      <w:lvlJc w:val="left"/>
      <w:pPr>
        <w:tabs>
          <w:tab w:val="left" w:pos="0"/>
        </w:tabs>
        <w:ind w:left="0" w:firstLine="0"/>
      </w:pPr>
      <w:rPr>
        <w:rFonts w:hint="default"/>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num w:numId="1">
    <w:abstractNumId w:val="21"/>
  </w:num>
  <w:num w:numId="2">
    <w:abstractNumId w:val="0"/>
  </w:num>
  <w:num w:numId="3">
    <w:abstractNumId w:val="14"/>
  </w:num>
  <w:num w:numId="4">
    <w:abstractNumId w:val="7"/>
  </w:num>
  <w:num w:numId="5">
    <w:abstractNumId w:val="23"/>
  </w:num>
  <w:num w:numId="6">
    <w:abstractNumId w:val="5"/>
  </w:num>
  <w:num w:numId="7">
    <w:abstractNumId w:val="6"/>
  </w:num>
  <w:num w:numId="8">
    <w:abstractNumId w:val="15"/>
  </w:num>
  <w:num w:numId="9">
    <w:abstractNumId w:val="2"/>
  </w:num>
  <w:num w:numId="10">
    <w:abstractNumId w:val="11"/>
  </w:num>
  <w:num w:numId="11">
    <w:abstractNumId w:val="22"/>
  </w:num>
  <w:num w:numId="12">
    <w:abstractNumId w:val="9"/>
  </w:num>
  <w:num w:numId="13">
    <w:abstractNumId w:val="1"/>
  </w:num>
  <w:num w:numId="14">
    <w:abstractNumId w:val="13"/>
  </w:num>
  <w:num w:numId="15">
    <w:abstractNumId w:val="19"/>
  </w:num>
  <w:num w:numId="16">
    <w:abstractNumId w:val="24"/>
  </w:num>
  <w:num w:numId="17">
    <w:abstractNumId w:val="10"/>
  </w:num>
  <w:num w:numId="18">
    <w:abstractNumId w:val="16"/>
  </w:num>
  <w:num w:numId="19">
    <w:abstractNumId w:val="8"/>
  </w:num>
  <w:num w:numId="20">
    <w:abstractNumId w:val="4"/>
  </w:num>
  <w:num w:numId="21">
    <w:abstractNumId w:val="3"/>
  </w:num>
  <w:num w:numId="22">
    <w:abstractNumId w:val="18"/>
  </w:num>
  <w:num w:numId="23">
    <w:abstractNumId w:val="25"/>
  </w:num>
  <w:num w:numId="24">
    <w:abstractNumId w:val="17"/>
  </w:num>
  <w:num w:numId="25">
    <w:abstractNumId w:val="12"/>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FjNmQzMTE1OTIyYWRlM2ZjZjBiN2RmZDM0ZDgxMTQifQ=="/>
  </w:docVars>
  <w:rsids>
    <w:rsidRoot w:val="2D62436F"/>
    <w:rsid w:val="003F19EF"/>
    <w:rsid w:val="007E63D9"/>
    <w:rsid w:val="01816096"/>
    <w:rsid w:val="01822D6C"/>
    <w:rsid w:val="01AF2697"/>
    <w:rsid w:val="01E7687A"/>
    <w:rsid w:val="02182C5B"/>
    <w:rsid w:val="022E40D0"/>
    <w:rsid w:val="024E25D1"/>
    <w:rsid w:val="02902DF3"/>
    <w:rsid w:val="03260EE8"/>
    <w:rsid w:val="032B6341"/>
    <w:rsid w:val="036A36E1"/>
    <w:rsid w:val="038C573A"/>
    <w:rsid w:val="03C90689"/>
    <w:rsid w:val="041052E8"/>
    <w:rsid w:val="043046B5"/>
    <w:rsid w:val="04666B7A"/>
    <w:rsid w:val="048B2A85"/>
    <w:rsid w:val="04BA42C8"/>
    <w:rsid w:val="05112A4A"/>
    <w:rsid w:val="053E58B3"/>
    <w:rsid w:val="05921832"/>
    <w:rsid w:val="05B836B3"/>
    <w:rsid w:val="05C242FF"/>
    <w:rsid w:val="06050F84"/>
    <w:rsid w:val="06080554"/>
    <w:rsid w:val="06D34E0E"/>
    <w:rsid w:val="070D08F0"/>
    <w:rsid w:val="072C0EAC"/>
    <w:rsid w:val="07526764"/>
    <w:rsid w:val="078A226A"/>
    <w:rsid w:val="07D10C12"/>
    <w:rsid w:val="08410597"/>
    <w:rsid w:val="088812F9"/>
    <w:rsid w:val="089B79AC"/>
    <w:rsid w:val="08D83463"/>
    <w:rsid w:val="090533B3"/>
    <w:rsid w:val="09E544CB"/>
    <w:rsid w:val="09E60A95"/>
    <w:rsid w:val="0A080331"/>
    <w:rsid w:val="0A1C6AEB"/>
    <w:rsid w:val="0A306F7B"/>
    <w:rsid w:val="0A745034"/>
    <w:rsid w:val="0A9C46B5"/>
    <w:rsid w:val="0AC4757C"/>
    <w:rsid w:val="0AC82512"/>
    <w:rsid w:val="0AC97464"/>
    <w:rsid w:val="0B1A3732"/>
    <w:rsid w:val="0B285DDC"/>
    <w:rsid w:val="0B636570"/>
    <w:rsid w:val="0C035585"/>
    <w:rsid w:val="0CA20839"/>
    <w:rsid w:val="0CDA217A"/>
    <w:rsid w:val="0CE07ECE"/>
    <w:rsid w:val="0D223618"/>
    <w:rsid w:val="0D5C50F6"/>
    <w:rsid w:val="0D9540E6"/>
    <w:rsid w:val="0E314EE7"/>
    <w:rsid w:val="0E591449"/>
    <w:rsid w:val="0E655B0A"/>
    <w:rsid w:val="0F4563BA"/>
    <w:rsid w:val="0F4C7CDD"/>
    <w:rsid w:val="0F521FDA"/>
    <w:rsid w:val="0F770C97"/>
    <w:rsid w:val="0FB64C56"/>
    <w:rsid w:val="0FC57C54"/>
    <w:rsid w:val="101C6FE8"/>
    <w:rsid w:val="103819AC"/>
    <w:rsid w:val="10416259"/>
    <w:rsid w:val="10C6343A"/>
    <w:rsid w:val="10D4182A"/>
    <w:rsid w:val="10D52952"/>
    <w:rsid w:val="10DC742D"/>
    <w:rsid w:val="11020FDA"/>
    <w:rsid w:val="1173569E"/>
    <w:rsid w:val="11832B5E"/>
    <w:rsid w:val="118D34DB"/>
    <w:rsid w:val="119F3673"/>
    <w:rsid w:val="11FF5B40"/>
    <w:rsid w:val="12132EDB"/>
    <w:rsid w:val="12321825"/>
    <w:rsid w:val="123A6C55"/>
    <w:rsid w:val="123E75D0"/>
    <w:rsid w:val="12E812AE"/>
    <w:rsid w:val="13954387"/>
    <w:rsid w:val="139B54FB"/>
    <w:rsid w:val="13AC4857"/>
    <w:rsid w:val="13BC52FC"/>
    <w:rsid w:val="13E95ACA"/>
    <w:rsid w:val="13F64062"/>
    <w:rsid w:val="14396C46"/>
    <w:rsid w:val="15BB1E78"/>
    <w:rsid w:val="15DE15C7"/>
    <w:rsid w:val="15E44C4F"/>
    <w:rsid w:val="161A131B"/>
    <w:rsid w:val="166B5ED3"/>
    <w:rsid w:val="167D7355"/>
    <w:rsid w:val="16D23DE1"/>
    <w:rsid w:val="16DD41AF"/>
    <w:rsid w:val="17540B3B"/>
    <w:rsid w:val="175C6F88"/>
    <w:rsid w:val="183D472F"/>
    <w:rsid w:val="1881700C"/>
    <w:rsid w:val="194E1F14"/>
    <w:rsid w:val="19D61859"/>
    <w:rsid w:val="19E2300B"/>
    <w:rsid w:val="1A10624F"/>
    <w:rsid w:val="1A4C3B81"/>
    <w:rsid w:val="1A7D17ED"/>
    <w:rsid w:val="1AAF7DBD"/>
    <w:rsid w:val="1AF14A10"/>
    <w:rsid w:val="1B436E42"/>
    <w:rsid w:val="1B495A57"/>
    <w:rsid w:val="1B58732D"/>
    <w:rsid w:val="1CA47C72"/>
    <w:rsid w:val="1D23535D"/>
    <w:rsid w:val="1D751E09"/>
    <w:rsid w:val="1D8765EE"/>
    <w:rsid w:val="1E5E48EB"/>
    <w:rsid w:val="1E6B728E"/>
    <w:rsid w:val="1EA30C08"/>
    <w:rsid w:val="1EEF762D"/>
    <w:rsid w:val="1EFB2942"/>
    <w:rsid w:val="1F166D0A"/>
    <w:rsid w:val="1F2C6D5A"/>
    <w:rsid w:val="1F51762F"/>
    <w:rsid w:val="1F5B88ED"/>
    <w:rsid w:val="1F88093A"/>
    <w:rsid w:val="1FBB7F1E"/>
    <w:rsid w:val="1FBF3122"/>
    <w:rsid w:val="1FCF0BBF"/>
    <w:rsid w:val="1FE9276C"/>
    <w:rsid w:val="2000527E"/>
    <w:rsid w:val="20307D8B"/>
    <w:rsid w:val="209B1AB0"/>
    <w:rsid w:val="20B35058"/>
    <w:rsid w:val="20D719F1"/>
    <w:rsid w:val="210F6ED1"/>
    <w:rsid w:val="21890675"/>
    <w:rsid w:val="218E2338"/>
    <w:rsid w:val="21AE2E67"/>
    <w:rsid w:val="2212368E"/>
    <w:rsid w:val="227550BE"/>
    <w:rsid w:val="227C5822"/>
    <w:rsid w:val="22FA57BC"/>
    <w:rsid w:val="23B73BE5"/>
    <w:rsid w:val="23E7568E"/>
    <w:rsid w:val="241B0773"/>
    <w:rsid w:val="24340889"/>
    <w:rsid w:val="244039DC"/>
    <w:rsid w:val="245C5A9D"/>
    <w:rsid w:val="24C25DC9"/>
    <w:rsid w:val="24E16D01"/>
    <w:rsid w:val="24E46EC7"/>
    <w:rsid w:val="256054C6"/>
    <w:rsid w:val="257726B7"/>
    <w:rsid w:val="25F7511D"/>
    <w:rsid w:val="266D329C"/>
    <w:rsid w:val="26A73075"/>
    <w:rsid w:val="26EF7DFB"/>
    <w:rsid w:val="27065BC6"/>
    <w:rsid w:val="27175775"/>
    <w:rsid w:val="274B0EAA"/>
    <w:rsid w:val="27A75FE0"/>
    <w:rsid w:val="27D050EF"/>
    <w:rsid w:val="27D65DFA"/>
    <w:rsid w:val="28171567"/>
    <w:rsid w:val="28584014"/>
    <w:rsid w:val="28696619"/>
    <w:rsid w:val="28D00E86"/>
    <w:rsid w:val="298441C0"/>
    <w:rsid w:val="2A086006"/>
    <w:rsid w:val="2A174B7C"/>
    <w:rsid w:val="2AB32E17"/>
    <w:rsid w:val="2ACE5A56"/>
    <w:rsid w:val="2AFE7BEA"/>
    <w:rsid w:val="2B0D479C"/>
    <w:rsid w:val="2B14398C"/>
    <w:rsid w:val="2B2E74E5"/>
    <w:rsid w:val="2B45128D"/>
    <w:rsid w:val="2B642A3F"/>
    <w:rsid w:val="2B933206"/>
    <w:rsid w:val="2BAB3CE3"/>
    <w:rsid w:val="2BDE4899"/>
    <w:rsid w:val="2C605957"/>
    <w:rsid w:val="2CB55D18"/>
    <w:rsid w:val="2CE52898"/>
    <w:rsid w:val="2D086D5E"/>
    <w:rsid w:val="2D1140C6"/>
    <w:rsid w:val="2D46615C"/>
    <w:rsid w:val="2D62436F"/>
    <w:rsid w:val="2D6849D7"/>
    <w:rsid w:val="2D6E3139"/>
    <w:rsid w:val="2D8F64D3"/>
    <w:rsid w:val="2D921CE1"/>
    <w:rsid w:val="2E446756"/>
    <w:rsid w:val="2E501640"/>
    <w:rsid w:val="2E5765C3"/>
    <w:rsid w:val="2FB81CCD"/>
    <w:rsid w:val="2FC30154"/>
    <w:rsid w:val="2FF12AEC"/>
    <w:rsid w:val="30062628"/>
    <w:rsid w:val="301F288C"/>
    <w:rsid w:val="30A03378"/>
    <w:rsid w:val="30DD7043"/>
    <w:rsid w:val="30F0044A"/>
    <w:rsid w:val="31297963"/>
    <w:rsid w:val="317B2552"/>
    <w:rsid w:val="31FCD77F"/>
    <w:rsid w:val="328A715D"/>
    <w:rsid w:val="32FC53BD"/>
    <w:rsid w:val="330E7EE4"/>
    <w:rsid w:val="334A1B07"/>
    <w:rsid w:val="335144C8"/>
    <w:rsid w:val="33691AE5"/>
    <w:rsid w:val="3390201E"/>
    <w:rsid w:val="33937B20"/>
    <w:rsid w:val="340D6943"/>
    <w:rsid w:val="3425545A"/>
    <w:rsid w:val="342A21AD"/>
    <w:rsid w:val="342E671D"/>
    <w:rsid w:val="34314840"/>
    <w:rsid w:val="34473FFD"/>
    <w:rsid w:val="34576844"/>
    <w:rsid w:val="3468528B"/>
    <w:rsid w:val="34696F67"/>
    <w:rsid w:val="34990B6B"/>
    <w:rsid w:val="356A6458"/>
    <w:rsid w:val="35EE2046"/>
    <w:rsid w:val="36576511"/>
    <w:rsid w:val="365908E9"/>
    <w:rsid w:val="36EB770A"/>
    <w:rsid w:val="37824AA0"/>
    <w:rsid w:val="379847BA"/>
    <w:rsid w:val="37A902E5"/>
    <w:rsid w:val="37A954CF"/>
    <w:rsid w:val="380E1B00"/>
    <w:rsid w:val="383C64E2"/>
    <w:rsid w:val="386E76A4"/>
    <w:rsid w:val="38B77A4B"/>
    <w:rsid w:val="38CA32FD"/>
    <w:rsid w:val="390B3783"/>
    <w:rsid w:val="393F1F7B"/>
    <w:rsid w:val="394C0591"/>
    <w:rsid w:val="395F109E"/>
    <w:rsid w:val="397E1BEA"/>
    <w:rsid w:val="39C046BF"/>
    <w:rsid w:val="39D74F14"/>
    <w:rsid w:val="39DB3861"/>
    <w:rsid w:val="39E807E9"/>
    <w:rsid w:val="3A1424A1"/>
    <w:rsid w:val="3A157488"/>
    <w:rsid w:val="3A904851"/>
    <w:rsid w:val="3A952736"/>
    <w:rsid w:val="3ABD7978"/>
    <w:rsid w:val="3B657F64"/>
    <w:rsid w:val="3B6F1403"/>
    <w:rsid w:val="3BD51C4B"/>
    <w:rsid w:val="3BD55442"/>
    <w:rsid w:val="3BDF1D94"/>
    <w:rsid w:val="3BE86703"/>
    <w:rsid w:val="3C587A1B"/>
    <w:rsid w:val="3C6E0F88"/>
    <w:rsid w:val="3D0869FD"/>
    <w:rsid w:val="3D69050A"/>
    <w:rsid w:val="3D8956D0"/>
    <w:rsid w:val="3D941B95"/>
    <w:rsid w:val="3DD11E9A"/>
    <w:rsid w:val="3DF02037"/>
    <w:rsid w:val="3E9D4299"/>
    <w:rsid w:val="3ECA3C14"/>
    <w:rsid w:val="3ED4245E"/>
    <w:rsid w:val="3F42181A"/>
    <w:rsid w:val="3F4F2F75"/>
    <w:rsid w:val="3F5BEE0A"/>
    <w:rsid w:val="3F852126"/>
    <w:rsid w:val="3FC10171"/>
    <w:rsid w:val="40532A43"/>
    <w:rsid w:val="407D359F"/>
    <w:rsid w:val="40B5544E"/>
    <w:rsid w:val="411F03C8"/>
    <w:rsid w:val="415C17F1"/>
    <w:rsid w:val="415D2CA7"/>
    <w:rsid w:val="417C0358"/>
    <w:rsid w:val="421C7675"/>
    <w:rsid w:val="422E65E2"/>
    <w:rsid w:val="426B0FC6"/>
    <w:rsid w:val="42DD53D0"/>
    <w:rsid w:val="4334121D"/>
    <w:rsid w:val="438D34E4"/>
    <w:rsid w:val="43E266C9"/>
    <w:rsid w:val="44090E76"/>
    <w:rsid w:val="44426A9E"/>
    <w:rsid w:val="444A72CC"/>
    <w:rsid w:val="44575838"/>
    <w:rsid w:val="44657B04"/>
    <w:rsid w:val="44914D38"/>
    <w:rsid w:val="44BB1466"/>
    <w:rsid w:val="44E25519"/>
    <w:rsid w:val="44FA5C39"/>
    <w:rsid w:val="457A657D"/>
    <w:rsid w:val="45E034DC"/>
    <w:rsid w:val="45E508CF"/>
    <w:rsid w:val="45FA4B1F"/>
    <w:rsid w:val="46607F75"/>
    <w:rsid w:val="46783EAC"/>
    <w:rsid w:val="46CE4EDF"/>
    <w:rsid w:val="46F44476"/>
    <w:rsid w:val="472D20DF"/>
    <w:rsid w:val="474B2FD1"/>
    <w:rsid w:val="475F50A3"/>
    <w:rsid w:val="47686DCE"/>
    <w:rsid w:val="47744496"/>
    <w:rsid w:val="47BF75B5"/>
    <w:rsid w:val="47ED7431"/>
    <w:rsid w:val="481B4154"/>
    <w:rsid w:val="4845708A"/>
    <w:rsid w:val="489959AB"/>
    <w:rsid w:val="48AD29A6"/>
    <w:rsid w:val="48BC79E1"/>
    <w:rsid w:val="48C755E8"/>
    <w:rsid w:val="492B31A7"/>
    <w:rsid w:val="496B40F1"/>
    <w:rsid w:val="49C873FC"/>
    <w:rsid w:val="49DE5BE1"/>
    <w:rsid w:val="4A13211E"/>
    <w:rsid w:val="4A331C29"/>
    <w:rsid w:val="4A4E5776"/>
    <w:rsid w:val="4A586FD5"/>
    <w:rsid w:val="4A591CEF"/>
    <w:rsid w:val="4A6D04C3"/>
    <w:rsid w:val="4AEF4413"/>
    <w:rsid w:val="4B4729F4"/>
    <w:rsid w:val="4B475A72"/>
    <w:rsid w:val="4B816A4E"/>
    <w:rsid w:val="4B820FD9"/>
    <w:rsid w:val="4BA026C3"/>
    <w:rsid w:val="4C0960F1"/>
    <w:rsid w:val="4C4E1E45"/>
    <w:rsid w:val="4C6528E3"/>
    <w:rsid w:val="4C702FA8"/>
    <w:rsid w:val="4C9F51AF"/>
    <w:rsid w:val="4CD5641A"/>
    <w:rsid w:val="4D067369"/>
    <w:rsid w:val="4D390F77"/>
    <w:rsid w:val="4D446E65"/>
    <w:rsid w:val="4D5C51D4"/>
    <w:rsid w:val="4D8569AE"/>
    <w:rsid w:val="4D96624F"/>
    <w:rsid w:val="4E745FEC"/>
    <w:rsid w:val="4E9C42BE"/>
    <w:rsid w:val="4EB42FE5"/>
    <w:rsid w:val="4EBD5F65"/>
    <w:rsid w:val="4EDA5A3D"/>
    <w:rsid w:val="4F095253"/>
    <w:rsid w:val="4F4D6EB2"/>
    <w:rsid w:val="4FD87D0C"/>
    <w:rsid w:val="50111EE2"/>
    <w:rsid w:val="501B4C55"/>
    <w:rsid w:val="502F6472"/>
    <w:rsid w:val="5083267C"/>
    <w:rsid w:val="50C20F8E"/>
    <w:rsid w:val="50ED1B9C"/>
    <w:rsid w:val="51556929"/>
    <w:rsid w:val="515C7B07"/>
    <w:rsid w:val="51650038"/>
    <w:rsid w:val="51A50CBB"/>
    <w:rsid w:val="51B47C51"/>
    <w:rsid w:val="51C4585C"/>
    <w:rsid w:val="51F162A1"/>
    <w:rsid w:val="52137C27"/>
    <w:rsid w:val="52207DF0"/>
    <w:rsid w:val="522F200C"/>
    <w:rsid w:val="523D6212"/>
    <w:rsid w:val="527B28DC"/>
    <w:rsid w:val="52831B0B"/>
    <w:rsid w:val="52F41A82"/>
    <w:rsid w:val="52F61A46"/>
    <w:rsid w:val="533C1422"/>
    <w:rsid w:val="53555CE3"/>
    <w:rsid w:val="539D38BA"/>
    <w:rsid w:val="54181368"/>
    <w:rsid w:val="5419056C"/>
    <w:rsid w:val="54870DDF"/>
    <w:rsid w:val="54C50351"/>
    <w:rsid w:val="54D67BA3"/>
    <w:rsid w:val="54D67F77"/>
    <w:rsid w:val="54F113EB"/>
    <w:rsid w:val="552C566E"/>
    <w:rsid w:val="552D3AB8"/>
    <w:rsid w:val="55450F65"/>
    <w:rsid w:val="558327F3"/>
    <w:rsid w:val="55AB58D7"/>
    <w:rsid w:val="55E076EB"/>
    <w:rsid w:val="55F661D9"/>
    <w:rsid w:val="56170542"/>
    <w:rsid w:val="56674A08"/>
    <w:rsid w:val="56751D42"/>
    <w:rsid w:val="56775090"/>
    <w:rsid w:val="56906190"/>
    <w:rsid w:val="56E02A3E"/>
    <w:rsid w:val="572F5128"/>
    <w:rsid w:val="57534E4E"/>
    <w:rsid w:val="57A77F54"/>
    <w:rsid w:val="57D7248E"/>
    <w:rsid w:val="57E073CC"/>
    <w:rsid w:val="581F49DF"/>
    <w:rsid w:val="58237526"/>
    <w:rsid w:val="586D4A62"/>
    <w:rsid w:val="58C67955"/>
    <w:rsid w:val="58D2260D"/>
    <w:rsid w:val="591539B6"/>
    <w:rsid w:val="5969559D"/>
    <w:rsid w:val="59863CD0"/>
    <w:rsid w:val="598643BD"/>
    <w:rsid w:val="59DC5DA2"/>
    <w:rsid w:val="59FF622F"/>
    <w:rsid w:val="5A116FA4"/>
    <w:rsid w:val="5A4241FA"/>
    <w:rsid w:val="5A4A272E"/>
    <w:rsid w:val="5A735AF1"/>
    <w:rsid w:val="5AE21AC5"/>
    <w:rsid w:val="5B052E61"/>
    <w:rsid w:val="5B0A74C2"/>
    <w:rsid w:val="5B3D43F8"/>
    <w:rsid w:val="5B893710"/>
    <w:rsid w:val="5BDB1D43"/>
    <w:rsid w:val="5C076A71"/>
    <w:rsid w:val="5C1A7126"/>
    <w:rsid w:val="5C414DE8"/>
    <w:rsid w:val="5C454377"/>
    <w:rsid w:val="5CA63FE0"/>
    <w:rsid w:val="5CCD5CD0"/>
    <w:rsid w:val="5D017424"/>
    <w:rsid w:val="5D0F01E1"/>
    <w:rsid w:val="5D21575A"/>
    <w:rsid w:val="5D2F5F33"/>
    <w:rsid w:val="5D560170"/>
    <w:rsid w:val="5D5F77BE"/>
    <w:rsid w:val="5DBD4CC8"/>
    <w:rsid w:val="5DC10E35"/>
    <w:rsid w:val="5DD27268"/>
    <w:rsid w:val="5DD72FD4"/>
    <w:rsid w:val="5DD961EC"/>
    <w:rsid w:val="5DE7421F"/>
    <w:rsid w:val="5DE930A5"/>
    <w:rsid w:val="5E1F1CCB"/>
    <w:rsid w:val="5E4F6B8A"/>
    <w:rsid w:val="5E5B7A99"/>
    <w:rsid w:val="5E6A6C7A"/>
    <w:rsid w:val="5E996B3B"/>
    <w:rsid w:val="5ECB0827"/>
    <w:rsid w:val="5EDD4CF4"/>
    <w:rsid w:val="5EF227B1"/>
    <w:rsid w:val="5F5B42BF"/>
    <w:rsid w:val="5F5C534D"/>
    <w:rsid w:val="5F670B3F"/>
    <w:rsid w:val="5FB7626C"/>
    <w:rsid w:val="5FE63BE0"/>
    <w:rsid w:val="606A1FF2"/>
    <w:rsid w:val="60A40BD4"/>
    <w:rsid w:val="60D26DE5"/>
    <w:rsid w:val="61BB4DEE"/>
    <w:rsid w:val="62290975"/>
    <w:rsid w:val="62570F45"/>
    <w:rsid w:val="62D21501"/>
    <w:rsid w:val="62E66850"/>
    <w:rsid w:val="62F11F07"/>
    <w:rsid w:val="63196634"/>
    <w:rsid w:val="632914FD"/>
    <w:rsid w:val="63967573"/>
    <w:rsid w:val="63B529E5"/>
    <w:rsid w:val="64820676"/>
    <w:rsid w:val="64B1690C"/>
    <w:rsid w:val="65226C77"/>
    <w:rsid w:val="65382DE5"/>
    <w:rsid w:val="653F0215"/>
    <w:rsid w:val="654C6453"/>
    <w:rsid w:val="65BA2AD4"/>
    <w:rsid w:val="65DF45BB"/>
    <w:rsid w:val="65FD4CD0"/>
    <w:rsid w:val="66011858"/>
    <w:rsid w:val="66067FEC"/>
    <w:rsid w:val="660D707D"/>
    <w:rsid w:val="665835DA"/>
    <w:rsid w:val="66FE315A"/>
    <w:rsid w:val="670F2122"/>
    <w:rsid w:val="672960A6"/>
    <w:rsid w:val="67451C43"/>
    <w:rsid w:val="674A63AC"/>
    <w:rsid w:val="6751576A"/>
    <w:rsid w:val="67604A27"/>
    <w:rsid w:val="681313E4"/>
    <w:rsid w:val="684A4A34"/>
    <w:rsid w:val="688A3D96"/>
    <w:rsid w:val="688A6606"/>
    <w:rsid w:val="68BB7343"/>
    <w:rsid w:val="68BF2482"/>
    <w:rsid w:val="68E951B5"/>
    <w:rsid w:val="68EB08E4"/>
    <w:rsid w:val="68FC1F4F"/>
    <w:rsid w:val="6921668A"/>
    <w:rsid w:val="69511A57"/>
    <w:rsid w:val="69625C4C"/>
    <w:rsid w:val="698103D5"/>
    <w:rsid w:val="69C3431F"/>
    <w:rsid w:val="6A3F6638"/>
    <w:rsid w:val="6A50457D"/>
    <w:rsid w:val="6A5F216E"/>
    <w:rsid w:val="6A7A5754"/>
    <w:rsid w:val="6A7D50A2"/>
    <w:rsid w:val="6B206054"/>
    <w:rsid w:val="6B5F4FBF"/>
    <w:rsid w:val="6B69606D"/>
    <w:rsid w:val="6B7644BC"/>
    <w:rsid w:val="6B861377"/>
    <w:rsid w:val="6B95307F"/>
    <w:rsid w:val="6BFC7302"/>
    <w:rsid w:val="6C2E3BA6"/>
    <w:rsid w:val="6C416227"/>
    <w:rsid w:val="6CA145AD"/>
    <w:rsid w:val="6D526D91"/>
    <w:rsid w:val="6D7875A9"/>
    <w:rsid w:val="6DE07243"/>
    <w:rsid w:val="6E046791"/>
    <w:rsid w:val="6E144DE4"/>
    <w:rsid w:val="6E2D74AE"/>
    <w:rsid w:val="6E5122D2"/>
    <w:rsid w:val="6E636CC3"/>
    <w:rsid w:val="6E9C4850"/>
    <w:rsid w:val="6EE113A4"/>
    <w:rsid w:val="6EE24BC0"/>
    <w:rsid w:val="6F027274"/>
    <w:rsid w:val="6FAE120F"/>
    <w:rsid w:val="6FBA526F"/>
    <w:rsid w:val="701F35FD"/>
    <w:rsid w:val="70B33A3E"/>
    <w:rsid w:val="70B46155"/>
    <w:rsid w:val="70DF3DA7"/>
    <w:rsid w:val="712D79C9"/>
    <w:rsid w:val="716965A9"/>
    <w:rsid w:val="71884FD2"/>
    <w:rsid w:val="7194689A"/>
    <w:rsid w:val="723A0647"/>
    <w:rsid w:val="724A458E"/>
    <w:rsid w:val="725569FB"/>
    <w:rsid w:val="72BA6E26"/>
    <w:rsid w:val="731450B2"/>
    <w:rsid w:val="7333622D"/>
    <w:rsid w:val="733B674E"/>
    <w:rsid w:val="73752023"/>
    <w:rsid w:val="73ED0347"/>
    <w:rsid w:val="742F2894"/>
    <w:rsid w:val="743F758E"/>
    <w:rsid w:val="744A35ED"/>
    <w:rsid w:val="74516EE2"/>
    <w:rsid w:val="74670D8A"/>
    <w:rsid w:val="74716FFF"/>
    <w:rsid w:val="74E80303"/>
    <w:rsid w:val="74F80974"/>
    <w:rsid w:val="7506350D"/>
    <w:rsid w:val="75402655"/>
    <w:rsid w:val="755B7940"/>
    <w:rsid w:val="759A0CE2"/>
    <w:rsid w:val="75D53365"/>
    <w:rsid w:val="76487B10"/>
    <w:rsid w:val="764A6C3A"/>
    <w:rsid w:val="765640F7"/>
    <w:rsid w:val="76D50FF0"/>
    <w:rsid w:val="770B295E"/>
    <w:rsid w:val="771A18F3"/>
    <w:rsid w:val="77373B06"/>
    <w:rsid w:val="77F63914"/>
    <w:rsid w:val="77FB8AB8"/>
    <w:rsid w:val="78052F27"/>
    <w:rsid w:val="78072DCC"/>
    <w:rsid w:val="781E63F4"/>
    <w:rsid w:val="789336DE"/>
    <w:rsid w:val="78F970D1"/>
    <w:rsid w:val="79570EE4"/>
    <w:rsid w:val="79920DC4"/>
    <w:rsid w:val="79E47614"/>
    <w:rsid w:val="79F423DC"/>
    <w:rsid w:val="79FE4A1F"/>
    <w:rsid w:val="7A5A5248"/>
    <w:rsid w:val="7A83793A"/>
    <w:rsid w:val="7AB35237"/>
    <w:rsid w:val="7AEA1CF5"/>
    <w:rsid w:val="7BA07ADE"/>
    <w:rsid w:val="7BDE6451"/>
    <w:rsid w:val="7BDFF51E"/>
    <w:rsid w:val="7BE7517F"/>
    <w:rsid w:val="7C135965"/>
    <w:rsid w:val="7CE23A88"/>
    <w:rsid w:val="7D1F075D"/>
    <w:rsid w:val="7D756880"/>
    <w:rsid w:val="7D8A2FB5"/>
    <w:rsid w:val="7DE7428C"/>
    <w:rsid w:val="7DF42B5D"/>
    <w:rsid w:val="7DFD1180"/>
    <w:rsid w:val="7E7A11B7"/>
    <w:rsid w:val="7E7DBA60"/>
    <w:rsid w:val="7F4D320A"/>
    <w:rsid w:val="7F625F8B"/>
    <w:rsid w:val="7F67D8F7"/>
    <w:rsid w:val="7F8B101F"/>
    <w:rsid w:val="7FA704C2"/>
    <w:rsid w:val="7FBB9995"/>
    <w:rsid w:val="9B8D50F7"/>
    <w:rsid w:val="9CCBC00C"/>
    <w:rsid w:val="AFEFD942"/>
    <w:rsid w:val="D75F112E"/>
    <w:rsid w:val="E13DEFE1"/>
    <w:rsid w:val="EDBC5E23"/>
    <w:rsid w:val="EDFF95D6"/>
    <w:rsid w:val="F6EBC562"/>
    <w:rsid w:val="F6FB21C2"/>
    <w:rsid w:val="F7FE7EDD"/>
    <w:rsid w:val="FDFDB758"/>
    <w:rsid w:val="FEEFEA31"/>
    <w:rsid w:val="FFF485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5">
    <w:name w:val="heading 1"/>
    <w:basedOn w:val="1"/>
    <w:next w:val="1"/>
    <w:qFormat/>
    <w:uiPriority w:val="0"/>
    <w:rPr>
      <w:rFonts w:asciiTheme="minorHAnsi" w:hAnsiTheme="minorHAnsi" w:eastAsiaTheme="minorEastAsia" w:cstheme="minorBidi"/>
      <w:color w:val="2E74B5"/>
      <w:sz w:val="32"/>
      <w:szCs w:val="32"/>
    </w:rPr>
  </w:style>
  <w:style w:type="paragraph" w:styleId="6">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7">
    <w:name w:val="heading 3"/>
    <w:basedOn w:val="1"/>
    <w:next w:val="1"/>
    <w:unhideWhenUsed/>
    <w:qFormat/>
    <w:uiPriority w:val="0"/>
    <w:pPr>
      <w:adjustRightInd w:val="0"/>
      <w:snapToGrid w:val="0"/>
      <w:spacing w:line="360" w:lineRule="auto"/>
      <w:outlineLvl w:val="2"/>
    </w:pPr>
  </w:style>
  <w:style w:type="character" w:default="1" w:styleId="17">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2">
    <w:name w:val="Body Text First Indent"/>
    <w:basedOn w:val="3"/>
    <w:qFormat/>
    <w:uiPriority w:val="0"/>
    <w:pPr>
      <w:ind w:firstLine="420" w:firstLineChars="100"/>
    </w:pPr>
    <w:rPr>
      <w:rFonts w:ascii="Calibri" w:hAnsi="Calibri"/>
      <w:sz w:val="28"/>
      <w:szCs w:val="22"/>
    </w:rPr>
  </w:style>
  <w:style w:type="paragraph" w:styleId="3">
    <w:name w:val="Body Text"/>
    <w:basedOn w:val="1"/>
    <w:next w:val="4"/>
    <w:qFormat/>
    <w:uiPriority w:val="0"/>
    <w:pPr>
      <w:spacing w:after="120"/>
    </w:pPr>
    <w:rPr>
      <w:rFonts w:ascii="Times New Roman" w:hAnsi="Times New Roman"/>
      <w:szCs w:val="24"/>
    </w:rPr>
  </w:style>
  <w:style w:type="paragraph" w:styleId="4">
    <w:name w:val="Title"/>
    <w:basedOn w:val="1"/>
    <w:next w:val="1"/>
    <w:qFormat/>
    <w:uiPriority w:val="0"/>
    <w:pPr>
      <w:spacing w:before="240" w:after="60"/>
      <w:jc w:val="center"/>
      <w:outlineLvl w:val="0"/>
    </w:pPr>
    <w:rPr>
      <w:rFonts w:ascii="Arial" w:hAnsi="Arial"/>
      <w:b/>
      <w:bCs/>
      <w:sz w:val="32"/>
      <w:szCs w:val="32"/>
    </w:rPr>
  </w:style>
  <w:style w:type="paragraph" w:styleId="8">
    <w:name w:val="annotation text"/>
    <w:basedOn w:val="1"/>
    <w:qFormat/>
    <w:uiPriority w:val="0"/>
    <w:pPr>
      <w:jc w:val="left"/>
    </w:pPr>
  </w:style>
  <w:style w:type="paragraph" w:styleId="9">
    <w:name w:val="toc 3"/>
    <w:basedOn w:val="1"/>
    <w:next w:val="1"/>
    <w:qFormat/>
    <w:uiPriority w:val="0"/>
    <w:pPr>
      <w:ind w:left="840" w:leftChars="400"/>
    </w:p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toc 1"/>
    <w:basedOn w:val="1"/>
    <w:next w:val="1"/>
    <w:qFormat/>
    <w:uiPriority w:val="0"/>
  </w:style>
  <w:style w:type="paragraph" w:styleId="13">
    <w:name w:val="footnote text"/>
    <w:basedOn w:val="1"/>
    <w:qFormat/>
    <w:uiPriority w:val="0"/>
    <w:pPr>
      <w:snapToGrid w:val="0"/>
      <w:jc w:val="left"/>
    </w:pPr>
    <w:rPr>
      <w:sz w:val="18"/>
    </w:rPr>
  </w:style>
  <w:style w:type="paragraph" w:styleId="14">
    <w:name w:val="toc 2"/>
    <w:basedOn w:val="1"/>
    <w:next w:val="1"/>
    <w:qFormat/>
    <w:uiPriority w:val="0"/>
    <w:pPr>
      <w:ind w:left="420" w:leftChars="200"/>
    </w:p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qFormat/>
    <w:uiPriority w:val="22"/>
    <w:rPr>
      <w:b/>
    </w:rPr>
  </w:style>
  <w:style w:type="character" w:styleId="19">
    <w:name w:val="Hyperlink"/>
    <w:basedOn w:val="17"/>
    <w:qFormat/>
    <w:uiPriority w:val="0"/>
    <w:rPr>
      <w:color w:val="0000FF"/>
      <w:u w:val="single"/>
    </w:rPr>
  </w:style>
  <w:style w:type="character" w:styleId="20">
    <w:name w:val="footnote reference"/>
    <w:basedOn w:val="17"/>
    <w:qFormat/>
    <w:uiPriority w:val="0"/>
    <w:rPr>
      <w:vertAlign w:val="superscript"/>
    </w:rPr>
  </w:style>
  <w:style w:type="character" w:customStyle="1" w:styleId="21">
    <w:name w:val="font21"/>
    <w:basedOn w:val="17"/>
    <w:qFormat/>
    <w:uiPriority w:val="0"/>
    <w:rPr>
      <w:rFonts w:hint="eastAsia" w:ascii="仿宋_GB2312" w:eastAsia="仿宋_GB2312" w:cs="仿宋_GB2312"/>
      <w:color w:val="000000"/>
      <w:sz w:val="18"/>
      <w:szCs w:val="18"/>
      <w:u w:val="none"/>
    </w:rPr>
  </w:style>
  <w:style w:type="paragraph" w:customStyle="1" w:styleId="22">
    <w:name w:val="WPSOffice手动目录 1"/>
    <w:qFormat/>
    <w:uiPriority w:val="0"/>
    <w:pPr>
      <w:ind w:leftChars="0"/>
    </w:pPr>
    <w:rPr>
      <w:rFonts w:ascii="Times New Roman" w:hAnsi="Times New Roman" w:eastAsia="宋体" w:cs="Times New Roman"/>
      <w:sz w:val="20"/>
      <w:szCs w:val="20"/>
    </w:rPr>
  </w:style>
  <w:style w:type="paragraph" w:customStyle="1" w:styleId="23">
    <w:name w:val="WPSOffice手动目录 2"/>
    <w:qFormat/>
    <w:uiPriority w:val="0"/>
    <w:pPr>
      <w:ind w:leftChars="200"/>
    </w:pPr>
    <w:rPr>
      <w:rFonts w:ascii="Times New Roman" w:hAnsi="Times New Roman" w:eastAsia="宋体" w:cs="Times New Roman"/>
      <w:sz w:val="20"/>
      <w:szCs w:val="20"/>
    </w:rPr>
  </w:style>
  <w:style w:type="paragraph" w:customStyle="1" w:styleId="24">
    <w:name w:val="WPSOffice手动目录 3"/>
    <w:qFormat/>
    <w:uiPriority w:val="0"/>
    <w:pPr>
      <w:ind w:leftChars="400"/>
    </w:pPr>
    <w:rPr>
      <w:rFonts w:ascii="Times New Roman" w:hAnsi="Times New Roman" w:eastAsia="宋体" w:cs="Times New Roman"/>
      <w:sz w:val="20"/>
      <w:szCs w:val="20"/>
    </w:rPr>
  </w:style>
  <w:style w:type="paragraph" w:customStyle="1" w:styleId="25">
    <w:name w:val="p0"/>
    <w:basedOn w:val="1"/>
    <w:qFormat/>
    <w:uiPriority w:val="99"/>
    <w:pPr>
      <w:widowControl/>
      <w:jc w:val="left"/>
    </w:pPr>
    <w:rPr>
      <w:kern w:val="0"/>
      <w:szCs w:val="21"/>
    </w:rPr>
  </w:style>
  <w:style w:type="paragraph" w:styleId="26">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29</Pages>
  <Words>2229</Words>
  <Characters>2240</Characters>
  <Lines>0</Lines>
  <Paragraphs>0</Paragraphs>
  <TotalTime>24</TotalTime>
  <ScaleCrop>false</ScaleCrop>
  <LinksUpToDate>false</LinksUpToDate>
  <CharactersWithSpaces>2243</CharactersWithSpaces>
  <Application>WPS Office_11.8.2.12265_F1E327BC-269C-435d-A152-05C5408002CA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2023-04-23T21:47:00Z</dcterms:created>
  <dc:creator>齐少志</dc:creator>
  <cp:lastModifiedBy>谢雨萱</cp:lastModifiedBy>
  <dcterms:modified xsi:type="dcterms:W3CDTF">2026-07-30T07:31:44Z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2052-11.8.2.12265</vt:lpwstr>
  </property>
  <property fmtid="{D5CDD505-2E9C-101B-9397-08002B2CF9AE}" pid="3" name="ICV">
    <vt:lpwstr>8AC111FCD7374E1FB1B89DD5CDAC57A9</vt:lpwstr>
  </property>
  <property fmtid="{D5CDD505-2E9C-101B-9397-08002B2CF9AE}" pid="4" name="KSOTemplateDocerSaveRecord">
    <vt:lpwstr>eyJoZGlkIjoiOGY3MTNiMmMzNTExYzdiMjBkNGViZTIzYjZmYjliNTQiLCJ1c2VySWQiOiIyNzc5NDA3MDMifQ==</vt:lpwstr>
  </property>
</Properties>
</file>