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44734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</w:rPr>
        <w:t>广东电网公司阳江供电局2026年属地化第一批采购计划</w:t>
      </w:r>
      <w:r>
        <w:rPr>
          <w:rFonts w:hint="eastAsia"/>
          <w:sz w:val="44"/>
          <w:szCs w:val="44"/>
          <w:lang w:val="en-US" w:eastAsia="zh-CN"/>
        </w:rPr>
        <w:t>安排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77"/>
        <w:gridCol w:w="4604"/>
        <w:gridCol w:w="2841"/>
      </w:tblGrid>
      <w:tr w14:paraId="7052D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</w:tcPr>
          <w:p w14:paraId="577A731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4604" w:type="dxa"/>
          </w:tcPr>
          <w:p w14:paraId="0D9F69E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采购批次</w:t>
            </w:r>
          </w:p>
        </w:tc>
        <w:tc>
          <w:tcPr>
            <w:tcW w:w="2841" w:type="dxa"/>
          </w:tcPr>
          <w:p w14:paraId="0451182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预计公告发布时间</w:t>
            </w:r>
          </w:p>
        </w:tc>
      </w:tr>
      <w:tr w14:paraId="31BB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685F9B18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4604" w:type="dxa"/>
            <w:vAlign w:val="center"/>
          </w:tcPr>
          <w:p w14:paraId="30F3C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广东电网有限责任公司阳江供电局2027-2028年电梯维保服务、建构筑物安全鉴定、自来水过滤系统运行维护服务框架项目-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对应“电梯维保、电力设施保护服务、房屋安全、设备基础沉降、幕墙检测”目录</w:t>
            </w:r>
          </w:p>
        </w:tc>
        <w:tc>
          <w:tcPr>
            <w:tcW w:w="2841" w:type="dxa"/>
            <w:vAlign w:val="center"/>
          </w:tcPr>
          <w:p w14:paraId="67AF6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</w:t>
            </w:r>
            <w:bookmarkStart w:id="0" w:name="_GoBack"/>
            <w:bookmarkEnd w:id="0"/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季度</w:t>
            </w:r>
          </w:p>
        </w:tc>
      </w:tr>
      <w:tr w14:paraId="7CBE0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7371159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4604" w:type="dxa"/>
            <w:vAlign w:val="center"/>
          </w:tcPr>
          <w:p w14:paraId="1DFB4D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广东电网有限责任公司阳江供电局2027年机动车驾驶服务框架项目-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对应“医疗、员工体检服务；工作服及窗帘等洗涤服务；车辆驾驶服务；理发服务”目录</w:t>
            </w:r>
          </w:p>
        </w:tc>
        <w:tc>
          <w:tcPr>
            <w:tcW w:w="2841" w:type="dxa"/>
            <w:vAlign w:val="center"/>
          </w:tcPr>
          <w:p w14:paraId="790A5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32336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5EA151C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4604" w:type="dxa"/>
            <w:vAlign w:val="center"/>
          </w:tcPr>
          <w:p w14:paraId="5655F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广东电网有限责任公司阳江供电局2027-2028年企业补充医疗保险基金委托管理框架项目-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对应“医疗、员工体检服务；工作服及窗帘等洗涤服务；车辆驾驶服务；理发服务”目录</w:t>
            </w:r>
          </w:p>
        </w:tc>
        <w:tc>
          <w:tcPr>
            <w:tcW w:w="2841" w:type="dxa"/>
            <w:vAlign w:val="center"/>
          </w:tcPr>
          <w:p w14:paraId="4C2AB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316A5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0C3E9D2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4604" w:type="dxa"/>
            <w:vAlign w:val="center"/>
          </w:tcPr>
          <w:p w14:paraId="76D38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阳江供电局2027年度不动产产权证明办理服务框架项目-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对应“不动产权调查测绘、检测及存量土地房产产权证明办理、不动产权调查测绘、检测”目录</w:t>
            </w:r>
          </w:p>
        </w:tc>
        <w:tc>
          <w:tcPr>
            <w:tcW w:w="2841" w:type="dxa"/>
            <w:vAlign w:val="center"/>
          </w:tcPr>
          <w:p w14:paraId="325CA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482E4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444CD6D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4604" w:type="dxa"/>
            <w:vAlign w:val="center"/>
          </w:tcPr>
          <w:p w14:paraId="748E8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阳江供电局2026-2028年度窗帘定制安装服务项目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-对应“生产经营场所（含停车场、周转房）购置、租赁；电梯维保；电力设施保护服务；自来水过滤系统安装及维护；机械式停车位维保；房屋安全、设备基础沉降、幕墙检测；窗帘定制安装服务”目录</w:t>
            </w:r>
          </w:p>
        </w:tc>
        <w:tc>
          <w:tcPr>
            <w:tcW w:w="2841" w:type="dxa"/>
            <w:vAlign w:val="center"/>
          </w:tcPr>
          <w:p w14:paraId="6F93A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3BE86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77" w:type="dxa"/>
            <w:vAlign w:val="center"/>
          </w:tcPr>
          <w:p w14:paraId="70FDC37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4604" w:type="dxa"/>
            <w:vAlign w:val="center"/>
          </w:tcPr>
          <w:p w14:paraId="23919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广东电网有限责任公司阳江供电局2026年电力宣传服务采购框架项目-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对应“属地媒体新闻宣传服务”目录</w:t>
            </w:r>
          </w:p>
        </w:tc>
        <w:tc>
          <w:tcPr>
            <w:tcW w:w="2841" w:type="dxa"/>
            <w:vAlign w:val="center"/>
          </w:tcPr>
          <w:p w14:paraId="7556C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72E26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52" w:hRule="atLeast"/>
        </w:trPr>
        <w:tc>
          <w:tcPr>
            <w:tcW w:w="1077" w:type="dxa"/>
            <w:vAlign w:val="center"/>
          </w:tcPr>
          <w:p w14:paraId="7C7404A7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4604" w:type="dxa"/>
            <w:vAlign w:val="center"/>
          </w:tcPr>
          <w:p w14:paraId="7C6F3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7"/>
                <w:color w:val="auto"/>
                <w:sz w:val="24"/>
                <w:szCs w:val="24"/>
                <w:lang w:val="en-US" w:eastAsia="zh-CN" w:bidi="ar"/>
              </w:rPr>
              <w:t>广东电网阳江供电局2027-2028年电网工程用地报批咨询服务框架项目-</w:t>
            </w:r>
            <w:r>
              <w:rPr>
                <w:rStyle w:val="8"/>
                <w:color w:val="auto"/>
                <w:sz w:val="24"/>
                <w:szCs w:val="24"/>
                <w:lang w:val="en-US" w:eastAsia="zh-CN" w:bidi="ar"/>
              </w:rPr>
              <w:t>对应“基建工程用地报批咨询、不动产权调查测绘、检测及存量土地房产产权证明办理、不动产权调查测绘、检测、委托办理等合法合规手续办理服务”目录</w:t>
            </w:r>
          </w:p>
        </w:tc>
        <w:tc>
          <w:tcPr>
            <w:tcW w:w="2841" w:type="dxa"/>
            <w:vAlign w:val="center"/>
          </w:tcPr>
          <w:p w14:paraId="2CD05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2026年第四季度</w:t>
            </w:r>
          </w:p>
        </w:tc>
      </w:tr>
      <w:tr w14:paraId="0C23B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87" w:hRule="atLeast"/>
        </w:trPr>
        <w:tc>
          <w:tcPr>
            <w:tcW w:w="1077" w:type="dxa"/>
            <w:vAlign w:val="center"/>
          </w:tcPr>
          <w:p w14:paraId="7132FDD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4604" w:type="dxa"/>
            <w:vAlign w:val="center"/>
          </w:tcPr>
          <w:p w14:paraId="70598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7"/>
                <w:color w:val="auto"/>
                <w:sz w:val="24"/>
                <w:szCs w:val="24"/>
                <w:lang w:val="en-US" w:eastAsia="zh-CN" w:bidi="ar"/>
              </w:rPr>
              <w:t>广东电网阳江供电局2027-2028年电网工程涉路安全评估服务框架项目-</w:t>
            </w:r>
            <w:r>
              <w:rPr>
                <w:rStyle w:val="8"/>
                <w:color w:val="auto"/>
                <w:sz w:val="24"/>
                <w:szCs w:val="24"/>
                <w:lang w:val="en-US" w:eastAsia="zh-CN" w:bidi="ar"/>
              </w:rPr>
              <w:t>对应“涉航道铁路公路技术服务（委托建设、工程技术咨询、安全评估评价、测量测绘、设施保护实施、设置标志等）”目录</w:t>
            </w:r>
          </w:p>
        </w:tc>
        <w:tc>
          <w:tcPr>
            <w:tcW w:w="2841" w:type="dxa"/>
            <w:vAlign w:val="center"/>
          </w:tcPr>
          <w:p w14:paraId="5E024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2026年第四季度</w:t>
            </w:r>
          </w:p>
        </w:tc>
      </w:tr>
      <w:tr w14:paraId="005E8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77" w:type="dxa"/>
            <w:vAlign w:val="center"/>
          </w:tcPr>
          <w:p w14:paraId="439D3FE3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4604" w:type="dxa"/>
            <w:vAlign w:val="center"/>
          </w:tcPr>
          <w:p w14:paraId="29B34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广东电网阳江供电局2027-2028年度小型基建第三方检测服务框架-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对应“小型基建工程检测服务”目录</w:t>
            </w:r>
          </w:p>
        </w:tc>
        <w:tc>
          <w:tcPr>
            <w:tcW w:w="2841" w:type="dxa"/>
            <w:vAlign w:val="center"/>
          </w:tcPr>
          <w:p w14:paraId="7D040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2026年第四季度</w:t>
            </w:r>
          </w:p>
        </w:tc>
      </w:tr>
      <w:tr w14:paraId="18F6B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1077" w:type="dxa"/>
            <w:vAlign w:val="center"/>
          </w:tcPr>
          <w:p w14:paraId="3E1DCF1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4604" w:type="dxa"/>
            <w:vAlign w:val="center"/>
          </w:tcPr>
          <w:p w14:paraId="0A3D5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广东电网有限责任公司阳江供电局2026年委托培训取证服务框架项目-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对应“委托培训（取证）服务”目录</w:t>
            </w:r>
          </w:p>
        </w:tc>
        <w:tc>
          <w:tcPr>
            <w:tcW w:w="2841" w:type="dxa"/>
            <w:vAlign w:val="center"/>
          </w:tcPr>
          <w:p w14:paraId="46602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41E02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80" w:hRule="atLeast"/>
        </w:trPr>
        <w:tc>
          <w:tcPr>
            <w:tcW w:w="1077" w:type="dxa"/>
            <w:vAlign w:val="center"/>
          </w:tcPr>
          <w:p w14:paraId="4FB531D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4604" w:type="dxa"/>
            <w:vAlign w:val="center"/>
          </w:tcPr>
          <w:p w14:paraId="7AAA6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阳江供电局《500千伏直流海底电缆系统关键技术-课题3 大长度超高压直流海底电缆挤出工艺稳定性控制技术》国重项目材料采购-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非物资目录/货物/2026年货物类属地化采购目录（广东）专项/创新部/科技项目、职创项目、科技专项经费、创新平台等项目所需物资（网、省公司集中采购目录以外）科技项目、职创项目、科技专项经费、创新平台等项目所需物资（网、省公司集中采购目录以外）”目录</w:t>
            </w:r>
          </w:p>
        </w:tc>
        <w:tc>
          <w:tcPr>
            <w:tcW w:w="2841" w:type="dxa"/>
            <w:vAlign w:val="center"/>
          </w:tcPr>
          <w:p w14:paraId="472D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2026年第三季度</w:t>
            </w:r>
          </w:p>
        </w:tc>
      </w:tr>
      <w:tr w14:paraId="03C2E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96" w:hRule="atLeast"/>
        </w:trPr>
        <w:tc>
          <w:tcPr>
            <w:tcW w:w="1077" w:type="dxa"/>
            <w:vAlign w:val="center"/>
          </w:tcPr>
          <w:p w14:paraId="7DCA25D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4604" w:type="dxa"/>
            <w:vAlign w:val="center"/>
          </w:tcPr>
          <w:p w14:paraId="5A89F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5"/>
                <w:rFonts w:hAnsi="宋体"/>
                <w:color w:val="auto"/>
                <w:sz w:val="24"/>
                <w:szCs w:val="24"/>
                <w:lang w:val="en-US" w:eastAsia="zh-CN" w:bidi="ar"/>
              </w:rPr>
              <w:t>广东电网有限责任公司阳江供电局2026年度小型基建项目控制性详细规划咨询服务框架采购-</w:t>
            </w:r>
            <w:r>
              <w:rPr>
                <w:rStyle w:val="6"/>
                <w:rFonts w:hAnsi="宋体"/>
                <w:color w:val="auto"/>
                <w:sz w:val="24"/>
                <w:szCs w:val="24"/>
                <w:lang w:val="en-US" w:eastAsia="zh-CN" w:bidi="ar"/>
              </w:rPr>
              <w:t>对应“小型基建工程项目环境影响评价、水土保持方案编制等其它前期各类咨询项目”目录</w:t>
            </w:r>
          </w:p>
        </w:tc>
        <w:tc>
          <w:tcPr>
            <w:tcW w:w="2841" w:type="dxa"/>
            <w:vAlign w:val="center"/>
          </w:tcPr>
          <w:p w14:paraId="1B909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2026年第四季度</w:t>
            </w:r>
          </w:p>
        </w:tc>
      </w:tr>
    </w:tbl>
    <w:p w14:paraId="3A49D799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EC7E33"/>
    <w:rsid w:val="000B31A6"/>
    <w:rsid w:val="008F550D"/>
    <w:rsid w:val="01BA4116"/>
    <w:rsid w:val="02030CAF"/>
    <w:rsid w:val="024D28B4"/>
    <w:rsid w:val="04081E92"/>
    <w:rsid w:val="05393284"/>
    <w:rsid w:val="099E1031"/>
    <w:rsid w:val="0A064D42"/>
    <w:rsid w:val="0A85343A"/>
    <w:rsid w:val="0B037343"/>
    <w:rsid w:val="0B520F4A"/>
    <w:rsid w:val="0B592ACD"/>
    <w:rsid w:val="0DC939D3"/>
    <w:rsid w:val="0FB6003C"/>
    <w:rsid w:val="10861967"/>
    <w:rsid w:val="11BD35C4"/>
    <w:rsid w:val="1202331B"/>
    <w:rsid w:val="127E7CD0"/>
    <w:rsid w:val="1453601A"/>
    <w:rsid w:val="14CC3146"/>
    <w:rsid w:val="150266DA"/>
    <w:rsid w:val="15F8362C"/>
    <w:rsid w:val="160631F4"/>
    <w:rsid w:val="16F261F9"/>
    <w:rsid w:val="17822379"/>
    <w:rsid w:val="18F91F6A"/>
    <w:rsid w:val="1B955B2E"/>
    <w:rsid w:val="1BAA7290"/>
    <w:rsid w:val="1C292E5E"/>
    <w:rsid w:val="1E00133A"/>
    <w:rsid w:val="21367400"/>
    <w:rsid w:val="2188471D"/>
    <w:rsid w:val="232A19CD"/>
    <w:rsid w:val="233039D0"/>
    <w:rsid w:val="24FD726D"/>
    <w:rsid w:val="2508554B"/>
    <w:rsid w:val="256841D6"/>
    <w:rsid w:val="257E408A"/>
    <w:rsid w:val="25DF0221"/>
    <w:rsid w:val="2924033E"/>
    <w:rsid w:val="2A1D69A5"/>
    <w:rsid w:val="2A48249A"/>
    <w:rsid w:val="2D7814E5"/>
    <w:rsid w:val="2D8E7691"/>
    <w:rsid w:val="2D933C16"/>
    <w:rsid w:val="2DD312FB"/>
    <w:rsid w:val="2EE15487"/>
    <w:rsid w:val="2FF65B92"/>
    <w:rsid w:val="31327B84"/>
    <w:rsid w:val="31985DB9"/>
    <w:rsid w:val="31EF09DA"/>
    <w:rsid w:val="32531177"/>
    <w:rsid w:val="325A09AE"/>
    <w:rsid w:val="32F7635E"/>
    <w:rsid w:val="345F012F"/>
    <w:rsid w:val="346B6389"/>
    <w:rsid w:val="350722A3"/>
    <w:rsid w:val="353F7F86"/>
    <w:rsid w:val="3568294F"/>
    <w:rsid w:val="37854A5A"/>
    <w:rsid w:val="39536387"/>
    <w:rsid w:val="3A7941A7"/>
    <w:rsid w:val="3ADA4DD9"/>
    <w:rsid w:val="3AF80CBD"/>
    <w:rsid w:val="3B0819ED"/>
    <w:rsid w:val="3B0E1D65"/>
    <w:rsid w:val="3BA06799"/>
    <w:rsid w:val="3BA32A8A"/>
    <w:rsid w:val="3BAB4913"/>
    <w:rsid w:val="3BBA5E55"/>
    <w:rsid w:val="3C56585E"/>
    <w:rsid w:val="3CBE3BF0"/>
    <w:rsid w:val="3D4C7B3F"/>
    <w:rsid w:val="3E4B0FBF"/>
    <w:rsid w:val="3FC05E8B"/>
    <w:rsid w:val="40B32B4C"/>
    <w:rsid w:val="41296C4C"/>
    <w:rsid w:val="41924690"/>
    <w:rsid w:val="42007625"/>
    <w:rsid w:val="43A662B9"/>
    <w:rsid w:val="450D36C7"/>
    <w:rsid w:val="463C0CFC"/>
    <w:rsid w:val="487B4A10"/>
    <w:rsid w:val="489F34F4"/>
    <w:rsid w:val="4994726F"/>
    <w:rsid w:val="4A14126B"/>
    <w:rsid w:val="4C346A2F"/>
    <w:rsid w:val="4C4F5333"/>
    <w:rsid w:val="4E821773"/>
    <w:rsid w:val="4E9214D5"/>
    <w:rsid w:val="4F705691"/>
    <w:rsid w:val="505E48BE"/>
    <w:rsid w:val="50646748"/>
    <w:rsid w:val="516932D1"/>
    <w:rsid w:val="51C616DA"/>
    <w:rsid w:val="53430A6F"/>
    <w:rsid w:val="53447187"/>
    <w:rsid w:val="536E67B7"/>
    <w:rsid w:val="54CD2642"/>
    <w:rsid w:val="56B727F0"/>
    <w:rsid w:val="57A00B59"/>
    <w:rsid w:val="58D53068"/>
    <w:rsid w:val="593E24E0"/>
    <w:rsid w:val="5A7A41D3"/>
    <w:rsid w:val="5AB507A9"/>
    <w:rsid w:val="5BBF271A"/>
    <w:rsid w:val="5BF25BB7"/>
    <w:rsid w:val="5C780D41"/>
    <w:rsid w:val="5E3D3A62"/>
    <w:rsid w:val="5F751B8D"/>
    <w:rsid w:val="605A0628"/>
    <w:rsid w:val="61AD23F5"/>
    <w:rsid w:val="61EA10DA"/>
    <w:rsid w:val="64327D2A"/>
    <w:rsid w:val="64C33BA3"/>
    <w:rsid w:val="66A63CE0"/>
    <w:rsid w:val="671B3A01"/>
    <w:rsid w:val="689717EF"/>
    <w:rsid w:val="697614E8"/>
    <w:rsid w:val="69903125"/>
    <w:rsid w:val="6A1B17E9"/>
    <w:rsid w:val="6AEC7E33"/>
    <w:rsid w:val="6B113AA2"/>
    <w:rsid w:val="6B21256D"/>
    <w:rsid w:val="6CB96111"/>
    <w:rsid w:val="6CF82D0E"/>
    <w:rsid w:val="6D2C5C70"/>
    <w:rsid w:val="6E57489C"/>
    <w:rsid w:val="6EC27CF0"/>
    <w:rsid w:val="6ECD6663"/>
    <w:rsid w:val="6F720D09"/>
    <w:rsid w:val="6F7C3326"/>
    <w:rsid w:val="6FA37C93"/>
    <w:rsid w:val="6FC14EAF"/>
    <w:rsid w:val="701513F7"/>
    <w:rsid w:val="722146EA"/>
    <w:rsid w:val="74A573DF"/>
    <w:rsid w:val="74A87185"/>
    <w:rsid w:val="74F202FE"/>
    <w:rsid w:val="75235338"/>
    <w:rsid w:val="75467293"/>
    <w:rsid w:val="763040C8"/>
    <w:rsid w:val="77150196"/>
    <w:rsid w:val="774F68A1"/>
    <w:rsid w:val="77521591"/>
    <w:rsid w:val="77AF6473"/>
    <w:rsid w:val="77E47095"/>
    <w:rsid w:val="7A4E06DD"/>
    <w:rsid w:val="7BD131C0"/>
    <w:rsid w:val="7C1043C8"/>
    <w:rsid w:val="7C611424"/>
    <w:rsid w:val="7DA8380F"/>
    <w:rsid w:val="7E212102"/>
    <w:rsid w:val="7E222CB5"/>
    <w:rsid w:val="7E27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51"/>
    <w:basedOn w:val="4"/>
    <w:uiPriority w:val="0"/>
    <w:rPr>
      <w:rFonts w:hint="default" w:ascii="仿宋_GB2312" w:eastAsia="仿宋_GB2312" w:cs="仿宋_GB2312"/>
      <w:color w:val="FF0000"/>
      <w:sz w:val="24"/>
      <w:szCs w:val="24"/>
      <w:u w:val="none"/>
    </w:rPr>
  </w:style>
  <w:style w:type="character" w:customStyle="1" w:styleId="7">
    <w:name w:val="font3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61"/>
    <w:basedOn w:val="4"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2026-08-05T07:14:00Z</dcterms:created>
  <dc:creator>张泽桥</dc:creator>
  <cp:lastModifiedBy>张泽桥</cp:lastModifiedBy>
  <dcterms:modified xsi:type="dcterms:W3CDTF">2026-08-05T07:20:38Z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C0FBA055CAC545F498D96652AF771C26_11</vt:lpwstr>
  </property>
</Properties>
</file>